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6.15开发日志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项目愿景</w:t>
      </w:r>
      <w:r>
        <w:rPr>
          <w:rFonts w:eastAsia="等线" w:ascii="Arial" w:cs="Arial" w:hAnsi="Arial"/>
          <w:sz w:val="22"/>
        </w:rPr>
        <w:t>：打造一款面向大学生的英语四六级个性化智能学习平台。系统在前端交互上深度汲取 Epop 学习软件的优势（UI模块化、数据可视化、轻量级交互），在后端架构上严格遵循“核心底座稳固、业务模块可插拔”的微服务积木式设计原则。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实施策略</w:t>
      </w:r>
      <w:r>
        <w:rPr>
          <w:rFonts w:eastAsia="等线" w:ascii="Arial" w:cs="Arial" w:hAnsi="Arial"/>
          <w:sz w:val="22"/>
        </w:rPr>
        <w:t xml:space="preserve">：整体架构立足于长期的多智能体与全功能演进，但初期执行严格落实 </w:t>
      </w:r>
      <w:r>
        <w:rPr>
          <w:rFonts w:eastAsia="等线" w:ascii="Arial" w:cs="Arial" w:hAnsi="Arial"/>
          <w:b w:val="true"/>
          <w:sz w:val="22"/>
        </w:rPr>
        <w:t>“3周极限开发周期”</w:t>
      </w:r>
      <w:r>
        <w:rPr>
          <w:rFonts w:eastAsia="等线" w:ascii="Arial" w:cs="Arial" w:hAnsi="Arial"/>
          <w:sz w:val="22"/>
        </w:rPr>
        <w:t xml:space="preserve"> 的 MVP（最小可行性产品）断臂求生策略，确保核心主链路（词汇、语法及消息解耦）在极短时间内高质量跑通。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 系统整体架构设计（演进式微服务）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 Spring Cloud Alibaba 微服务架构，前后端分离。从长远规划看，分为 5 大层级；在 MVP 阶段，将进行务实的裁剪与防坑加固。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全景架构分层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架构层级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技术选型与组件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核心职责与防坑优化说明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前端展示层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Element Plus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 Epop 风格，支持移动端优先布局。页面交互、对话界面、学习数据可视化。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(优化：动效需与后端加载逻辑对齐，平滑过渡骨架屏)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网关与路由层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Cloud Gateway + Nacos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统一流量入口、JWT 鉴权、路由分发与服务配置管理。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(优化：严格配置环境隔离，防范本地开发与容器网络串联)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核心底座层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user-profile-service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ai-gateway-service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维护用户画像与 ELO 隐藏分；统一收口大模型 API。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(优化：AI 网关引入降级熔断，超时自动切换至本地字符串比对兜底)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业务核心模块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exercise-service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resource-service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负责专项练习与资源管理。MVP阶段砍掉听力与翻译。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(优化：投递 MQ 消息时强制注入 Trace ID，确保链路追踪)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学习引擎模块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learning-engine-service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核心大脑</w:t>
            </w:r>
            <w:r>
              <w:rPr>
                <w:rFonts w:eastAsia="等线" w:ascii="Arial" w:cs="Arial" w:hAnsi="Arial"/>
                <w:sz w:val="22"/>
              </w:rPr>
              <w:t>。不处理 C 端高频请求，仅通过消费 MQ 消息静默更新用户的遗忘曲线，计算复习节点。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未来扩展槽位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gamification-service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 MQ 监听接口。用于后续开发积分、排位、虚拟装扮等（现阶段留空不实现）。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核心通信机制：事件驱动与积木化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本系统的核心亮点在于</w:t>
      </w:r>
      <w:r>
        <w:rPr>
          <w:rFonts w:eastAsia="等线" w:ascii="Arial" w:cs="Arial" w:hAnsi="Arial"/>
          <w:b w:val="true"/>
          <w:sz w:val="22"/>
        </w:rPr>
        <w:t>通过 RabbitMQ 实现“做题”与“复习引擎”的彻底解耦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高内聚低耦合</w:t>
      </w:r>
      <w:r>
        <w:rPr>
          <w:rFonts w:eastAsia="等线" w:ascii="Arial" w:cs="Arial" w:hAnsi="Arial"/>
          <w:sz w:val="22"/>
        </w:rPr>
        <w:t>：exercise-service 批改完题目后，只负责向 MQ 广播一条带有 Trace ID 的 exercise.completed 消息。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插拔式演进</w:t>
      </w:r>
      <w:r>
        <w:rPr>
          <w:rFonts w:eastAsia="等线" w:ascii="Arial" w:cs="Arial" w:hAnsi="Arial"/>
          <w:sz w:val="22"/>
        </w:rPr>
        <w:t>：下游服务（如复习引擎、未来的积分系统）只需监听该主题即可更新状态，业务层代码互不干扰。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完成整体的项目设计方案(前后端详细版）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[Recall睿考_后端工程师设计文档V2.docx]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[Recall睿考_前端UI设计与接口对接文档.docx]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9948">
    <w:lvl>
      <w:numFmt w:val="bullet"/>
      <w:suff w:val="tab"/>
      <w:lvlText w:val="•"/>
      <w:rPr>
        <w:color w:val="3370ff"/>
      </w:rPr>
    </w:lvl>
  </w:abstractNum>
  <w:abstractNum w:abstractNumId="249949">
    <w:lvl>
      <w:numFmt w:val="bullet"/>
      <w:suff w:val="tab"/>
      <w:lvlText w:val="•"/>
      <w:rPr>
        <w:color w:val="3370ff"/>
      </w:rPr>
    </w:lvl>
  </w:abstractNum>
  <w:num w:numId="1">
    <w:abstractNumId w:val="249948"/>
  </w:num>
  <w:num w:numId="2">
    <w:abstractNumId w:val="2499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2026-07-04T05:27:49Z</dcterms:created>
  <dc:creator>Apache POI</dc:creator>
</cp:coreProperties>
</file>