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392E" w:rsidRDefault="00567765">
      <w:pPr>
        <w:pStyle w:val="normal0"/>
      </w:pPr>
      <w:r>
        <w:rPr>
          <w:b/>
          <w:u w:val="single"/>
        </w:rPr>
        <w:t>Implementation: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 xml:space="preserve">We call our scheduler - FSSP - short for Fair Share Scheduling Policy. 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 xml:space="preserve">The majority of our changes were done on the file </w:t>
      </w:r>
      <w:proofErr w:type="spellStart"/>
      <w:r>
        <w:t>sched.c</w:t>
      </w:r>
      <w:proofErr w:type="spellEnd"/>
      <w:r>
        <w:t xml:space="preserve"> in functions - </w:t>
      </w:r>
      <w:proofErr w:type="spellStart"/>
      <w:r>
        <w:t>task_</w:t>
      </w:r>
      <w:proofErr w:type="gramStart"/>
      <w:r>
        <w:t>timeslice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sched_init</w:t>
      </w:r>
      <w:proofErr w:type="spellEnd"/>
      <w:r>
        <w:t xml:space="preserve">(). The system calls were implemented inside </w:t>
      </w:r>
      <w:proofErr w:type="spellStart"/>
      <w:r>
        <w:t>sched.c</w:t>
      </w:r>
      <w:proofErr w:type="spellEnd"/>
      <w:r>
        <w:t xml:space="preserve"> as we were getting compilation errors when we had it as a separate file. 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>We added additional field</w:t>
      </w:r>
      <w:r>
        <w:t xml:space="preserve">s to the data structures </w:t>
      </w:r>
      <w:proofErr w:type="spellStart"/>
      <w:r>
        <w:t>task_struct</w:t>
      </w:r>
      <w:proofErr w:type="spellEnd"/>
      <w:r>
        <w:t xml:space="preserve"> (include/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>) - called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is_fssp</w:t>
      </w:r>
      <w:proofErr w:type="spellEnd"/>
      <w:r>
        <w:t xml:space="preserve">” which decides if the process has to be scheduled using FSSP or not. A field was also added to </w:t>
      </w:r>
      <w:proofErr w:type="spellStart"/>
      <w:r>
        <w:t>user_struct</w:t>
      </w:r>
      <w:proofErr w:type="spellEnd"/>
      <w:r>
        <w:t xml:space="preserve"> (include/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 xml:space="preserve">) - called </w:t>
      </w:r>
      <w:proofErr w:type="spellStart"/>
      <w:r>
        <w:t>atomic_t</w:t>
      </w:r>
      <w:proofErr w:type="spellEnd"/>
      <w:r>
        <w:t xml:space="preserve"> </w:t>
      </w:r>
      <w:proofErr w:type="spellStart"/>
      <w:r>
        <w:t>fssp_processes</w:t>
      </w:r>
      <w:proofErr w:type="spellEnd"/>
      <w:r>
        <w:t xml:space="preserve"> - which k</w:t>
      </w:r>
      <w:r>
        <w:t>eeps track of the processes per user.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 xml:space="preserve">The below flow chart shows our implementation details. The process is initiated when the user program invokes the system call that enables the scheduler. 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>The system call checks if the user is new or not based on the c</w:t>
      </w:r>
      <w:r>
        <w:t>ount of their processes. If it is 0, the user count is incremented. The process count for that user is also incremented (</w:t>
      </w:r>
      <w:proofErr w:type="spellStart"/>
      <w:r>
        <w:t>atomic_</w:t>
      </w:r>
      <w:proofErr w:type="gramStart"/>
      <w:r>
        <w:t>inc</w:t>
      </w:r>
      <w:proofErr w:type="spellEnd"/>
      <w:r>
        <w:t>(</w:t>
      </w:r>
      <w:proofErr w:type="gramEnd"/>
      <w:r>
        <w:t>&amp;t-&gt;user-&gt;</w:t>
      </w:r>
      <w:proofErr w:type="spellStart"/>
      <w:r>
        <w:t>fssp_processes</w:t>
      </w:r>
      <w:proofErr w:type="spellEnd"/>
      <w:r>
        <w:t>)).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>The TS per user is calculated by dividing the DEF_TIMESLICE by the count of users.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>The flag that</w:t>
      </w:r>
      <w:r>
        <w:t xml:space="preserve"> enables the process to be scheduled using the TS calculated by FSSP is set.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 xml:space="preserve">The process is now scheduled for its new TS. </w:t>
      </w:r>
    </w:p>
    <w:p w:rsidR="006A392E" w:rsidRDefault="00567765">
      <w:pPr>
        <w:pStyle w:val="normal0"/>
        <w:numPr>
          <w:ilvl w:val="0"/>
          <w:numId w:val="1"/>
        </w:numPr>
        <w:ind w:hanging="359"/>
      </w:pPr>
      <w:r>
        <w:t>When the user process exits, it disables FSSP. The system call decreases the process count and the user count (if no more processes f</w:t>
      </w:r>
      <w:r>
        <w:t>or that user) and recalculates the TS. The scheduler is set to the default one.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141764</wp:posOffset>
            </wp:positionH>
            <wp:positionV relativeFrom="paragraph">
              <wp:posOffset>32385</wp:posOffset>
            </wp:positionV>
            <wp:extent cx="6524625" cy="2457450"/>
            <wp:effectExtent l="0" t="0" r="0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b/>
          <w:u w:val="single"/>
        </w:rPr>
        <w:lastRenderedPageBreak/>
        <w:t>Architecture Diagram:</w:t>
      </w:r>
    </w:p>
    <w:p w:rsidR="006A392E" w:rsidRDefault="00567765" w:rsidP="00E9663A">
      <w:pPr>
        <w:pStyle w:val="normal0"/>
        <w:ind w:firstLine="720"/>
      </w:pPr>
      <w:r>
        <w:t>The diagram below shows in much more details what was explained in the previous section.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noProof/>
        </w:rPr>
        <w:drawing>
          <wp:inline distT="0" distB="0" distL="0" distR="0">
            <wp:extent cx="7105650" cy="60388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2E" w:rsidRDefault="006A392E">
      <w:pPr>
        <w:pStyle w:val="normal0"/>
      </w:pP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b/>
          <w:u w:val="single"/>
        </w:rPr>
        <w:t>Results:</w:t>
      </w:r>
    </w:p>
    <w:p w:rsidR="006A392E" w:rsidRDefault="00567765">
      <w:pPr>
        <w:pStyle w:val="normal0"/>
      </w:pPr>
      <w:r>
        <w:tab/>
      </w:r>
      <w:r>
        <w:t>The test scenario used was with users with IDs of 504, 505, 506 and 507, corresponding to users A, B, C and D.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tab/>
        <w:t xml:space="preserve">As can be observed, the CPU time for each user came out to be uniform. The following is the output from our post-processing script, written in </w:t>
      </w:r>
      <w:r>
        <w:t xml:space="preserve">Python. The output is an ordered pair with user ID and </w:t>
      </w:r>
      <w:r>
        <w:lastRenderedPageBreak/>
        <w:t>proportion of total CPU time assigned to their processes. As can be seen, each user received roughly 25% of the CPU time, which should be the case given that there are 4 users.</w:t>
      </w:r>
    </w:p>
    <w:p w:rsidR="006A392E" w:rsidRDefault="006A392E">
      <w:pPr>
        <w:pStyle w:val="normal0"/>
      </w:pPr>
    </w:p>
    <w:p w:rsidR="006A392E" w:rsidRDefault="00567765">
      <w:pPr>
        <w:pStyle w:val="normal0"/>
        <w:ind w:left="1440"/>
      </w:pPr>
      <w:r>
        <w:rPr>
          <w:sz w:val="16"/>
          <w:highlight w:val="white"/>
        </w:rPr>
        <w:t>('506', 0.2525252525252</w:t>
      </w:r>
      <w:r>
        <w:rPr>
          <w:sz w:val="16"/>
          <w:highlight w:val="white"/>
        </w:rPr>
        <w:t>5254)</w:t>
      </w:r>
    </w:p>
    <w:p w:rsidR="006A392E" w:rsidRDefault="00567765">
      <w:pPr>
        <w:pStyle w:val="normal0"/>
        <w:ind w:left="1440"/>
      </w:pPr>
      <w:r>
        <w:rPr>
          <w:sz w:val="16"/>
          <w:highlight w:val="white"/>
        </w:rPr>
        <w:t>('507', 0.24915824915824916)</w:t>
      </w:r>
    </w:p>
    <w:p w:rsidR="006A392E" w:rsidRDefault="00567765">
      <w:pPr>
        <w:pStyle w:val="normal0"/>
        <w:ind w:left="1440"/>
      </w:pPr>
      <w:r>
        <w:rPr>
          <w:sz w:val="16"/>
          <w:highlight w:val="white"/>
        </w:rPr>
        <w:t>('504', 0.2474747474747475)</w:t>
      </w:r>
    </w:p>
    <w:p w:rsidR="006A392E" w:rsidRDefault="00567765">
      <w:pPr>
        <w:pStyle w:val="normal0"/>
        <w:ind w:left="1440"/>
      </w:pPr>
      <w:r>
        <w:rPr>
          <w:sz w:val="16"/>
          <w:highlight w:val="white"/>
        </w:rPr>
        <w:t>('505', 0.25084175084175087)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tab/>
        <w:t xml:space="preserve">Also, the total </w:t>
      </w:r>
      <w:proofErr w:type="gramStart"/>
      <w:r>
        <w:t>times per process is</w:t>
      </w:r>
      <w:proofErr w:type="gramEnd"/>
      <w:r>
        <w:t xml:space="preserve"> equal when given a user. This can be seen by the following script output. Each segment of output is for a given UID. There, e</w:t>
      </w:r>
      <w:r>
        <w:t xml:space="preserve">ach PID and its corresponding total time executing on the CPU </w:t>
      </w:r>
      <w:proofErr w:type="gramStart"/>
      <w:r>
        <w:t>is</w:t>
      </w:r>
      <w:proofErr w:type="gramEnd"/>
      <w:r>
        <w:t xml:space="preserve"> written as well. As can be seen by observing the data, this value is constant among processes from the same user.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sz w:val="16"/>
          <w:highlight w:val="white"/>
        </w:rPr>
        <w:t>('UID: ', '506')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'1234')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400)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'1235')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</w:t>
      </w:r>
      <w:r>
        <w:rPr>
          <w:sz w:val="16"/>
          <w:highlight w:val="white"/>
        </w:rPr>
        <w:t>0)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'1236')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400)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sz w:val="16"/>
          <w:highlight w:val="white"/>
        </w:rPr>
        <w:t>('UID: ', '507')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'1271')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'1272')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'1273')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400)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sz w:val="16"/>
          <w:highlight w:val="white"/>
        </w:rPr>
        <w:t>('UID: ', '504')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'1160')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'1161')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'1162')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sz w:val="16"/>
          <w:highlight w:val="white"/>
        </w:rPr>
        <w:t>('UID: ', '505')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'1199')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392)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'1198')</w:t>
      </w:r>
    </w:p>
    <w:p w:rsidR="006A392E" w:rsidRDefault="00567765">
      <w:pPr>
        <w:pStyle w:val="normal0"/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400)</w:t>
      </w:r>
    </w:p>
    <w:p w:rsidR="006A392E" w:rsidRDefault="00567765">
      <w:pPr>
        <w:pStyle w:val="normal0"/>
      </w:pPr>
      <w:r>
        <w:rPr>
          <w:sz w:val="16"/>
          <w:highlight w:val="white"/>
        </w:rPr>
        <w:t>('PID: ', '1197')</w:t>
      </w:r>
    </w:p>
    <w:p w:rsidR="006A392E" w:rsidRDefault="00567765">
      <w:pPr>
        <w:pStyle w:val="normal0"/>
        <w:rPr>
          <w:sz w:val="16"/>
        </w:rPr>
      </w:pPr>
      <w:r>
        <w:rPr>
          <w:sz w:val="16"/>
          <w:highlight w:val="white"/>
        </w:rPr>
        <w:t>(</w:t>
      </w:r>
      <w:proofErr w:type="gramStart"/>
      <w:r>
        <w:rPr>
          <w:sz w:val="16"/>
          <w:highlight w:val="white"/>
        </w:rPr>
        <w:t>'TS:',</w:t>
      </w:r>
      <w:proofErr w:type="gramEnd"/>
      <w:r>
        <w:rPr>
          <w:sz w:val="16"/>
          <w:highlight w:val="white"/>
        </w:rPr>
        <w:t xml:space="preserve"> 400)</w:t>
      </w:r>
    </w:p>
    <w:p w:rsidR="00465C4D" w:rsidRDefault="00465C4D">
      <w:pPr>
        <w:pStyle w:val="normal0"/>
        <w:rPr>
          <w:sz w:val="16"/>
        </w:rPr>
      </w:pPr>
    </w:p>
    <w:p w:rsidR="00465C4D" w:rsidRPr="00465C4D" w:rsidRDefault="00465C4D">
      <w:pPr>
        <w:pStyle w:val="normal0"/>
        <w:rPr>
          <w:b/>
          <w:bCs/>
          <w:szCs w:val="32"/>
          <w:u w:val="single"/>
        </w:rPr>
      </w:pPr>
      <w:r w:rsidRPr="00465C4D">
        <w:rPr>
          <w:b/>
          <w:bCs/>
          <w:szCs w:val="32"/>
          <w:u w:val="single"/>
        </w:rPr>
        <w:t xml:space="preserve">UID Vs </w:t>
      </w:r>
      <w:proofErr w:type="spellStart"/>
      <w:r w:rsidRPr="00465C4D">
        <w:rPr>
          <w:b/>
          <w:bCs/>
          <w:szCs w:val="32"/>
          <w:u w:val="single"/>
        </w:rPr>
        <w:t>TimeSlice</w:t>
      </w:r>
      <w:proofErr w:type="spellEnd"/>
      <w:r w:rsidRPr="00465C4D">
        <w:rPr>
          <w:b/>
          <w:bCs/>
          <w:szCs w:val="32"/>
          <w:u w:val="single"/>
        </w:rPr>
        <w:t>:</w:t>
      </w:r>
    </w:p>
    <w:p w:rsidR="00465C4D" w:rsidRDefault="00465C4D">
      <w:pPr>
        <w:pStyle w:val="normal0"/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976"/>
        <w:gridCol w:w="976"/>
      </w:tblGrid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UID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TS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504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505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1184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506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1176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507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1192</w:t>
            </w:r>
          </w:p>
        </w:tc>
      </w:tr>
    </w:tbl>
    <w:p w:rsidR="00465C4D" w:rsidRDefault="00465C4D">
      <w:pPr>
        <w:pStyle w:val="normal0"/>
      </w:pPr>
    </w:p>
    <w:p w:rsidR="00465C4D" w:rsidRPr="00465C4D" w:rsidRDefault="00465C4D">
      <w:pPr>
        <w:pStyle w:val="normal0"/>
        <w:rPr>
          <w:b/>
          <w:bCs/>
          <w:u w:val="single"/>
        </w:rPr>
      </w:pPr>
      <w:r w:rsidRPr="00465C4D">
        <w:rPr>
          <w:b/>
          <w:bCs/>
          <w:u w:val="single"/>
        </w:rPr>
        <w:lastRenderedPageBreak/>
        <w:t xml:space="preserve">PID Vs </w:t>
      </w:r>
      <w:proofErr w:type="spellStart"/>
      <w:r w:rsidRPr="00465C4D">
        <w:rPr>
          <w:b/>
          <w:bCs/>
          <w:u w:val="single"/>
        </w:rPr>
        <w:t>TimeSlice</w:t>
      </w:r>
      <w:proofErr w:type="spellEnd"/>
      <w:r w:rsidRPr="00465C4D">
        <w:rPr>
          <w:b/>
          <w:bCs/>
          <w:u w:val="single"/>
        </w:rPr>
        <w:t>:</w:t>
      </w:r>
    </w:p>
    <w:p w:rsidR="00465C4D" w:rsidRDefault="00465C4D">
      <w:pPr>
        <w:pStyle w:val="normal0"/>
      </w:pPr>
    </w:p>
    <w:tbl>
      <w:tblPr>
        <w:tblStyle w:val="TableGrid"/>
        <w:tblW w:w="0" w:type="auto"/>
        <w:tblLook w:val="04A0"/>
      </w:tblPr>
      <w:tblGrid>
        <w:gridCol w:w="976"/>
        <w:gridCol w:w="976"/>
        <w:gridCol w:w="976"/>
      </w:tblGrid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UID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PID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TS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 w:val="restart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504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1160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1161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1162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 w:val="restart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505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1197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1198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1199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 w:val="restart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506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1234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1235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1236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 w:val="restart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507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1271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1272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392</w:t>
            </w:r>
          </w:p>
        </w:tc>
      </w:tr>
      <w:tr w:rsidR="00465C4D" w:rsidRPr="00465C4D" w:rsidTr="00465C4D">
        <w:trPr>
          <w:trHeight w:val="300"/>
        </w:trPr>
        <w:tc>
          <w:tcPr>
            <w:tcW w:w="976" w:type="dxa"/>
            <w:vMerge/>
            <w:hideMark/>
          </w:tcPr>
          <w:p w:rsidR="00465C4D" w:rsidRPr="00465C4D" w:rsidRDefault="00465C4D" w:rsidP="00465C4D">
            <w:pPr>
              <w:pStyle w:val="normal0"/>
            </w:pP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1273</w:t>
            </w:r>
          </w:p>
        </w:tc>
        <w:tc>
          <w:tcPr>
            <w:tcW w:w="976" w:type="dxa"/>
            <w:noWrap/>
            <w:hideMark/>
          </w:tcPr>
          <w:p w:rsidR="00465C4D" w:rsidRPr="00465C4D" w:rsidRDefault="00465C4D" w:rsidP="00465C4D">
            <w:pPr>
              <w:pStyle w:val="normal0"/>
            </w:pPr>
            <w:r w:rsidRPr="00465C4D">
              <w:t>400</w:t>
            </w:r>
          </w:p>
        </w:tc>
      </w:tr>
    </w:tbl>
    <w:p w:rsidR="00465C4D" w:rsidRDefault="00465C4D">
      <w:pPr>
        <w:pStyle w:val="normal0"/>
      </w:pPr>
    </w:p>
    <w:p w:rsidR="00465C4D" w:rsidRDefault="00465C4D">
      <w:pPr>
        <w:pStyle w:val="normal0"/>
      </w:pPr>
      <w:r>
        <w:t xml:space="preserve">Graph below shows the </w:t>
      </w:r>
      <w:proofErr w:type="spellStart"/>
      <w:r>
        <w:t>TimeSlice</w:t>
      </w:r>
      <w:proofErr w:type="spellEnd"/>
      <w:r>
        <w:t xml:space="preserve"> split uniformly between users. </w:t>
      </w:r>
    </w:p>
    <w:p w:rsidR="00465C4D" w:rsidRDefault="00465C4D">
      <w:pPr>
        <w:pStyle w:val="normal0"/>
      </w:pPr>
    </w:p>
    <w:p w:rsidR="00465C4D" w:rsidRDefault="00465C4D">
      <w:pPr>
        <w:pStyle w:val="normal0"/>
      </w:pPr>
      <w:r w:rsidRPr="00465C4D"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</w:p>
    <w:p w:rsidR="00465C4D" w:rsidRDefault="00465C4D">
      <w:pPr>
        <w:pStyle w:val="normal0"/>
      </w:pPr>
      <w:r>
        <w:lastRenderedPageBreak/>
        <w:t xml:space="preserve">Graph below shows the </w:t>
      </w:r>
      <w:proofErr w:type="spellStart"/>
      <w:r>
        <w:t>TimeSlice</w:t>
      </w:r>
      <w:proofErr w:type="spellEnd"/>
      <w:r>
        <w:t xml:space="preserve"> split evenly between processes per user.</w:t>
      </w:r>
    </w:p>
    <w:p w:rsidR="00465C4D" w:rsidRDefault="00465C4D">
      <w:pPr>
        <w:pStyle w:val="normal0"/>
      </w:pPr>
    </w:p>
    <w:p w:rsidR="00465C4D" w:rsidRDefault="00465C4D">
      <w:pPr>
        <w:pStyle w:val="normal0"/>
      </w:pPr>
      <w:r w:rsidRPr="00465C4D">
        <w:drawing>
          <wp:inline distT="0" distB="0" distL="0" distR="0">
            <wp:extent cx="4572000" cy="27432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392E" w:rsidRDefault="006A392E">
      <w:pPr>
        <w:pStyle w:val="normal0"/>
      </w:pPr>
    </w:p>
    <w:p w:rsidR="006A392E" w:rsidRDefault="00567765">
      <w:pPr>
        <w:pStyle w:val="normal0"/>
      </w:pPr>
      <w:r>
        <w:rPr>
          <w:b/>
          <w:u w:val="single"/>
        </w:rPr>
        <w:t>Actual changes: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include/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Define new scheduling policy (~line 129)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Add </w:t>
      </w:r>
      <w:proofErr w:type="spellStart"/>
      <w:r>
        <w:t>fssp_processes</w:t>
      </w:r>
      <w:proofErr w:type="spellEnd"/>
      <w:r>
        <w:t xml:space="preserve"> counter to </w:t>
      </w:r>
      <w:proofErr w:type="spellStart"/>
      <w:r>
        <w:t>user_struct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Add </w:t>
      </w:r>
      <w:proofErr w:type="spellStart"/>
      <w:r>
        <w:t>is_fssp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to </w:t>
      </w:r>
      <w:proofErr w:type="spellStart"/>
      <w:r>
        <w:t>task_struct</w:t>
      </w:r>
      <w:proofErr w:type="spellEnd"/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kernel/</w:t>
      </w:r>
      <w:proofErr w:type="spellStart"/>
      <w:r>
        <w:t>sched.c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Remove </w:t>
      </w:r>
      <w:proofErr w:type="spellStart"/>
      <w:r>
        <w:t>sys_sched_setscheduler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(disable existing system call)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Remove </w:t>
      </w:r>
      <w:proofErr w:type="spellStart"/>
      <w:r>
        <w:t>sys_sched_setparam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rPr>
          <w:i/>
        </w:rPr>
        <w:t xml:space="preserve">When enabling </w:t>
      </w:r>
      <w:proofErr w:type="spellStart"/>
      <w:r>
        <w:rPr>
          <w:i/>
        </w:rPr>
        <w:t>fssp</w:t>
      </w:r>
      <w:proofErr w:type="spellEnd"/>
      <w:r>
        <w:rPr>
          <w:i/>
        </w:rPr>
        <w:t xml:space="preserve"> policy for a process</w:t>
      </w:r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 xml:space="preserve">If </w:t>
      </w:r>
      <w:proofErr w:type="spellStart"/>
      <w:r>
        <w:rPr>
          <w:i/>
        </w:rPr>
        <w:t>procesess</w:t>
      </w:r>
      <w:proofErr w:type="spellEnd"/>
      <w:r>
        <w:rPr>
          <w:i/>
        </w:rPr>
        <w:t xml:space="preserve"> under </w:t>
      </w:r>
      <w:proofErr w:type="spellStart"/>
      <w:r>
        <w:rPr>
          <w:i/>
        </w:rPr>
        <w:t>fssp</w:t>
      </w:r>
      <w:proofErr w:type="spellEnd"/>
      <w:r>
        <w:rPr>
          <w:i/>
        </w:rPr>
        <w:t xml:space="preserve"> for this user = 0, increase </w:t>
      </w:r>
      <w:proofErr w:type="spellStart"/>
      <w:r>
        <w:rPr>
          <w:i/>
        </w:rPr>
        <w:t>num_users</w:t>
      </w:r>
      <w:proofErr w:type="spellEnd"/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>Number of</w:t>
      </w:r>
      <w:r>
        <w:rPr>
          <w:i/>
        </w:rPr>
        <w:t xml:space="preserve"> processes to be incremented by 1</w:t>
      </w:r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 xml:space="preserve">Invoke </w:t>
      </w:r>
      <w:proofErr w:type="spellStart"/>
      <w:r>
        <w:rPr>
          <w:i/>
        </w:rPr>
        <w:t>fssp_calc_ts_per_user</w:t>
      </w:r>
      <w:proofErr w:type="spellEnd"/>
      <w:r>
        <w:rPr>
          <w:i/>
        </w:rPr>
        <w:t>()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rPr>
          <w:i/>
        </w:rPr>
        <w:t xml:space="preserve">When disabling </w:t>
      </w:r>
      <w:proofErr w:type="spellStart"/>
      <w:r>
        <w:rPr>
          <w:i/>
        </w:rPr>
        <w:t>fssp</w:t>
      </w:r>
      <w:proofErr w:type="spellEnd"/>
      <w:r>
        <w:rPr>
          <w:i/>
        </w:rPr>
        <w:t xml:space="preserve"> policy for a process</w:t>
      </w:r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>Number of processes to be decremented 1</w:t>
      </w:r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 xml:space="preserve">If </w:t>
      </w:r>
      <w:proofErr w:type="spellStart"/>
      <w:r>
        <w:rPr>
          <w:i/>
        </w:rPr>
        <w:t>procesess</w:t>
      </w:r>
      <w:proofErr w:type="spellEnd"/>
      <w:r>
        <w:rPr>
          <w:i/>
        </w:rPr>
        <w:t xml:space="preserve"> under </w:t>
      </w:r>
      <w:proofErr w:type="spellStart"/>
      <w:r>
        <w:rPr>
          <w:i/>
        </w:rPr>
        <w:t>fssp</w:t>
      </w:r>
      <w:proofErr w:type="spellEnd"/>
      <w:r>
        <w:rPr>
          <w:i/>
        </w:rPr>
        <w:t xml:space="preserve"> for this user = 0, decrease </w:t>
      </w:r>
      <w:proofErr w:type="spellStart"/>
      <w:r>
        <w:rPr>
          <w:i/>
        </w:rPr>
        <w:t>num_users</w:t>
      </w:r>
      <w:proofErr w:type="spellEnd"/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rPr>
          <w:i/>
        </w:rPr>
        <w:t xml:space="preserve">Invoke </w:t>
      </w:r>
      <w:proofErr w:type="spellStart"/>
      <w:r>
        <w:rPr>
          <w:i/>
        </w:rPr>
        <w:t>fssp_calc_ts_per_user</w:t>
      </w:r>
      <w:proofErr w:type="spellEnd"/>
      <w:r>
        <w:rPr>
          <w:i/>
        </w:rPr>
        <w:t>()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kernel/</w:t>
      </w:r>
      <w:proofErr w:type="spellStart"/>
      <w:r>
        <w:t>user.c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In </w:t>
      </w:r>
      <w:proofErr w:type="spellStart"/>
      <w:r>
        <w:t>alloc_uid</w:t>
      </w:r>
      <w:proofErr w:type="spellEnd"/>
      <w:r>
        <w:t>()</w:t>
      </w:r>
    </w:p>
    <w:p w:rsidR="006A392E" w:rsidRDefault="00567765">
      <w:pPr>
        <w:pStyle w:val="normal0"/>
        <w:numPr>
          <w:ilvl w:val="2"/>
          <w:numId w:val="2"/>
        </w:numPr>
        <w:ind w:hanging="359"/>
      </w:pPr>
      <w:r>
        <w:t xml:space="preserve">set </w:t>
      </w:r>
      <w:proofErr w:type="spellStart"/>
      <w:r>
        <w:t>fssp_processes</w:t>
      </w:r>
      <w:proofErr w:type="spellEnd"/>
      <w:r>
        <w:t xml:space="preserve"> to 0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proofErr w:type="spellStart"/>
      <w:r>
        <w:t>fssp_calc_ts_per_user</w:t>
      </w:r>
      <w:proofErr w:type="spellEnd"/>
      <w:r>
        <w:t>()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Divide DEF_TIMESLICE / </w:t>
      </w:r>
      <w:proofErr w:type="spellStart"/>
      <w:r>
        <w:t>fssp_num_users</w:t>
      </w:r>
      <w:proofErr w:type="spellEnd"/>
      <w:r>
        <w:t>.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Toggle system call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proofErr w:type="spellStart"/>
      <w:r>
        <w:t>sys_toggle_fssp</w:t>
      </w:r>
      <w:proofErr w:type="spellEnd"/>
      <w:r>
        <w:t>() implemented in kernel/</w:t>
      </w:r>
      <w:proofErr w:type="spellStart"/>
      <w:r>
        <w:t>sched.c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arch/i386/kernel/</w:t>
      </w:r>
      <w:proofErr w:type="spellStart"/>
      <w:r>
        <w:t>entry.S</w:t>
      </w:r>
      <w:proofErr w:type="spellEnd"/>
      <w:r>
        <w:t xml:space="preserve"> - system call table entry added (285)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include/asm-i386/</w:t>
      </w:r>
      <w:proofErr w:type="spellStart"/>
      <w:r>
        <w:t>unistd.h</w:t>
      </w:r>
      <w:proofErr w:type="spellEnd"/>
      <w:r>
        <w:t xml:space="preserve"> -</w:t>
      </w:r>
      <w:r>
        <w:t xml:space="preserve"> system call number macro added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Profile system call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proofErr w:type="spellStart"/>
      <w:r>
        <w:lastRenderedPageBreak/>
        <w:t>sys_profile_fssp</w:t>
      </w:r>
      <w:proofErr w:type="spellEnd"/>
      <w:r>
        <w:t>() in kernel/</w:t>
      </w:r>
      <w:proofErr w:type="spellStart"/>
      <w:r>
        <w:t>sched.c</w:t>
      </w:r>
      <w:proofErr w:type="spellEnd"/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arch/i386/kernel/</w:t>
      </w:r>
      <w:proofErr w:type="spellStart"/>
      <w:r>
        <w:t>entry.S</w:t>
      </w:r>
      <w:proofErr w:type="spellEnd"/>
      <w:r>
        <w:t xml:space="preserve"> - system call table entry added (286)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include/asm-i386/</w:t>
      </w:r>
      <w:proofErr w:type="spellStart"/>
      <w:r>
        <w:t>unistd.h</w:t>
      </w:r>
      <w:proofErr w:type="spellEnd"/>
      <w:r>
        <w:t xml:space="preserve"> - system call number macro added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>Configuration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>Using 1mb_config</w:t>
      </w:r>
    </w:p>
    <w:p w:rsidR="006A392E" w:rsidRDefault="00567765">
      <w:pPr>
        <w:pStyle w:val="normal0"/>
        <w:numPr>
          <w:ilvl w:val="0"/>
          <w:numId w:val="2"/>
        </w:numPr>
        <w:ind w:hanging="359"/>
      </w:pPr>
      <w:r>
        <w:t xml:space="preserve">In </w:t>
      </w:r>
      <w:proofErr w:type="spellStart"/>
      <w:r>
        <w:t>task_timeslice</w:t>
      </w:r>
      <w:proofErr w:type="spellEnd"/>
      <w:r>
        <w:t xml:space="preserve">() in </w:t>
      </w:r>
      <w:proofErr w:type="spellStart"/>
      <w:r>
        <w:t>sched.c</w:t>
      </w:r>
      <w:proofErr w:type="spellEnd"/>
      <w:r>
        <w:t>:</w:t>
      </w:r>
    </w:p>
    <w:p w:rsidR="006A392E" w:rsidRDefault="00567765">
      <w:pPr>
        <w:pStyle w:val="normal0"/>
        <w:numPr>
          <w:ilvl w:val="1"/>
          <w:numId w:val="2"/>
        </w:numPr>
        <w:ind w:hanging="359"/>
      </w:pPr>
      <w:r>
        <w:t xml:space="preserve">Calculate user’s </w:t>
      </w:r>
      <w:proofErr w:type="spellStart"/>
      <w:r>
        <w:t>fssp</w:t>
      </w:r>
      <w:proofErr w:type="spellEnd"/>
      <w:r>
        <w:t xml:space="preserve"> processes number / </w:t>
      </w:r>
      <w:proofErr w:type="spellStart"/>
      <w:r>
        <w:t>timeslice</w:t>
      </w:r>
      <w:proofErr w:type="spellEnd"/>
      <w:r>
        <w:t xml:space="preserve"> per use</w:t>
      </w:r>
    </w:p>
    <w:sectPr w:rsidR="006A392E" w:rsidSect="006A392E">
      <w:pgSz w:w="12240" w:h="15840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42553"/>
    <w:multiLevelType w:val="multilevel"/>
    <w:tmpl w:val="4AEEF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DA81FFC"/>
    <w:multiLevelType w:val="multilevel"/>
    <w:tmpl w:val="728282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>
    <w:useFELayout/>
  </w:compat>
  <w:rsids>
    <w:rsidRoot w:val="006A392E"/>
    <w:rsid w:val="00465C4D"/>
    <w:rsid w:val="00567765"/>
    <w:rsid w:val="006A392E"/>
    <w:rsid w:val="00E9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A392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6A392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6A392E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6A392E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6A392E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6A392E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392E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6A392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6A392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5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UID Vs TS</a:t>
            </a:r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strRef>
              <c:f>Sheet1!$B$1</c:f>
              <c:strCache>
                <c:ptCount val="1"/>
                <c:pt idx="0">
                  <c:v>TS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504</c:v>
                </c:pt>
                <c:pt idx="1">
                  <c:v>505</c:v>
                </c:pt>
                <c:pt idx="2">
                  <c:v>506</c:v>
                </c:pt>
                <c:pt idx="3">
                  <c:v>507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1200</c:v>
                </c:pt>
                <c:pt idx="1">
                  <c:v>1184</c:v>
                </c:pt>
                <c:pt idx="2">
                  <c:v>1176</c:v>
                </c:pt>
                <c:pt idx="3">
                  <c:v>1192</c:v>
                </c:pt>
              </c:numCache>
            </c:numRef>
          </c:val>
        </c:ser>
        <c:axId val="221059712"/>
        <c:axId val="221068288"/>
      </c:barChart>
      <c:catAx>
        <c:axId val="221059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UID</a:t>
                </a:r>
              </a:p>
            </c:rich>
          </c:tx>
        </c:title>
        <c:numFmt formatCode="General" sourceLinked="1"/>
        <c:majorTickMark val="none"/>
        <c:tickLblPos val="nextTo"/>
        <c:crossAx val="221068288"/>
        <c:crosses val="autoZero"/>
        <c:auto val="1"/>
        <c:lblAlgn val="ctr"/>
        <c:lblOffset val="100"/>
      </c:catAx>
      <c:valAx>
        <c:axId val="221068288"/>
        <c:scaling>
          <c:orientation val="minMax"/>
          <c:max val="15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TimeSlice</a:t>
                </a:r>
              </a:p>
            </c:rich>
          </c:tx>
        </c:title>
        <c:numFmt formatCode="General" sourceLinked="1"/>
        <c:tickLblPos val="nextTo"/>
        <c:crossAx val="221059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barChart>
        <c:barDir val="col"/>
        <c:grouping val="stacked"/>
        <c:ser>
          <c:idx val="2"/>
          <c:order val="0"/>
          <c:tx>
            <c:strRef>
              <c:f>Sheet1!$F$1</c:f>
              <c:strCache>
                <c:ptCount val="1"/>
                <c:pt idx="0">
                  <c:v>TS per PID</c:v>
                </c:pt>
              </c:strCache>
            </c:strRef>
          </c:tx>
          <c:cat>
            <c:numRef>
              <c:f>Sheet1!$D$2:$D$16</c:f>
              <c:numCache>
                <c:formatCode>General</c:formatCode>
                <c:ptCount val="15"/>
                <c:pt idx="0">
                  <c:v>504</c:v>
                </c:pt>
                <c:pt idx="4">
                  <c:v>505</c:v>
                </c:pt>
                <c:pt idx="8">
                  <c:v>506</c:v>
                </c:pt>
                <c:pt idx="12">
                  <c:v>507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392</c:v>
                </c:pt>
                <c:pt idx="1">
                  <c:v>392</c:v>
                </c:pt>
                <c:pt idx="2">
                  <c:v>392</c:v>
                </c:pt>
                <c:pt idx="4">
                  <c:v>400</c:v>
                </c:pt>
                <c:pt idx="5">
                  <c:v>400</c:v>
                </c:pt>
                <c:pt idx="6">
                  <c:v>392</c:v>
                </c:pt>
                <c:pt idx="8">
                  <c:v>400</c:v>
                </c:pt>
                <c:pt idx="9">
                  <c:v>400</c:v>
                </c:pt>
                <c:pt idx="10">
                  <c:v>400</c:v>
                </c:pt>
                <c:pt idx="12">
                  <c:v>392</c:v>
                </c:pt>
                <c:pt idx="13">
                  <c:v>392</c:v>
                </c:pt>
                <c:pt idx="14">
                  <c:v>400</c:v>
                </c:pt>
              </c:numCache>
            </c:numRef>
          </c:val>
        </c:ser>
        <c:gapWidth val="75"/>
        <c:overlap val="100"/>
        <c:axId val="212391808"/>
        <c:axId val="212398080"/>
      </c:barChart>
      <c:catAx>
        <c:axId val="21239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UID</a:t>
                </a:r>
              </a:p>
            </c:rich>
          </c:tx>
        </c:title>
        <c:numFmt formatCode="General" sourceLinked="1"/>
        <c:majorTickMark val="none"/>
        <c:tickLblPos val="nextTo"/>
        <c:crossAx val="212398080"/>
        <c:crosses val="autoZero"/>
        <c:auto val="1"/>
        <c:lblAlgn val="ctr"/>
        <c:lblOffset val="100"/>
      </c:catAx>
      <c:valAx>
        <c:axId val="212398080"/>
        <c:scaling>
          <c:orientation val="minMax"/>
          <c:max val="60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TimeSlice</a:t>
                </a:r>
              </a:p>
            </c:rich>
          </c:tx>
        </c:title>
        <c:numFmt formatCode="General" sourceLinked="1"/>
        <c:tickLblPos val="nextTo"/>
        <c:crossAx val="212391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Implementation Log.docx</vt:lpstr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Implementation Log.docx</dc:title>
  <cp:lastModifiedBy>Mahadevan</cp:lastModifiedBy>
  <cp:revision>3</cp:revision>
  <dcterms:created xsi:type="dcterms:W3CDTF">2013-02-28T02:32:00Z</dcterms:created>
  <dcterms:modified xsi:type="dcterms:W3CDTF">2013-02-28T02:54:00Z</dcterms:modified>
</cp:coreProperties>
</file>