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E74813" w14:textId="77777777" w:rsidR="007B06F1" w:rsidRDefault="00C641AC" w:rsidP="00C641AC">
      <w:pPr>
        <w:pStyle w:val="Heading1"/>
      </w:pPr>
      <w:r>
        <w:t>Background</w:t>
      </w:r>
    </w:p>
    <w:p w14:paraId="02B35497" w14:textId="203D6549" w:rsidR="003A277B" w:rsidRDefault="00A21690" w:rsidP="00A21690">
      <w:r>
        <w:t xml:space="preserve">This document describes </w:t>
      </w:r>
      <w:r w:rsidR="007C715E">
        <w:t>several raster datasets for projected Mean Fire Return Intervals (MFRI) in California</w:t>
      </w:r>
      <w:r>
        <w:t>.  The methodology and motivation be</w:t>
      </w:r>
      <w:r w:rsidR="006F2D5B">
        <w:t xml:space="preserve">hind these data are presented in </w:t>
      </w:r>
      <w:r w:rsidR="006F2D5B">
        <w:fldChar w:fldCharType="begin"/>
      </w:r>
      <w:r w:rsidR="006F2D5B">
        <w:instrText xml:space="preserve"> ADDIN EN.CITE &lt;EndNote&gt;&lt;Cite AuthorYear="1"&gt;&lt;Author&gt;Mann&lt;/Author&gt;&lt;Year&gt;2016&lt;/Year&gt;&lt;RecNum&gt;1098&lt;/RecNum&gt;&lt;DisplayText&gt;Mann et al. (2016)&lt;/DisplayText&gt;&lt;record&gt;&lt;rec-number&gt;1098&lt;/rec-number&gt;&lt;foreign-keys&gt;&lt;key app="EN" db-id="tvr2ftxfwz0av4ezxvy5fdetzraxezpfavsv" timestamp="1515621799"&gt;1098&lt;/key&gt;&lt;/foreign-keys&gt;&lt;ref-type name="Journal Article"&gt;17&lt;/ref-type&gt;&lt;contributors&gt;&lt;authors&gt;&lt;author&gt;Mann, Michael L&lt;/author&gt;&lt;author&gt;Batllori, Enric&lt;/author&gt;&lt;author&gt;Moritz, Max A&lt;/author&gt;&lt;author&gt;Waller, Eric K&lt;/author&gt;&lt;author&gt;Berck, Peter&lt;/author&gt;&lt;author&gt;Flint, Alan L&lt;/author&gt;&lt;author&gt;Flint, Lorraine E&lt;/author&gt;&lt;author&gt;Dolfi, Emmalee&lt;/author&gt;&lt;/authors&gt;&lt;/contributors&gt;&lt;titles&gt;&lt;title&gt;Incorporating anthropogenic influences into fire probability models: effects of human activity and climate change on fire activity in California&lt;/title&gt;&lt;secondary-title&gt;PLoS One&lt;/secondary-title&gt;&lt;/titles&gt;&lt;periodical&gt;&lt;full-title&gt;PLoS ONE&lt;/full-title&gt;&lt;/periodical&gt;&lt;pages&gt;e0153589&lt;/pages&gt;&lt;volume&gt;11&lt;/volume&gt;&lt;number&gt;4&lt;/number&gt;&lt;dates&gt;&lt;year&gt;2016&lt;/year&gt;&lt;/dates&gt;&lt;isbn&gt;1932-6203&lt;/isbn&gt;&lt;urls&gt;&lt;/urls&gt;&lt;/record&gt;&lt;/Cite&gt;&lt;/EndNote&gt;</w:instrText>
      </w:r>
      <w:r w:rsidR="006F2D5B">
        <w:fldChar w:fldCharType="separate"/>
      </w:r>
      <w:r w:rsidR="006F2D5B">
        <w:rPr>
          <w:noProof/>
        </w:rPr>
        <w:t>Mann et al. (2016)</w:t>
      </w:r>
      <w:r w:rsidR="006F2D5B">
        <w:fldChar w:fldCharType="end"/>
      </w:r>
      <w:r w:rsidR="006B64BA">
        <w:rPr>
          <w:b/>
        </w:rPr>
        <w:t xml:space="preserve">. </w:t>
      </w:r>
      <w:r w:rsidR="006B64BA">
        <w:t xml:space="preserve">In that paper, the authors predict </w:t>
      </w:r>
      <w:r w:rsidR="007C715E">
        <w:t>MFRI</w:t>
      </w:r>
      <w:r w:rsidR="00026C0F">
        <w:t xml:space="preserve"> using</w:t>
      </w:r>
      <w:r w:rsidR="003A277B">
        <w:t xml:space="preserve"> </w:t>
      </w:r>
      <w:r w:rsidR="007C715E">
        <w:t xml:space="preserve">forecasts for </w:t>
      </w:r>
      <w:r w:rsidR="003A277B">
        <w:t>r</w:t>
      </w:r>
      <w:r w:rsidR="007C715E">
        <w:t>esidential development</w:t>
      </w:r>
      <w:r w:rsidR="003A277B">
        <w:t xml:space="preserve"> </w:t>
      </w:r>
      <w:r w:rsidR="003A277B">
        <w:fldChar w:fldCharType="begin"/>
      </w:r>
      <w:r w:rsidR="003A277B">
        <w:instrText xml:space="preserve"> ADDIN EN.CITE &lt;EndNote&gt;&lt;Cite&gt;&lt;Author&gt;Mann&lt;/Author&gt;&lt;Year&gt;2014&lt;/Year&gt;&lt;RecNum&gt;850&lt;/RecNum&gt;&lt;DisplayText&gt;(Mann et al., 2014)&lt;/DisplayText&gt;&lt;record&gt;&lt;rec-number&gt;850&lt;/rec-number&gt;&lt;foreign-keys&gt;&lt;key app="EN" db-id="tvr2ftxfwz0av4ezxvy5fdetzraxezpfavsv" timestamp="1442001851"&gt;850&lt;/key&gt;&lt;/foreign-keys&gt;&lt;ref-type name="Journal Article"&gt;17&lt;/ref-type&gt;&lt;contributors&gt;&lt;authors&gt;&lt;author&gt;Mann, Michael L.&lt;/author&gt;&lt;author&gt;Berck, Peter&lt;/author&gt;&lt;author&gt;Moritz, Max A.&lt;/author&gt;&lt;author&gt;Batllori, Enric&lt;/author&gt;&lt;author&gt;Baldwin, James G.&lt;/author&gt;&lt;author&gt;Gately, Conor K.&lt;/author&gt;&lt;author&gt;Cameron, D. Richard&lt;/author&gt;&lt;/authors&gt;&lt;/contributors&gt;&lt;titles&gt;&lt;title&gt;Modeling residential development in California from 2000 to 2050: Integrating wildfire risk, wildland and agricultural encroachment&lt;/title&gt;&lt;secondary-title&gt;Land Use Policy&lt;/secondary-title&gt;&lt;/titles&gt;&lt;periodical&gt;&lt;full-title&gt;Land Use Policy&lt;/full-title&gt;&lt;/periodical&gt;&lt;pages&gt;438-452&lt;/pages&gt;&lt;volume&gt;41&lt;/volume&gt;&lt;keywords&gt;&lt;keyword&gt;Housing&lt;/keyword&gt;&lt;keyword&gt;Spatial econometrics&lt;/keyword&gt;&lt;keyword&gt;Conservation&lt;/keyword&gt;&lt;keyword&gt;Wildfire&lt;/keyword&gt;&lt;keyword&gt;California&lt;/keyword&gt;&lt;keyword&gt;Wildland Urban Interface&lt;/keyword&gt;&lt;/keywords&gt;&lt;dates&gt;&lt;year&gt;2014&lt;/year&gt;&lt;pub-dates&gt;&lt;date&gt;11//&lt;/date&gt;&lt;/pub-dates&gt;&lt;/dates&gt;&lt;isbn&gt;0264-8377&lt;/isbn&gt;&lt;urls&gt;&lt;related-urls&gt;&lt;url&gt;http://www.sciencedirect.com/science/article/pii/S0264837714001409&lt;/url&gt;&lt;/related-urls&gt;&lt;/urls&gt;&lt;electronic-resource-num&gt;http://dx.doi.org/10.1016/j.landusepol.2014.06.020&lt;/electronic-resource-num&gt;&lt;/record&gt;&lt;/Cite&gt;&lt;/EndNote&gt;</w:instrText>
      </w:r>
      <w:r w:rsidR="003A277B">
        <w:fldChar w:fldCharType="separate"/>
      </w:r>
      <w:r w:rsidR="003A277B">
        <w:rPr>
          <w:noProof/>
        </w:rPr>
        <w:t>(Mann et al., 2014)</w:t>
      </w:r>
      <w:r w:rsidR="003A277B">
        <w:fldChar w:fldCharType="end"/>
      </w:r>
      <w:r w:rsidR="003A277B">
        <w:t xml:space="preserve"> along with Actual Evapotranspiration (AET) </w:t>
      </w:r>
      <w:r w:rsidR="005B6F0F">
        <w:t>and</w:t>
      </w:r>
      <w:r w:rsidR="003A277B">
        <w:t xml:space="preserve"> Cumulative Water Deficit</w:t>
      </w:r>
      <w:r w:rsidR="005B6F0F">
        <w:t xml:space="preserve"> </w:t>
      </w:r>
      <w:r w:rsidR="003A277B">
        <w:t>(</w:t>
      </w:r>
      <w:r w:rsidR="005B6F0F">
        <w:t>CWD</w:t>
      </w:r>
      <w:r w:rsidR="003A277B">
        <w:t>)</w:t>
      </w:r>
      <w:r w:rsidR="005B6F0F">
        <w:t xml:space="preserve"> outputs from two</w:t>
      </w:r>
      <w:r w:rsidR="003A277B">
        <w:t xml:space="preserve"> different</w:t>
      </w:r>
      <w:r w:rsidR="005B6F0F">
        <w:t xml:space="preserve"> climate models (PCM and GFDL).</w:t>
      </w:r>
      <w:r w:rsidR="00026C0F">
        <w:t xml:space="preserve"> </w:t>
      </w:r>
      <w:r w:rsidR="006B64BA">
        <w:t>We use the same methodology</w:t>
      </w:r>
      <w:r w:rsidR="005E7336">
        <w:t xml:space="preserve"> </w:t>
      </w:r>
      <w:r w:rsidR="005B6F0F">
        <w:t>and model specification but update the forecasts under CMIP5 outputs and also generate futur</w:t>
      </w:r>
      <w:r w:rsidR="003A277B">
        <w:t>es under th</w:t>
      </w:r>
      <w:r w:rsidR="0009596D">
        <w:t>ree additional Global Circulation Models (GCMS) and climate change scenarios</w:t>
      </w:r>
      <w:r w:rsidR="00791E20">
        <w:t>: MIROC RCP 8.5, MIROC RCP 4.5, and MPI RCP 4.5</w:t>
      </w:r>
      <w:r w:rsidR="003A277B">
        <w:t xml:space="preserve"> (see table 1)</w:t>
      </w:r>
      <w:r w:rsidR="00B974D5">
        <w:rPr>
          <w:rStyle w:val="FootnoteReference"/>
        </w:rPr>
        <w:footnoteReference w:id="1"/>
      </w:r>
      <w:r w:rsidR="003A277B">
        <w:t>.</w:t>
      </w:r>
    </w:p>
    <w:p w14:paraId="7CD5A405" w14:textId="77777777" w:rsidR="003A277B" w:rsidRDefault="003A277B" w:rsidP="00A21690"/>
    <w:p w14:paraId="34C0C646" w14:textId="20E49931" w:rsidR="003A277B" w:rsidRDefault="003A277B" w:rsidP="003A277B">
      <w:pPr>
        <w:pStyle w:val="Caption"/>
        <w:keepNext/>
      </w:pPr>
      <w:r>
        <w:t xml:space="preserve">Table </w:t>
      </w:r>
      <w:r w:rsidR="0062430E">
        <w:fldChar w:fldCharType="begin"/>
      </w:r>
      <w:r w:rsidR="0062430E">
        <w:instrText xml:space="preserve"> SEQ Table \* ARABIC </w:instrText>
      </w:r>
      <w:r w:rsidR="0062430E">
        <w:fldChar w:fldCharType="separate"/>
      </w:r>
      <w:r>
        <w:rPr>
          <w:noProof/>
        </w:rPr>
        <w:t>1</w:t>
      </w:r>
      <w:r w:rsidR="0062430E">
        <w:rPr>
          <w:noProof/>
        </w:rPr>
        <w:fldChar w:fldCharType="end"/>
      </w:r>
      <w:r>
        <w:t>: Climate Models and Scenarios Used for Projected MFRI</w:t>
      </w:r>
    </w:p>
    <w:p w14:paraId="0C445805" w14:textId="17892093" w:rsidR="00A21690" w:rsidRDefault="00B433FC" w:rsidP="00A21690">
      <w:r w:rsidRPr="00B433FC">
        <w:rPr>
          <w:noProof/>
        </w:rPr>
        <w:drawing>
          <wp:inline distT="0" distB="0" distL="0" distR="0" wp14:anchorId="08BF190E" wp14:editId="1712E518">
            <wp:extent cx="5486400" cy="3145790"/>
            <wp:effectExtent l="0" t="0" r="0" b="381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5C8F1" w14:textId="77777777" w:rsidR="00B433FC" w:rsidRDefault="00B433FC" w:rsidP="00A21690"/>
    <w:p w14:paraId="58062212" w14:textId="77777777" w:rsidR="00B433FC" w:rsidRDefault="00B433FC" w:rsidP="00A21690"/>
    <w:p w14:paraId="7043232D" w14:textId="77777777" w:rsidR="00C641AC" w:rsidRDefault="00C641AC" w:rsidP="00C641AC"/>
    <w:p w14:paraId="0D4B8D2B" w14:textId="77777777" w:rsidR="000736B2" w:rsidRDefault="000736B2" w:rsidP="00026C0F"/>
    <w:p w14:paraId="2673606C" w14:textId="77777777" w:rsidR="000736B2" w:rsidRDefault="000736B2" w:rsidP="00026C0F"/>
    <w:p w14:paraId="3346D2BF" w14:textId="77777777" w:rsidR="000736B2" w:rsidRDefault="000736B2" w:rsidP="00026C0F"/>
    <w:p w14:paraId="7045C098" w14:textId="0DE799BD" w:rsidR="00026C0F" w:rsidRDefault="00026C0F" w:rsidP="00026C0F">
      <w:r>
        <w:lastRenderedPageBreak/>
        <w:t xml:space="preserve">The primary </w:t>
      </w:r>
      <w:r w:rsidR="004377DF">
        <w:t>model output is the</w:t>
      </w:r>
      <w:r w:rsidR="00CC03F7">
        <w:t xml:space="preserve"> number of years between fire events, also known as</w:t>
      </w:r>
      <w:r w:rsidR="004377DF">
        <w:t xml:space="preserve"> Mean Fire Return Interval (MFRI)</w:t>
      </w:r>
      <w:r w:rsidR="00CC03F7">
        <w:t>.  For given period (p) the MFRI is defined as:</w:t>
      </w:r>
    </w:p>
    <w:p w14:paraId="50274750" w14:textId="77777777" w:rsidR="00CC03F7" w:rsidRDefault="00CC03F7" w:rsidP="00026C0F"/>
    <w:p w14:paraId="09019AB1" w14:textId="043076B7" w:rsidR="00CC03F7" w:rsidRPr="00026C0F" w:rsidRDefault="00CC03F7" w:rsidP="00026C0F">
      <w:r w:rsidRPr="00CC03F7">
        <w:rPr>
          <w:noProof/>
        </w:rPr>
        <w:drawing>
          <wp:inline distT="0" distB="0" distL="0" distR="0" wp14:anchorId="5246F184" wp14:editId="414B8F77">
            <wp:extent cx="5486400" cy="1205230"/>
            <wp:effectExtent l="0" t="0" r="0" b="0"/>
            <wp:docPr id="2" name="Picture 1" descr="latex-image-1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atex-image-1.pdf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5230"/>
                    </a:xfrm>
                    <a:prstGeom prst="rect">
                      <a:avLst/>
                    </a:prstGeom>
                    <a:solidFill>
                      <a:schemeClr val="bg1">
                        <a:lumMod val="50000"/>
                      </a:schemeClr>
                    </a:solidFill>
                  </pic:spPr>
                </pic:pic>
              </a:graphicData>
            </a:graphic>
          </wp:inline>
        </w:drawing>
      </w:r>
    </w:p>
    <w:p w14:paraId="2F523663" w14:textId="77777777" w:rsidR="00CC03F7" w:rsidRDefault="00CC03F7" w:rsidP="00CC03F7"/>
    <w:p w14:paraId="31FE34BF" w14:textId="099C57C0" w:rsidR="00A21690" w:rsidRDefault="00CC03F7" w:rsidP="00CC03F7">
      <w:proofErr w:type="gramStart"/>
      <w:r>
        <w:t>where</w:t>
      </w:r>
      <w:proofErr w:type="gramEnd"/>
      <w:r>
        <w:t>, the expected number of fires</w:t>
      </w:r>
      <w:r w:rsidR="00A21690" w:rsidRPr="00C641AC">
        <w:t xml:space="preserve"> is modeled from</w:t>
      </w:r>
      <w:r>
        <w:t xml:space="preserve"> a Zero Inflated</w:t>
      </w:r>
      <w:r w:rsidR="00A21690" w:rsidRPr="00C641AC">
        <w:t xml:space="preserve"> Negative </w:t>
      </w:r>
      <w:r>
        <w:t>Binomial Process (count model) as described in Mann et al.  We generate MFRI surfaces based on outputs from the climate models listed in table 1</w:t>
      </w:r>
      <w:r w:rsidR="0026014E">
        <w:t xml:space="preserve">. </w:t>
      </w:r>
    </w:p>
    <w:p w14:paraId="41D4DB24" w14:textId="77777777" w:rsidR="0026014E" w:rsidRDefault="0026014E" w:rsidP="00CC03F7"/>
    <w:p w14:paraId="1DE7C886" w14:textId="1709C952" w:rsidR="0026014E" w:rsidRPr="00C641AC" w:rsidRDefault="00CD2C10" w:rsidP="00CC03F7">
      <w:r>
        <w:t>The PCM and GFLD models</w:t>
      </w:r>
      <w:r w:rsidR="005263E3">
        <w:t xml:space="preserve"> were used </w:t>
      </w:r>
      <w:r>
        <w:t>predict MFRI for 2000-2025 and 2026-2050. The remaining models predict MFRI for 2006-2025 and 2026-2050.  Inputs for the 2000-2005 period were not available for those other models.  The numerator in the MFRI calculation</w:t>
      </w:r>
      <w:r w:rsidR="005263E3">
        <w:t xml:space="preserve"> for those datasets</w:t>
      </w:r>
      <w:r>
        <w:t xml:space="preserve"> reflects this. </w:t>
      </w:r>
    </w:p>
    <w:p w14:paraId="5EA045CD" w14:textId="77777777" w:rsidR="00C641AC" w:rsidRDefault="00C641AC" w:rsidP="00C641AC"/>
    <w:p w14:paraId="45A2A8DB" w14:textId="77777777" w:rsidR="00C641AC" w:rsidRDefault="00C641AC" w:rsidP="00C641AC">
      <w:pPr>
        <w:pStyle w:val="Heading1"/>
      </w:pPr>
      <w:r>
        <w:t>Datasets</w:t>
      </w:r>
    </w:p>
    <w:p w14:paraId="37D58D59" w14:textId="6E0272C3" w:rsidR="00071B79" w:rsidRDefault="00071B79" w:rsidP="009439F4">
      <w:r>
        <w:t>The zip file ‘fire_future_gtiffs.zip’ contains the predicted MFRI values from 1976_2000 (used as the baseline</w:t>
      </w:r>
      <w:r w:rsidR="00D60FB6">
        <w:t>, “period 1” in the above graphic) and the</w:t>
      </w:r>
      <w:r>
        <w:t xml:space="preserve"> forecast MFRI for various time intervals for each of the GCM models.</w:t>
      </w:r>
      <w:r w:rsidR="00CC1A51">
        <w:t xml:space="preserve"> </w:t>
      </w:r>
      <w:r w:rsidR="0009596D">
        <w:t xml:space="preserve"> All files are </w:t>
      </w:r>
      <w:proofErr w:type="spellStart"/>
      <w:r w:rsidR="0009596D">
        <w:t>GeoTiffs</w:t>
      </w:r>
      <w:proofErr w:type="spellEnd"/>
      <w:r w:rsidR="0009596D">
        <w:t xml:space="preserve">. </w:t>
      </w:r>
    </w:p>
    <w:p w14:paraId="6EF98F1C" w14:textId="77777777" w:rsidR="0009596D" w:rsidRDefault="0009596D" w:rsidP="009439F4"/>
    <w:p w14:paraId="42FBDD0B" w14:textId="41B57178" w:rsidR="0009596D" w:rsidRPr="0009596D" w:rsidRDefault="0009596D" w:rsidP="0009596D">
      <w:pPr>
        <w:rPr>
          <w:i/>
        </w:rPr>
      </w:pPr>
      <w:r>
        <w:rPr>
          <w:b/>
        </w:rPr>
        <w:t>The baseline values (MFRI for the period 1976 to 2000, based on predicted values from the model in Mann et al. 2016) are in</w:t>
      </w:r>
      <w:r w:rsidR="00F10793">
        <w:rPr>
          <w:b/>
        </w:rPr>
        <w:t xml:space="preserve"> the file</w:t>
      </w:r>
      <w:r>
        <w:rPr>
          <w:b/>
        </w:rPr>
        <w:t xml:space="preserve">: </w:t>
      </w:r>
      <w:r w:rsidRPr="00F10793">
        <w:rPr>
          <w:b/>
          <w:i/>
        </w:rPr>
        <w:t>mfri_76_00_baseline.tif</w:t>
      </w:r>
    </w:p>
    <w:p w14:paraId="76F41124" w14:textId="03287ACE" w:rsidR="0009596D" w:rsidRDefault="0009596D" w:rsidP="009439F4">
      <w:pPr>
        <w:rPr>
          <w:b/>
        </w:rPr>
      </w:pPr>
    </w:p>
    <w:p w14:paraId="1C3D0760" w14:textId="52F1EDA6" w:rsidR="00086587" w:rsidRDefault="0009596D" w:rsidP="00086587">
      <w:r>
        <w:t>The remaining files contain the forecast MFRI for based on the GCMS</w:t>
      </w:r>
      <w:r w:rsidR="00086587">
        <w:t xml:space="preserve"> listed in table 1. </w:t>
      </w:r>
      <w:r w:rsidR="00B57F04">
        <w:t xml:space="preserve">  </w:t>
      </w:r>
      <w:r w:rsidR="00086587">
        <w:t>The naming convention</w:t>
      </w:r>
      <w:r w:rsidR="00B57F04">
        <w:t xml:space="preserve"> for the </w:t>
      </w:r>
      <w:proofErr w:type="spellStart"/>
      <w:r w:rsidR="00B57F04">
        <w:t>forcast</w:t>
      </w:r>
      <w:proofErr w:type="spellEnd"/>
      <w:r w:rsidR="00B57F04">
        <w:t xml:space="preserve"> MFRI</w:t>
      </w:r>
      <w:r w:rsidR="00086587">
        <w:t xml:space="preserve"> is as follows: </w:t>
      </w:r>
      <w:r w:rsidR="00086587" w:rsidRPr="00086587">
        <w:rPr>
          <w:i/>
        </w:rPr>
        <w:t>IntervalStart_IntervalEnd_GCM.tiff</w:t>
      </w:r>
      <w:r w:rsidR="00513126">
        <w:t xml:space="preserve">.  </w:t>
      </w:r>
      <w:r w:rsidR="00B57F04">
        <w:t xml:space="preserve">For example: </w:t>
      </w:r>
    </w:p>
    <w:p w14:paraId="21B21816" w14:textId="77777777" w:rsidR="00513126" w:rsidRDefault="00513126" w:rsidP="000865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5"/>
        <w:gridCol w:w="2008"/>
        <w:gridCol w:w="1902"/>
        <w:gridCol w:w="1961"/>
      </w:tblGrid>
      <w:tr w:rsidR="00513126" w14:paraId="0F31D16C" w14:textId="77777777" w:rsidTr="00513126">
        <w:tc>
          <w:tcPr>
            <w:tcW w:w="2214" w:type="dxa"/>
          </w:tcPr>
          <w:p w14:paraId="0A924040" w14:textId="4AC8FD06" w:rsidR="00513126" w:rsidRPr="00513126" w:rsidRDefault="00513126" w:rsidP="00086587">
            <w:pPr>
              <w:rPr>
                <w:b/>
              </w:rPr>
            </w:pPr>
            <w:r>
              <w:rPr>
                <w:b/>
              </w:rPr>
              <w:t>File Name</w:t>
            </w:r>
          </w:p>
        </w:tc>
        <w:tc>
          <w:tcPr>
            <w:tcW w:w="2214" w:type="dxa"/>
          </w:tcPr>
          <w:p w14:paraId="27B784E2" w14:textId="1B9FA247" w:rsidR="00513126" w:rsidRPr="00513126" w:rsidRDefault="00513126" w:rsidP="00086587">
            <w:pPr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2214" w:type="dxa"/>
          </w:tcPr>
          <w:p w14:paraId="46719D54" w14:textId="56214220" w:rsidR="00513126" w:rsidRPr="00513126" w:rsidRDefault="00513126" w:rsidP="00086587">
            <w:pPr>
              <w:rPr>
                <w:b/>
              </w:rPr>
            </w:pPr>
            <w:r>
              <w:rPr>
                <w:b/>
              </w:rPr>
              <w:t>GCM</w:t>
            </w:r>
          </w:p>
        </w:tc>
        <w:tc>
          <w:tcPr>
            <w:tcW w:w="2214" w:type="dxa"/>
          </w:tcPr>
          <w:p w14:paraId="0FAD8772" w14:textId="54F2B8A4" w:rsidR="00513126" w:rsidRPr="00513126" w:rsidRDefault="00513126" w:rsidP="00086587">
            <w:pPr>
              <w:rPr>
                <w:b/>
              </w:rPr>
            </w:pPr>
            <w:r>
              <w:rPr>
                <w:b/>
              </w:rPr>
              <w:t>Scenario</w:t>
            </w:r>
          </w:p>
        </w:tc>
      </w:tr>
      <w:tr w:rsidR="00513126" w14:paraId="19E1EF53" w14:textId="77777777" w:rsidTr="00513126">
        <w:tc>
          <w:tcPr>
            <w:tcW w:w="2214" w:type="dxa"/>
          </w:tcPr>
          <w:p w14:paraId="053BC7C6" w14:textId="62BD9521" w:rsidR="00513126" w:rsidRPr="00513126" w:rsidRDefault="00513126" w:rsidP="00086587">
            <w:pPr>
              <w:rPr>
                <w:i/>
              </w:rPr>
            </w:pPr>
            <w:r w:rsidRPr="00513126">
              <w:rPr>
                <w:i/>
              </w:rPr>
              <w:t>2001_2025__PA2tif</w:t>
            </w:r>
          </w:p>
        </w:tc>
        <w:tc>
          <w:tcPr>
            <w:tcW w:w="2214" w:type="dxa"/>
          </w:tcPr>
          <w:p w14:paraId="616B987F" w14:textId="1E0EEBB5" w:rsidR="00513126" w:rsidRDefault="00513126" w:rsidP="00086587">
            <w:r>
              <w:t>2001_2025</w:t>
            </w:r>
          </w:p>
        </w:tc>
        <w:tc>
          <w:tcPr>
            <w:tcW w:w="2214" w:type="dxa"/>
          </w:tcPr>
          <w:p w14:paraId="77C6285C" w14:textId="5470CEF7" w:rsidR="00513126" w:rsidRDefault="00513126" w:rsidP="00086587">
            <w:r>
              <w:t>PCM</w:t>
            </w:r>
          </w:p>
        </w:tc>
        <w:tc>
          <w:tcPr>
            <w:tcW w:w="2214" w:type="dxa"/>
          </w:tcPr>
          <w:p w14:paraId="080744AA" w14:textId="06C0C8B4" w:rsidR="00513126" w:rsidRDefault="00513126" w:rsidP="00086587">
            <w:r>
              <w:t>A2</w:t>
            </w:r>
          </w:p>
        </w:tc>
      </w:tr>
      <w:tr w:rsidR="00513126" w14:paraId="32C2ABF7" w14:textId="77777777" w:rsidTr="00513126">
        <w:tc>
          <w:tcPr>
            <w:tcW w:w="2214" w:type="dxa"/>
          </w:tcPr>
          <w:p w14:paraId="0BA6F429" w14:textId="41533A81" w:rsidR="00513126" w:rsidRDefault="003D6016" w:rsidP="00086587">
            <w:r w:rsidRPr="003D6016">
              <w:rPr>
                <w:i/>
              </w:rPr>
              <w:t>2001_2025__GA2tif</w:t>
            </w:r>
          </w:p>
        </w:tc>
        <w:tc>
          <w:tcPr>
            <w:tcW w:w="2214" w:type="dxa"/>
          </w:tcPr>
          <w:p w14:paraId="1EF1746E" w14:textId="3F2D472F" w:rsidR="00513126" w:rsidRDefault="003D6016" w:rsidP="00086587">
            <w:r>
              <w:t>2001_2025</w:t>
            </w:r>
          </w:p>
        </w:tc>
        <w:tc>
          <w:tcPr>
            <w:tcW w:w="2214" w:type="dxa"/>
          </w:tcPr>
          <w:p w14:paraId="300C67E5" w14:textId="4710A6EC" w:rsidR="00513126" w:rsidRDefault="003D6016" w:rsidP="00086587">
            <w:r>
              <w:t>GFDL</w:t>
            </w:r>
          </w:p>
        </w:tc>
        <w:tc>
          <w:tcPr>
            <w:tcW w:w="2214" w:type="dxa"/>
          </w:tcPr>
          <w:p w14:paraId="66FA7E0D" w14:textId="1462CAB9" w:rsidR="00513126" w:rsidRDefault="003D6016" w:rsidP="00086587">
            <w:r>
              <w:t>A2</w:t>
            </w:r>
          </w:p>
        </w:tc>
      </w:tr>
      <w:tr w:rsidR="00513126" w14:paraId="4C69FD9A" w14:textId="77777777" w:rsidTr="00513126">
        <w:tc>
          <w:tcPr>
            <w:tcW w:w="2214" w:type="dxa"/>
          </w:tcPr>
          <w:p w14:paraId="714BE424" w14:textId="3CB040A3" w:rsidR="00513126" w:rsidRPr="00B974D5" w:rsidRDefault="003D6016" w:rsidP="00086587">
            <w:pPr>
              <w:rPr>
                <w:i/>
              </w:rPr>
            </w:pPr>
            <w:r w:rsidRPr="00B974D5">
              <w:rPr>
                <w:i/>
              </w:rPr>
              <w:t>2006_2025_MIROC_rcp85tif</w:t>
            </w:r>
          </w:p>
        </w:tc>
        <w:tc>
          <w:tcPr>
            <w:tcW w:w="2214" w:type="dxa"/>
          </w:tcPr>
          <w:p w14:paraId="077C28E0" w14:textId="50AC7F30" w:rsidR="00513126" w:rsidRDefault="003D6016" w:rsidP="00086587">
            <w:r>
              <w:t>2006_2025</w:t>
            </w:r>
          </w:p>
        </w:tc>
        <w:tc>
          <w:tcPr>
            <w:tcW w:w="2214" w:type="dxa"/>
          </w:tcPr>
          <w:p w14:paraId="4138CD27" w14:textId="04982357" w:rsidR="00513126" w:rsidRDefault="003D6016" w:rsidP="00086587">
            <w:r>
              <w:t>MIROC</w:t>
            </w:r>
          </w:p>
        </w:tc>
        <w:tc>
          <w:tcPr>
            <w:tcW w:w="2214" w:type="dxa"/>
          </w:tcPr>
          <w:p w14:paraId="3B23185A" w14:textId="112AC866" w:rsidR="00513126" w:rsidRDefault="004C67D5" w:rsidP="00086587">
            <w:r>
              <w:t>RCP 8.5</w:t>
            </w:r>
          </w:p>
        </w:tc>
      </w:tr>
      <w:tr w:rsidR="00513126" w14:paraId="3E0EF4FB" w14:textId="77777777" w:rsidTr="00513126">
        <w:tc>
          <w:tcPr>
            <w:tcW w:w="2214" w:type="dxa"/>
          </w:tcPr>
          <w:p w14:paraId="1932CCAC" w14:textId="51463249" w:rsidR="00513126" w:rsidRPr="00B974D5" w:rsidRDefault="004C67D5" w:rsidP="00086587">
            <w:pPr>
              <w:rPr>
                <w:i/>
              </w:rPr>
            </w:pPr>
            <w:r w:rsidRPr="00B974D5">
              <w:rPr>
                <w:i/>
              </w:rPr>
              <w:t>2006_2025_MIROC_rcp45tif</w:t>
            </w:r>
          </w:p>
        </w:tc>
        <w:tc>
          <w:tcPr>
            <w:tcW w:w="2214" w:type="dxa"/>
          </w:tcPr>
          <w:p w14:paraId="4CE2A026" w14:textId="12DAE810" w:rsidR="00513126" w:rsidRDefault="004C67D5" w:rsidP="00086587">
            <w:r>
              <w:t>2006_2025</w:t>
            </w:r>
          </w:p>
        </w:tc>
        <w:tc>
          <w:tcPr>
            <w:tcW w:w="2214" w:type="dxa"/>
          </w:tcPr>
          <w:p w14:paraId="2D26BE74" w14:textId="7305784A" w:rsidR="00513126" w:rsidRDefault="004C67D5" w:rsidP="00086587">
            <w:r>
              <w:t>MIROC</w:t>
            </w:r>
          </w:p>
        </w:tc>
        <w:tc>
          <w:tcPr>
            <w:tcW w:w="2214" w:type="dxa"/>
          </w:tcPr>
          <w:p w14:paraId="42652A27" w14:textId="3D99A0C7" w:rsidR="00513126" w:rsidRDefault="004C67D5" w:rsidP="00086587">
            <w:r>
              <w:t>RCP 4.5</w:t>
            </w:r>
          </w:p>
        </w:tc>
      </w:tr>
      <w:tr w:rsidR="00B974D5" w14:paraId="3A1ACA22" w14:textId="77777777" w:rsidTr="00513126">
        <w:tc>
          <w:tcPr>
            <w:tcW w:w="2214" w:type="dxa"/>
          </w:tcPr>
          <w:p w14:paraId="2410BE60" w14:textId="63E80DD0" w:rsidR="00B974D5" w:rsidRPr="00B974D5" w:rsidRDefault="00B974D5" w:rsidP="00086587">
            <w:pPr>
              <w:rPr>
                <w:i/>
              </w:rPr>
            </w:pPr>
            <w:r w:rsidRPr="00B974D5">
              <w:rPr>
                <w:i/>
              </w:rPr>
              <w:t>2006_2025_mpircp45tif</w:t>
            </w:r>
          </w:p>
        </w:tc>
        <w:tc>
          <w:tcPr>
            <w:tcW w:w="2214" w:type="dxa"/>
          </w:tcPr>
          <w:p w14:paraId="31643A2C" w14:textId="0DF0671F" w:rsidR="00B974D5" w:rsidRDefault="00B974D5" w:rsidP="00086587">
            <w:r>
              <w:t>2006_2025</w:t>
            </w:r>
          </w:p>
        </w:tc>
        <w:tc>
          <w:tcPr>
            <w:tcW w:w="2214" w:type="dxa"/>
          </w:tcPr>
          <w:p w14:paraId="6D1886E5" w14:textId="788C481F" w:rsidR="00B974D5" w:rsidRDefault="00B974D5" w:rsidP="00086587">
            <w:r>
              <w:t>MPI</w:t>
            </w:r>
          </w:p>
        </w:tc>
        <w:tc>
          <w:tcPr>
            <w:tcW w:w="2214" w:type="dxa"/>
          </w:tcPr>
          <w:p w14:paraId="60FBE205" w14:textId="38B7C79F" w:rsidR="00B974D5" w:rsidRDefault="00B974D5" w:rsidP="00086587">
            <w:r>
              <w:t>RCP 4.5</w:t>
            </w:r>
          </w:p>
        </w:tc>
      </w:tr>
    </w:tbl>
    <w:p w14:paraId="4852C029" w14:textId="77777777" w:rsidR="00513126" w:rsidRPr="00086587" w:rsidRDefault="00513126" w:rsidP="00086587"/>
    <w:p w14:paraId="165B9A91" w14:textId="1F9E700B" w:rsidR="00CC1A51" w:rsidRDefault="00CC1A51" w:rsidP="009439F4"/>
    <w:p w14:paraId="3A247F0D" w14:textId="0F5CABBB" w:rsidR="007941A4" w:rsidRDefault="007941A4" w:rsidP="009439F4">
      <w:r>
        <w:t>The forecasts for the 2026_2050</w:t>
      </w:r>
      <w:r w:rsidR="0062430E">
        <w:t xml:space="preserve"> </w:t>
      </w:r>
      <w:proofErr w:type="gramStart"/>
      <w:r w:rsidR="0062430E">
        <w:t>period</w:t>
      </w:r>
      <w:bookmarkStart w:id="0" w:name="_GoBack"/>
      <w:bookmarkEnd w:id="0"/>
      <w:r>
        <w:t xml:space="preserve">  follow</w:t>
      </w:r>
      <w:proofErr w:type="gramEnd"/>
      <w:r>
        <w:t xml:space="preserve"> the same convention. </w:t>
      </w:r>
    </w:p>
    <w:p w14:paraId="7CD3265C" w14:textId="77777777" w:rsidR="007941A4" w:rsidRDefault="007941A4" w:rsidP="009439F4"/>
    <w:p w14:paraId="3E7679FC" w14:textId="77777777" w:rsidR="0068668F" w:rsidRDefault="0068668F" w:rsidP="009439F4"/>
    <w:p w14:paraId="53456698" w14:textId="3DD56084" w:rsidR="00CC1A51" w:rsidRDefault="007941A4" w:rsidP="009439F4">
      <w:r>
        <w:t>Further inquiries can be directed to:</w:t>
      </w:r>
    </w:p>
    <w:p w14:paraId="3DE473C8" w14:textId="77777777" w:rsidR="007941A4" w:rsidRDefault="007941A4" w:rsidP="009439F4"/>
    <w:p w14:paraId="12778291" w14:textId="7FD379F5" w:rsidR="007941A4" w:rsidRDefault="007941A4" w:rsidP="009439F4">
      <w:r>
        <w:t xml:space="preserve">Max Moritz: </w:t>
      </w:r>
      <w:hyperlink r:id="rId10" w:history="1">
        <w:r w:rsidRPr="006028F4">
          <w:rPr>
            <w:rStyle w:val="Hyperlink"/>
          </w:rPr>
          <w:t>mmoritz@berkeley.edu</w:t>
        </w:r>
      </w:hyperlink>
    </w:p>
    <w:p w14:paraId="3EFAA0EC" w14:textId="77777777" w:rsidR="007941A4" w:rsidRDefault="007941A4" w:rsidP="009439F4"/>
    <w:p w14:paraId="6EFAB21F" w14:textId="46CA3FE2" w:rsidR="007941A4" w:rsidRDefault="007941A4" w:rsidP="007941A4">
      <w:r>
        <w:t xml:space="preserve">Michael Mann: </w:t>
      </w:r>
      <w:hyperlink r:id="rId11" w:history="1">
        <w:r w:rsidRPr="006028F4">
          <w:rPr>
            <w:rStyle w:val="Hyperlink"/>
          </w:rPr>
          <w:t>mmann1123@gwu.edu</w:t>
        </w:r>
      </w:hyperlink>
    </w:p>
    <w:p w14:paraId="34515574" w14:textId="77777777" w:rsidR="007941A4" w:rsidRDefault="007941A4" w:rsidP="007941A4"/>
    <w:p w14:paraId="580188A8" w14:textId="7EFFE5EC" w:rsidR="007941A4" w:rsidRDefault="007941A4" w:rsidP="007941A4">
      <w:r>
        <w:t xml:space="preserve">Frank Davenport: </w:t>
      </w:r>
      <w:hyperlink r:id="rId12" w:history="1">
        <w:r w:rsidRPr="006028F4">
          <w:rPr>
            <w:rStyle w:val="Hyperlink"/>
          </w:rPr>
          <w:t>frank_davenport@ucsb.edu</w:t>
        </w:r>
      </w:hyperlink>
    </w:p>
    <w:p w14:paraId="3C4D7E6B" w14:textId="77777777" w:rsidR="007941A4" w:rsidRDefault="007941A4" w:rsidP="007941A4"/>
    <w:p w14:paraId="4986C597" w14:textId="77777777" w:rsidR="006F2D5B" w:rsidRDefault="006F2D5B" w:rsidP="007941A4">
      <w:pPr>
        <w:pStyle w:val="BodyText2"/>
        <w:numPr>
          <w:ilvl w:val="0"/>
          <w:numId w:val="0"/>
        </w:numPr>
      </w:pPr>
    </w:p>
    <w:p w14:paraId="5C37FE60" w14:textId="77777777" w:rsidR="006F2D5B" w:rsidRDefault="006F2D5B" w:rsidP="00DF0965">
      <w:pPr>
        <w:pStyle w:val="BodyText2"/>
        <w:numPr>
          <w:ilvl w:val="0"/>
          <w:numId w:val="0"/>
        </w:numPr>
        <w:ind w:left="720" w:hanging="360"/>
      </w:pPr>
    </w:p>
    <w:p w14:paraId="6B269D29" w14:textId="7FB1EE98" w:rsidR="006F2D5B" w:rsidRDefault="006F2D5B" w:rsidP="006F2D5B">
      <w:pPr>
        <w:pStyle w:val="Heading1"/>
      </w:pPr>
      <w:r>
        <w:t>References</w:t>
      </w:r>
    </w:p>
    <w:p w14:paraId="5F17BE05" w14:textId="77777777" w:rsidR="00A158AC" w:rsidRDefault="006F2D5B" w:rsidP="00A158AC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158AC" w:rsidRPr="00A158AC">
        <w:rPr>
          <w:noProof/>
        </w:rPr>
        <w:t>Mann, M.L., Batllori, E., Moritz, M.A., Waller, E.K., Berck, P., Flint, A.L., Flint, L.E., Dolfi, E. (2016) Incorporating anthropogenic influences into fire probability models: effects of human activity and climate change on fire activity in California. PLoS ONE 11, e0153589.</w:t>
      </w:r>
    </w:p>
    <w:p w14:paraId="3BB57F37" w14:textId="77777777" w:rsidR="00A158AC" w:rsidRPr="00A158AC" w:rsidRDefault="00A158AC" w:rsidP="00A158AC">
      <w:pPr>
        <w:pStyle w:val="EndNoteBibliography"/>
        <w:rPr>
          <w:noProof/>
        </w:rPr>
      </w:pPr>
    </w:p>
    <w:p w14:paraId="2FA51C00" w14:textId="77777777" w:rsidR="00A158AC" w:rsidRPr="00A158AC" w:rsidRDefault="00A158AC" w:rsidP="00A158AC">
      <w:pPr>
        <w:pStyle w:val="EndNoteBibliography"/>
        <w:rPr>
          <w:noProof/>
        </w:rPr>
      </w:pPr>
      <w:r w:rsidRPr="00A158AC">
        <w:rPr>
          <w:noProof/>
        </w:rPr>
        <w:t>Mann, M.L., Berck, P., Moritz, M.A., Batllori, E., Baldwin, J.G., Gately, C.K., Cameron, D.R. (2014) Modeling residential development in California from 2000 to 2050: Integrating wildfire risk, wildland and agricultural encroachment. Land Use Policy 41, 438-452.</w:t>
      </w:r>
    </w:p>
    <w:p w14:paraId="6ABDE4C6" w14:textId="66B101F6" w:rsidR="00DF0965" w:rsidRPr="00C641AC" w:rsidRDefault="006F2D5B" w:rsidP="00DF0965">
      <w:pPr>
        <w:pStyle w:val="BodyText2"/>
        <w:numPr>
          <w:ilvl w:val="0"/>
          <w:numId w:val="0"/>
        </w:numPr>
        <w:ind w:left="720" w:hanging="360"/>
      </w:pPr>
      <w:r>
        <w:fldChar w:fldCharType="end"/>
      </w:r>
    </w:p>
    <w:sectPr w:rsidR="00DF0965" w:rsidRPr="00C641AC" w:rsidSect="007B06F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1C7950" w14:textId="77777777" w:rsidR="00B974D5" w:rsidRDefault="00B974D5" w:rsidP="00B974D5">
      <w:r>
        <w:separator/>
      </w:r>
    </w:p>
  </w:endnote>
  <w:endnote w:type="continuationSeparator" w:id="0">
    <w:p w14:paraId="3364AD87" w14:textId="77777777" w:rsidR="00B974D5" w:rsidRDefault="00B974D5" w:rsidP="00B97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EA38B4" w14:textId="77777777" w:rsidR="00B974D5" w:rsidRDefault="00B974D5" w:rsidP="00B974D5">
      <w:r>
        <w:separator/>
      </w:r>
    </w:p>
  </w:footnote>
  <w:footnote w:type="continuationSeparator" w:id="0">
    <w:p w14:paraId="262C7491" w14:textId="77777777" w:rsidR="00B974D5" w:rsidRDefault="00B974D5" w:rsidP="00B974D5">
      <w:r>
        <w:continuationSeparator/>
      </w:r>
    </w:p>
  </w:footnote>
  <w:footnote w:id="1">
    <w:p w14:paraId="6E63585D" w14:textId="70CD6113" w:rsidR="00B974D5" w:rsidRDefault="00B974D5">
      <w:pPr>
        <w:pStyle w:val="FootnoteText"/>
      </w:pPr>
      <w:r>
        <w:rPr>
          <w:rStyle w:val="FootnoteReference"/>
        </w:rPr>
        <w:footnoteRef/>
      </w:r>
      <w:r>
        <w:t xml:space="preserve"> Further information on the A2 scenario can be found here: </w:t>
      </w:r>
      <w:hyperlink r:id="rId1" w:history="1">
        <w:r w:rsidRPr="006028F4">
          <w:rPr>
            <w:rStyle w:val="Hyperlink"/>
          </w:rPr>
          <w:t>http://www.ipcc.ch/ipccreports/sres/emission/index.php?idp=98</w:t>
        </w:r>
      </w:hyperlink>
      <w:r>
        <w:t xml:space="preserve">. Further information on the various RCP scenarios is available here: </w:t>
      </w:r>
      <w:hyperlink r:id="rId2" w:history="1">
        <w:r w:rsidRPr="006028F4">
          <w:rPr>
            <w:rStyle w:val="Hyperlink"/>
          </w:rPr>
          <w:t>http://sedac.ipcc-data.org/ddc/ar5_scenario_process/RCPs.html</w:t>
        </w:r>
      </w:hyperlink>
      <w:proofErr w:type="gramStart"/>
      <w:r>
        <w:t xml:space="preserve"> </w:t>
      </w:r>
      <w:r w:rsidR="008C43F8">
        <w:t>.</w:t>
      </w:r>
      <w:proofErr w:type="gramEnd"/>
      <w:r w:rsidR="008C43F8">
        <w:t xml:space="preserve"> Information on the specific GCMs ca</w:t>
      </w:r>
      <w:r w:rsidR="00A37974">
        <w:t>n be found with the respective institutions listed in table 1.</w:t>
      </w:r>
      <w:r w:rsidR="008C43F8"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3F23"/>
    <w:multiLevelType w:val="hybridMultilevel"/>
    <w:tmpl w:val="C8E20FBC"/>
    <w:lvl w:ilvl="0" w:tplc="54AE0AA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645703"/>
    <w:multiLevelType w:val="hybridMultilevel"/>
    <w:tmpl w:val="81FE8B50"/>
    <w:lvl w:ilvl="0" w:tplc="C57A82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ED59E9"/>
    <w:multiLevelType w:val="hybridMultilevel"/>
    <w:tmpl w:val="2BCA4298"/>
    <w:lvl w:ilvl="0" w:tplc="FA08C6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9F248D"/>
    <w:multiLevelType w:val="hybridMultilevel"/>
    <w:tmpl w:val="012EBB6C"/>
    <w:lvl w:ilvl="0" w:tplc="5622DB30">
      <w:start w:val="1"/>
      <w:numFmt w:val="bullet"/>
      <w:pStyle w:val="BodyText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7174B5"/>
    <w:multiLevelType w:val="multilevel"/>
    <w:tmpl w:val="BCDE0D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4152BB0"/>
    <w:multiLevelType w:val="multilevel"/>
    <w:tmpl w:val="C6BA6654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4936575B"/>
    <w:multiLevelType w:val="multilevel"/>
    <w:tmpl w:val="6B4A641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1E3A8C"/>
    <w:multiLevelType w:val="hybridMultilevel"/>
    <w:tmpl w:val="878EF06C"/>
    <w:lvl w:ilvl="0" w:tplc="0A9C5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8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E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2A2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2A8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1A4C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4C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CEE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A3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9E9268F"/>
    <w:multiLevelType w:val="multilevel"/>
    <w:tmpl w:val="9A7C00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F2C0B2D"/>
    <w:multiLevelType w:val="hybridMultilevel"/>
    <w:tmpl w:val="00A4E692"/>
    <w:lvl w:ilvl="0" w:tplc="2E84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D6D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2D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54E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BE0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88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B2C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C2F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29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4"/>
  </w:num>
  <w:num w:numId="10">
    <w:abstractNumId w:val="4"/>
  </w:num>
  <w:num w:numId="11">
    <w:abstractNumId w:val="3"/>
  </w:num>
  <w:num w:numId="12">
    <w:abstractNumId w:val="3"/>
  </w:num>
  <w:num w:numId="13">
    <w:abstractNumId w:val="3"/>
  </w:num>
  <w:num w:numId="14">
    <w:abstractNumId w:val="1"/>
  </w:num>
  <w:num w:numId="15">
    <w:abstractNumId w:val="0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lobal Environ Chang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r2ftxfwz0av4ezxvy5fdetzraxezpfavsv&quot;&gt;Grad_School_All_Citations Copy&lt;record-ids&gt;&lt;item&gt;850&lt;/item&gt;&lt;item&gt;1098&lt;/item&gt;&lt;/record-ids&gt;&lt;/item&gt;&lt;/Libraries&gt;"/>
  </w:docVars>
  <w:rsids>
    <w:rsidRoot w:val="00B962A8"/>
    <w:rsid w:val="00026C0F"/>
    <w:rsid w:val="00071B79"/>
    <w:rsid w:val="000736B2"/>
    <w:rsid w:val="00086587"/>
    <w:rsid w:val="0009596D"/>
    <w:rsid w:val="0013744B"/>
    <w:rsid w:val="001B542E"/>
    <w:rsid w:val="001B788B"/>
    <w:rsid w:val="00253219"/>
    <w:rsid w:val="0026014E"/>
    <w:rsid w:val="00354E79"/>
    <w:rsid w:val="003A277B"/>
    <w:rsid w:val="003D6016"/>
    <w:rsid w:val="004377DF"/>
    <w:rsid w:val="004C67D5"/>
    <w:rsid w:val="00513126"/>
    <w:rsid w:val="005263E3"/>
    <w:rsid w:val="005778E3"/>
    <w:rsid w:val="005B30E5"/>
    <w:rsid w:val="005B6F0F"/>
    <w:rsid w:val="005E7336"/>
    <w:rsid w:val="006007F7"/>
    <w:rsid w:val="0062430E"/>
    <w:rsid w:val="0068668F"/>
    <w:rsid w:val="006B64BA"/>
    <w:rsid w:val="006F2D5B"/>
    <w:rsid w:val="00791E20"/>
    <w:rsid w:val="007941A4"/>
    <w:rsid w:val="007B06F1"/>
    <w:rsid w:val="007C5BA7"/>
    <w:rsid w:val="007C715E"/>
    <w:rsid w:val="007D4441"/>
    <w:rsid w:val="008C43F8"/>
    <w:rsid w:val="008E1343"/>
    <w:rsid w:val="009429C9"/>
    <w:rsid w:val="009439F4"/>
    <w:rsid w:val="009A6B2B"/>
    <w:rsid w:val="009E6588"/>
    <w:rsid w:val="00A158AC"/>
    <w:rsid w:val="00A21690"/>
    <w:rsid w:val="00A37974"/>
    <w:rsid w:val="00A440FF"/>
    <w:rsid w:val="00AA291C"/>
    <w:rsid w:val="00B34F8F"/>
    <w:rsid w:val="00B433FC"/>
    <w:rsid w:val="00B57F04"/>
    <w:rsid w:val="00B962A8"/>
    <w:rsid w:val="00B974D5"/>
    <w:rsid w:val="00C641AC"/>
    <w:rsid w:val="00C95152"/>
    <w:rsid w:val="00CC03F7"/>
    <w:rsid w:val="00CC1A51"/>
    <w:rsid w:val="00CD2C10"/>
    <w:rsid w:val="00D60FB6"/>
    <w:rsid w:val="00D86203"/>
    <w:rsid w:val="00DF0965"/>
    <w:rsid w:val="00EA4ECC"/>
    <w:rsid w:val="00EB59BA"/>
    <w:rsid w:val="00F107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353F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9C9"/>
    <w:pPr>
      <w:keepNext/>
      <w:keepLines/>
      <w:numPr>
        <w:numId w:val="10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9C9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9C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autoRedefine/>
    <w:uiPriority w:val="34"/>
    <w:qFormat/>
    <w:rsid w:val="009A6B2B"/>
    <w:pPr>
      <w:numPr>
        <w:numId w:val="15"/>
      </w:numPr>
      <w:contextualSpacing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7D4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9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uiPriority w:val="99"/>
    <w:unhideWhenUsed/>
    <w:qFormat/>
    <w:rsid w:val="006007F7"/>
    <w:pPr>
      <w:numPr>
        <w:numId w:val="14"/>
      </w:numPr>
      <w:spacing w:after="120"/>
      <w:ind w:left="720"/>
    </w:pPr>
  </w:style>
  <w:style w:type="character" w:customStyle="1" w:styleId="BodyText2Char">
    <w:name w:val="Body Text 2 Char"/>
    <w:basedOn w:val="DefaultParagraphFont"/>
    <w:link w:val="BodyText2"/>
    <w:uiPriority w:val="99"/>
    <w:rsid w:val="006007F7"/>
  </w:style>
  <w:style w:type="paragraph" w:styleId="BodyText">
    <w:name w:val="Body Text"/>
    <w:basedOn w:val="Normal"/>
    <w:link w:val="BodyTextChar"/>
    <w:uiPriority w:val="99"/>
    <w:unhideWhenUsed/>
    <w:qFormat/>
    <w:rsid w:val="00A440FF"/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440FF"/>
    <w:rPr>
      <w:rFonts w:ascii="Times New Roman" w:hAnsi="Times New Roman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1A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1AC"/>
    <w:rPr>
      <w:rFonts w:ascii="Lucida Grande" w:hAnsi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FC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6F2D5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6F2D5B"/>
    <w:rPr>
      <w:rFonts w:ascii="Cambria" w:hAnsi="Cambr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77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13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974D5"/>
  </w:style>
  <w:style w:type="character" w:customStyle="1" w:styleId="FootnoteTextChar">
    <w:name w:val="Footnote Text Char"/>
    <w:basedOn w:val="DefaultParagraphFont"/>
    <w:link w:val="FootnoteText"/>
    <w:uiPriority w:val="99"/>
    <w:rsid w:val="00B974D5"/>
  </w:style>
  <w:style w:type="character" w:styleId="FootnoteReference">
    <w:name w:val="footnote reference"/>
    <w:basedOn w:val="DefaultParagraphFont"/>
    <w:uiPriority w:val="99"/>
    <w:unhideWhenUsed/>
    <w:rsid w:val="00B974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74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Body Text 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9C9"/>
    <w:pPr>
      <w:keepNext/>
      <w:keepLines/>
      <w:numPr>
        <w:numId w:val="10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9C9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9C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ListParagraph">
    <w:name w:val="List Paragraph"/>
    <w:basedOn w:val="Normal"/>
    <w:autoRedefine/>
    <w:uiPriority w:val="34"/>
    <w:qFormat/>
    <w:rsid w:val="009A6B2B"/>
    <w:pPr>
      <w:numPr>
        <w:numId w:val="15"/>
      </w:numPr>
      <w:contextualSpacing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7D4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9C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2">
    <w:name w:val="Body Text 2"/>
    <w:basedOn w:val="Normal"/>
    <w:link w:val="BodyText2Char"/>
    <w:uiPriority w:val="99"/>
    <w:unhideWhenUsed/>
    <w:qFormat/>
    <w:rsid w:val="006007F7"/>
    <w:pPr>
      <w:numPr>
        <w:numId w:val="14"/>
      </w:numPr>
      <w:spacing w:after="120"/>
      <w:ind w:left="720"/>
    </w:pPr>
  </w:style>
  <w:style w:type="character" w:customStyle="1" w:styleId="BodyText2Char">
    <w:name w:val="Body Text 2 Char"/>
    <w:basedOn w:val="DefaultParagraphFont"/>
    <w:link w:val="BodyText2"/>
    <w:uiPriority w:val="99"/>
    <w:rsid w:val="006007F7"/>
  </w:style>
  <w:style w:type="paragraph" w:styleId="BodyText">
    <w:name w:val="Body Text"/>
    <w:basedOn w:val="Normal"/>
    <w:link w:val="BodyTextChar"/>
    <w:uiPriority w:val="99"/>
    <w:unhideWhenUsed/>
    <w:qFormat/>
    <w:rsid w:val="00A440FF"/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A440FF"/>
    <w:rPr>
      <w:rFonts w:ascii="Times New Roman" w:hAnsi="Times New Roman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1AC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1AC"/>
    <w:rPr>
      <w:rFonts w:ascii="Lucida Grande" w:hAnsi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3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3FC"/>
    <w:rPr>
      <w:rFonts w:ascii="Lucida Grande" w:hAnsi="Lucida Grande" w:cs="Lucida Grande"/>
      <w:sz w:val="18"/>
      <w:szCs w:val="18"/>
    </w:rPr>
  </w:style>
  <w:style w:type="paragraph" w:customStyle="1" w:styleId="EndNoteBibliographyTitle">
    <w:name w:val="EndNote Bibliography Title"/>
    <w:basedOn w:val="Normal"/>
    <w:rsid w:val="006F2D5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6F2D5B"/>
    <w:rPr>
      <w:rFonts w:ascii="Cambria" w:hAnsi="Cambr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77B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13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B974D5"/>
  </w:style>
  <w:style w:type="character" w:customStyle="1" w:styleId="FootnoteTextChar">
    <w:name w:val="Footnote Text Char"/>
    <w:basedOn w:val="DefaultParagraphFont"/>
    <w:link w:val="FootnoteText"/>
    <w:uiPriority w:val="99"/>
    <w:rsid w:val="00B974D5"/>
  </w:style>
  <w:style w:type="character" w:styleId="FootnoteReference">
    <w:name w:val="footnote reference"/>
    <w:basedOn w:val="DefaultParagraphFont"/>
    <w:uiPriority w:val="99"/>
    <w:unhideWhenUsed/>
    <w:rsid w:val="00B974D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974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4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15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08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80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6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3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mann1123@gwu.edu" TargetMode="External"/><Relationship Id="rId12" Type="http://schemas.openxmlformats.org/officeDocument/2006/relationships/hyperlink" Target="mailto:frank_davenport@ucsb.edu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yperlink" Target="mailto:mmoritz@berkeley.ed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pcc.ch/ipccreports/sres/emission/index.php?idp=98" TargetMode="External"/><Relationship Id="rId2" Type="http://schemas.openxmlformats.org/officeDocument/2006/relationships/hyperlink" Target="http://sedac.ipcc-data.org/ddc/ar5_scenario_process/RC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875</Words>
  <Characters>4991</Characters>
  <Application>Microsoft Macintosh Word</Application>
  <DocSecurity>0</DocSecurity>
  <Lines>41</Lines>
  <Paragraphs>11</Paragraphs>
  <ScaleCrop>false</ScaleCrop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44</cp:revision>
  <dcterms:created xsi:type="dcterms:W3CDTF">2018-01-10T19:27:00Z</dcterms:created>
  <dcterms:modified xsi:type="dcterms:W3CDTF">2018-01-18T18:51:00Z</dcterms:modified>
</cp:coreProperties>
</file>