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w:t>
      </w:r>
      <w:r>
        <w:t xml:space="preserve"> </w:t>
      </w:r>
      <w:r>
        <w:t xml:space="preserve">Comparison:</w:t>
      </w:r>
      <w:r>
        <w:t xml:space="preserve"> </w:t>
      </w:r>
      <w:r>
        <w:t xml:space="preserve">Main</w:t>
      </w:r>
      <w:r>
        <w:t xml:space="preserve"> </w:t>
      </w:r>
      <w:r>
        <w:t xml:space="preserve">Branch</w:t>
      </w:r>
      <w:r>
        <w:t xml:space="preserve"> </w:t>
      </w:r>
      <w:r>
        <w:t xml:space="preserve">vs</w:t>
      </w:r>
      <w:r>
        <w:t xml:space="preserve"> </w:t>
      </w:r>
      <w:r>
        <w:t xml:space="preserve">Current</w:t>
      </w:r>
      <w:r>
        <w:t xml:space="preserve"> </w:t>
      </w:r>
      <w:r>
        <w:t xml:space="preserve">Branch</w:t>
      </w:r>
    </w:p>
    <w:p>
      <w:pPr>
        <w:pStyle w:val="Subtitle"/>
      </w:pPr>
      <w:r>
        <w:t xml:space="preserve">Changes</w:t>
      </w:r>
      <w:r>
        <w:t xml:space="preserve"> </w:t>
      </w:r>
      <w:r>
        <w:t xml:space="preserve">to</w:t>
      </w:r>
      <w:r>
        <w:t xml:space="preserve"> </w:t>
      </w:r>
      <w:r>
        <w:t xml:space="preserve">writeup.md</w:t>
      </w:r>
    </w:p>
    <w:p>
      <w:pPr>
        <w:pStyle w:val="Author"/>
      </w:pPr>
      <w:r>
        <w:t xml:space="preserve">Revision</w:t>
      </w:r>
      <w:r>
        <w:t xml:space="preserve"> </w:t>
      </w:r>
      <w:r>
        <w:t xml:space="preserve">Tracking</w:t>
      </w:r>
    </w:p>
    <w:p>
      <w:pPr>
        <w:pStyle w:val="Date"/>
      </w:pPr>
      <w:r>
        <w:t xml:space="preserve">2025</w:t>
      </w:r>
    </w:p>
    <w:bookmarkStart w:id="22" w:name="overview"/>
    <w:p>
      <w:pPr>
        <w:pStyle w:val="Heading1"/>
      </w:pPr>
      <w:r>
        <w:t xml:space="preserve">Overview</w:t>
      </w:r>
    </w:p>
    <w:p>
      <w:pPr>
        <w:pStyle w:val="FirstParagraph"/>
      </w:pPr>
      <w:r>
        <w:t xml:space="preserve">This document shows the changes made to</w:t>
      </w:r>
      <w:r>
        <w:t xml:space="preserve"> </w:t>
      </w:r>
      <w:r>
        <w:rPr>
          <w:rStyle w:val="VerbatimChar"/>
        </w:rPr>
        <w:t xml:space="preserve">writeup.md</w:t>
      </w:r>
      <w:r>
        <w:t xml:space="preserve"> </w:t>
      </w:r>
      <w:r>
        <w:t xml:space="preserve">between the main branch and the current branch (redo_resample).</w:t>
      </w:r>
    </w:p>
    <w:bookmarkStart w:id="20" w:name="summary-of-changes"/>
    <w:p>
      <w:pPr>
        <w:pStyle w:val="Heading2"/>
      </w:pPr>
      <w:r>
        <w:t xml:space="preserve">Summary of Changes</w:t>
      </w:r>
    </w:p>
    <w:p>
      <w:pPr>
        <w:pStyle w:val="SourceCode"/>
      </w:pPr>
      <w:r>
        <w:rPr>
          <w:rStyle w:val="VerbatimChar"/>
        </w:rPr>
        <w:t xml:space="preserve"> writeup/writeup.md | 184 +++++++++++++++++++++++++++++++++++++++--------------</w:t>
      </w:r>
      <w:r>
        <w:br/>
      </w:r>
      <w:r>
        <w:rPr>
          <w:rStyle w:val="VerbatimChar"/>
        </w:rPr>
        <w:t xml:space="preserve"> 1 file changed, 138 insertions(+), 46 deletions(-)</w:t>
      </w:r>
    </w:p>
    <w:bookmarkEnd w:id="20"/>
    <w:bookmarkStart w:id="21" w:name="detailed-changes"/>
    <w:p>
      <w:pPr>
        <w:pStyle w:val="Heading2"/>
      </w:pPr>
      <w:r>
        <w:t xml:space="preserve">Detailed Changes</w:t>
      </w:r>
    </w:p>
    <w:p>
      <w:pPr>
        <w:pStyle w:val="FirstParagraph"/>
      </w:pPr>
      <w:r>
        <w:t xml:space="preserve">Lines starting with:</w:t>
      </w:r>
      <w:r>
        <w:t xml:space="preserve"> </w:t>
      </w:r>
      <w:r>
        <w:t xml:space="preserve">-</w:t>
      </w:r>
      <w:r>
        <w:t xml:space="preserve"> </w:t>
      </w:r>
      <w:r>
        <w:rPr>
          <w:rStyle w:val="VerbatimChar"/>
        </w:rPr>
        <w:t xml:space="preserve">-</w:t>
      </w:r>
      <w:r>
        <w:t xml:space="preserve"> </w:t>
      </w:r>
      <w:r>
        <w:t xml:space="preserve">(minus) were</w:t>
      </w:r>
      <w:r>
        <w:t xml:space="preserve"> </w:t>
      </w:r>
      <w:r>
        <w:rPr>
          <w:bCs/>
          <w:b/>
        </w:rPr>
        <w:t xml:space="preserve">removed</w:t>
      </w:r>
      <w:r>
        <w:t xml:space="preserve"> </w:t>
      </w:r>
      <w:r>
        <w:t xml:space="preserve">from the original</w:t>
      </w:r>
      <w:r>
        <w:t xml:space="preserve"> </w:t>
      </w:r>
      <w:r>
        <w:t xml:space="preserve">-</w:t>
      </w:r>
      <w:r>
        <w:t xml:space="preserve"> </w:t>
      </w:r>
      <w:r>
        <w:rPr>
          <w:rStyle w:val="VerbatimChar"/>
        </w:rPr>
        <w:t xml:space="preserve">+</w:t>
      </w:r>
      <w:r>
        <w:t xml:space="preserve"> </w:t>
      </w:r>
      <w:r>
        <w:t xml:space="preserve">(plus) were</w:t>
      </w:r>
      <w:r>
        <w:t xml:space="preserve"> </w:t>
      </w:r>
      <w:r>
        <w:rPr>
          <w:bCs/>
          <w:b/>
        </w:rPr>
        <w:t xml:space="preserve">added</w:t>
      </w:r>
      <w:r>
        <w:t xml:space="preserve"> </w:t>
      </w:r>
      <w:r>
        <w:t xml:space="preserve">in the revision</w:t>
      </w:r>
    </w:p>
    <w:p>
      <w:pPr>
        <w:pStyle w:val="BodyText"/>
      </w:pPr>
      <w:r>
        <w:rPr>
          <w:bCs/>
          <w:b/>
        </w:rPr>
        <w:t xml:space="preserve">Note:</w:t>
      </w:r>
      <w:r>
        <w:t xml:space="preserve"> </w:t>
      </w:r>
      <w:r>
        <w:t xml:space="preserve">Whitespace-only changes are ignored to focus on substantive changes.</w:t>
      </w:r>
    </w:p>
    <w:p>
      <w:pPr>
        <w:pStyle w:val="SourceCode"/>
      </w:pPr>
      <w:r>
        <w:rPr>
          <w:rStyle w:val="KeywordTok"/>
        </w:rPr>
        <w:t xml:space="preserve">diff --git a/writeup/writeup.md b/writeup/writeup.md</w:t>
      </w:r>
      <w:r>
        <w:br/>
      </w:r>
      <w:r>
        <w:rPr>
          <w:rStyle w:val="NormalTok"/>
        </w:rPr>
        <w:t xml:space="preserve">index a60e2ba..6747d8b 100644</w:t>
      </w:r>
      <w:r>
        <w:br/>
      </w:r>
      <w:r>
        <w:rPr>
          <w:rStyle w:val="DataTypeTok"/>
        </w:rPr>
        <w:t xml:space="preserve">--- a/writeup/writeup.md</w:t>
      </w:r>
      <w:r>
        <w:br/>
      </w:r>
      <w:r>
        <w:rPr>
          <w:rStyle w:val="DataTypeTok"/>
        </w:rPr>
        <w:t xml:space="preserve">+++ b/writeup/writeup.md</w:t>
      </w:r>
      <w:r>
        <w:br/>
      </w:r>
      <w:r>
        <w:rPr>
          <w:rStyle w:val="DataTypeTok"/>
        </w:rPr>
        <w:t xml:space="preserve">@@ -1,5 +1,4 @@</w:t>
      </w:r>
      <w:r>
        <w:br/>
      </w:r>
      <w:r>
        <w:rPr>
          <w:rStyle w:val="NormalTok"/>
        </w:rPr>
        <w:t xml:space="preserve"> ---</w:t>
      </w:r>
      <w:r>
        <w:br/>
      </w:r>
      <w:r>
        <w:rPr>
          <w:rStyle w:val="StringTok"/>
        </w:rPr>
        <w:t xml:space="preserve">-</w:t>
      </w:r>
      <w:r>
        <w:br/>
      </w:r>
      <w:r>
        <w:rPr>
          <w:rStyle w:val="NormalTok"/>
        </w:rPr>
        <w:t xml:space="preserve"> title: "Lite Learning: Efficient Crop Classification in Tanzania Using Feature Extraction with Machine Learning &amp; Crowd Sourcing"</w:t>
      </w:r>
      <w:r>
        <w:br/>
      </w:r>
      <w:r>
        <w:rPr>
          <w:rStyle w:val="NormalTok"/>
        </w:rPr>
        <w:t xml:space="preserve"> author:</w:t>
      </w:r>
      <w:r>
        <w:br/>
      </w:r>
      <w:r>
        <w:rPr>
          <w:rStyle w:val="NormalTok"/>
        </w:rPr>
        <w:t xml:space="preserve"> - name: Michael L. Mann</w:t>
      </w:r>
      <w:r>
        <w:br/>
      </w:r>
      <w:r>
        <w:rPr>
          <w:rStyle w:val="DataTypeTok"/>
        </w:rPr>
        <w:t xml:space="preserve">@@ -13,8 +12,10 @@ author:</w:t>
      </w:r>
      <w:r>
        <w:br/>
      </w:r>
      <w:r>
        <w:rPr>
          <w:rStyle w:val="NormalTok"/>
        </w:rPr>
        <w:t xml:space="preserve">   affiliation: The George Washington University, Washington DC 20052</w:t>
      </w:r>
      <w:r>
        <w:br/>
      </w:r>
      <w:r>
        <w:rPr>
          <w:rStyle w:val="NormalTok"/>
        </w:rPr>
        <w:t xml:space="preserve"> - name: Stellamaris Nakacwa</w:t>
      </w:r>
      <w:r>
        <w:br/>
      </w:r>
      <w:r>
        <w:rPr>
          <w:rStyle w:val="NormalTok"/>
        </w:rPr>
        <w:t xml:space="preserve">   affiliation: YouthMappers, Texas Tech University, Lubbock TX 79409</w:t>
      </w:r>
      <w:r>
        <w:br/>
      </w:r>
      <w:r>
        <w:rPr>
          <w:rStyle w:val="VariableTok"/>
        </w:rPr>
        <w:t xml:space="preserve">+documentclass: IEEEtran</w:t>
      </w:r>
      <w:r>
        <w:br/>
      </w:r>
      <w:r>
        <w:rPr>
          <w:rStyle w:val="VariableTok"/>
        </w:rPr>
        <w:t xml:space="preserve">+classoption: [journal,twocolumn]</w:t>
      </w:r>
      <w:r>
        <w:br/>
      </w:r>
      <w:r>
        <w:rPr>
          <w:rStyle w:val="NormalTok"/>
        </w:rPr>
        <w:t xml:space="preserve"> header-includes:</w:t>
      </w:r>
      <w:r>
        <w:br/>
      </w:r>
      <w:r>
        <w:rPr>
          <w:rStyle w:val="StringTok"/>
        </w:rPr>
        <w:t xml:space="preserve">-  - \usepackage{geometry}</w:t>
      </w:r>
      <w:r>
        <w:br/>
      </w:r>
      <w:r>
        <w:rPr>
          <w:rStyle w:val="VariableTok"/>
        </w:rPr>
        <w:t xml:space="preserve">+  - \usepackage[margin=1in]{geometry}</w:t>
      </w:r>
      <w:r>
        <w:br/>
      </w:r>
      <w:r>
        <w:rPr>
          <w:rStyle w:val="NormalTok"/>
        </w:rPr>
        <w:t xml:space="preserve">   - \usepackage{pdflscape}</w:t>
      </w:r>
      <w:r>
        <w:br/>
      </w:r>
      <w:r>
        <w:rPr>
          <w:rStyle w:val="NormalTok"/>
        </w:rPr>
        <w:t xml:space="preserve">   - \usepackage{longtable}</w:t>
      </w:r>
      <w:r>
        <w:br/>
      </w:r>
      <w:r>
        <w:rPr>
          <w:rStyle w:val="NormalTok"/>
        </w:rPr>
        <w:t xml:space="preserve">   - \usepackage{fancyhdr}</w:t>
      </w:r>
      <w:r>
        <w:br/>
      </w:r>
      <w:r>
        <w:rPr>
          <w:rStyle w:val="DataTypeTok"/>
        </w:rPr>
        <w:t xml:space="preserve">@@ -27,34 +28,49 @@ header-includes:</w:t>
      </w:r>
      <w:r>
        <w:br/>
      </w:r>
      <w:r>
        <w:rPr>
          <w:rStyle w:val="NormalTok"/>
        </w:rPr>
        <w:t xml:space="preserve">   - \usepackage{booktabs}</w:t>
      </w:r>
      <w:r>
        <w:br/>
      </w:r>
      <w:r>
        <w:rPr>
          <w:rStyle w:val="NormalTok"/>
        </w:rPr>
        <w:t xml:space="preserve">   - \usepackage{caption}</w:t>
      </w:r>
      <w:r>
        <w:br/>
      </w:r>
      <w:r>
        <w:rPr>
          <w:rStyle w:val="NormalTok"/>
        </w:rPr>
        <w:t xml:space="preserve">   - |</w:t>
      </w:r>
      <w:r>
        <w:br/>
      </w:r>
      <w:r>
        <w:rPr>
          <w:rStyle w:val="StringTok"/>
        </w:rPr>
        <w:t xml:space="preserve">-   ```{=latex}</w:t>
      </w:r>
      <w:r>
        <w:br/>
      </w:r>
      <w:r>
        <w:rPr>
          <w:rStyle w:val="NormalTok"/>
        </w:rPr>
        <w:t xml:space="preserve">     \pagestyle{fancy}</w:t>
      </w:r>
      <w:r>
        <w:br/>
      </w:r>
      <w:r>
        <w:rPr>
          <w:rStyle w:val="NormalTok"/>
        </w:rPr>
        <w:t xml:space="preserve">     \fancyhf{}</w:t>
      </w:r>
      <w:r>
        <w:br/>
      </w:r>
      <w:r>
        <w:rPr>
          <w:rStyle w:val="NormalTok"/>
        </w:rPr>
        <w:t xml:space="preserve">     \rfoot{\thepage}</w:t>
      </w:r>
      <w:r>
        <w:br/>
      </w:r>
      <w:r>
        <w:rPr>
          <w:rStyle w:val="StringTok"/>
        </w:rPr>
        <w:t xml:space="preserve">-   \renewcommand{\headrulewidth}{0pt}</w:t>
      </w:r>
      <w:r>
        <w:br/>
      </w:r>
      <w:r>
        <w:rPr>
          <w:rStyle w:val="StringTok"/>
        </w:rPr>
        <w:t xml:space="preserve">-   \renewcommand{\footrulewidth}{0pt}</w:t>
      </w:r>
      <w:r>
        <w:br/>
      </w:r>
      <w:r>
        <w:rPr>
          <w:rStyle w:val="NormalTok"/>
        </w:rPr>
        <w:t xml:space="preserve">     \fancypagestyle{plain}{</w:t>
      </w:r>
      <w:r>
        <w:br/>
      </w:r>
      <w:r>
        <w:rPr>
          <w:rStyle w:val="NormalTok"/>
        </w:rPr>
        <w:t xml:space="preserve">       \fancyhf{}</w:t>
      </w:r>
      <w:r>
        <w:br/>
      </w:r>
      <w:r>
        <w:rPr>
          <w:rStyle w:val="NormalTok"/>
        </w:rPr>
        <w:t xml:space="preserve">       \rfoot{\thepage}</w:t>
      </w:r>
      <w:r>
        <w:br/>
      </w:r>
      <w:r>
        <w:rPr>
          <w:rStyle w:val="StringTok"/>
        </w:rPr>
        <w:t xml:space="preserve">-     \renewcommand{\headrulewidth}{0pt}</w:t>
      </w:r>
      <w:r>
        <w:br/>
      </w:r>
      <w:r>
        <w:rPr>
          <w:rStyle w:val="StringTok"/>
        </w:rPr>
        <w:t xml:space="preserve">-     \renewcommand{\footrulewidth}{0pt}</w:t>
      </w:r>
      <w:r>
        <w:br/>
      </w:r>
      <w:r>
        <w:rPr>
          <w:rStyle w:val="NormalTok"/>
        </w:rPr>
        <w:t xml:space="preserve">     }</w:t>
      </w:r>
      <w:r>
        <w:br/>
      </w:r>
      <w:r>
        <w:rPr>
          <w:rStyle w:val="StringTok"/>
        </w:rPr>
        <w:t xml:space="preserve">-   ```</w:t>
      </w:r>
      <w:r>
        <w:br/>
      </w:r>
      <w:r>
        <w:rPr>
          <w:rStyle w:val="NormalTok"/>
        </w:rPr>
        <w:t xml:space="preserve"> </w:t>
      </w:r>
      <w:r>
        <w:br/>
      </w:r>
      <w:r>
        <w:rPr>
          <w:rStyle w:val="NormalTok"/>
        </w:rPr>
        <w:t xml:space="preserve"> abstract: |</w:t>
      </w:r>
      <w:r>
        <w:br/>
      </w:r>
      <w:r>
        <w:rPr>
          <w:rStyle w:val="NormalTok"/>
        </w:rPr>
        <w:t xml:space="preserve">   This study introduces a novel approach to traditional machine learning methodology for crop type classification in Tanzania, by integrating crowdsourced data with time-series features extracted from Sentinel-2 satellite imagery. Leveraging the YouthMappers network, we collected ground validation data on various crops, including challenging types such as cassava, millet, sunflower, sorghum, and cotton across a range of agricultural areas. Traditional machine learning algorithms, augmented with carefully engineered time-series features, were employed to map the different crop classes. Our approach achieved high classification accuracy, evidenced by a Cohen's Kappa score of 0.82 and an F1-micro score of 0.85. The model often match or outperform broadly used land cover models which simply classify 'agriculture' without specifying crop types. By interpreting feature importance using SHAP values, we identified key time-series features driving the model's performance, enhancing both interpretability and reliability. Our findings demonstrate that traditional machine learning techniques, combined with computationally efficient feature extraction methods, offer a practical and effective “lite learning” approach for mapping crop types in data-scarce environments. This methodology facilitates accurate crop type classification using a low-cost, resource-limited approach that contributes valuable insights for sustainable agricultural practices and informed policy-making, ultimately impacting food security and land management in resource-limited contexts, such as sub-Saharan Africa.</w:t>
      </w:r>
      <w:r>
        <w:br/>
      </w:r>
      <w:r>
        <w:rPr>
          <w:rStyle w:val="NormalTok"/>
        </w:rPr>
        <w:t xml:space="preserve"> --- </w:t>
      </w:r>
      <w:r>
        <w:br/>
      </w:r>
      <w:r>
        <w:rPr>
          <w:rStyle w:val="NormalTok"/>
        </w:rPr>
        <w:t xml:space="preserve"> </w:t>
      </w:r>
      <w:r>
        <w:br/>
      </w:r>
      <w:r>
        <w:rPr>
          <w:rStyle w:val="StringTok"/>
        </w:rPr>
        <w:t xml:space="preserve">-\linenumbers  </w:t>
      </w:r>
      <w:r>
        <w:br/>
      </w:r>
      <w:r>
        <w:rPr>
          <w:rStyle w:val="VariableTok"/>
        </w:rPr>
        <w:t xml:space="preserve">+&lt;!-- \linenumbers  </w:t>
      </w:r>
      <w:r>
        <w:br/>
      </w:r>
      <w:r>
        <w:rPr>
          <w:rStyle w:val="NormalTok"/>
        </w:rPr>
        <w:t xml:space="preserve"> \modulolinenumbers[1]  </w:t>
      </w:r>
      <w:r>
        <w:br/>
      </w:r>
      <w:r>
        <w:rPr>
          <w:rStyle w:val="NormalTok"/>
        </w:rPr>
        <w:t xml:space="preserve"> \pagewiselinenumbers  </w:t>
      </w:r>
      <w:r>
        <w:br/>
      </w:r>
      <w:r>
        <w:rPr>
          <w:rStyle w:val="StringTok"/>
        </w:rPr>
        <w:t xml:space="preserve">-\newgeometry{margin=1in}</w:t>
      </w:r>
      <w:r>
        <w:br/>
      </w:r>
      <w:r>
        <w:rPr>
          <w:rStyle w:val="VariableTok"/>
        </w:rPr>
        <w:t xml:space="preserve">+&lt;!-- \newgeometry{margin=1in}  </w:t>
      </w:r>
      <w:r>
        <w:br/>
      </w:r>
      <w:r>
        <w:rPr>
          <w:rStyle w:val="NormalTok"/>
        </w:rPr>
        <w:t xml:space="preserve"> \captionsetup{justification=raggedright, singlelinecheck=false}</w:t>
      </w:r>
      <w:r>
        <w:br/>
      </w:r>
      <w:r>
        <w:rPr>
          <w:rStyle w:val="VariableTok"/>
        </w:rPr>
        <w:t xml:space="preserve">+   --&gt;</w:t>
      </w:r>
      <w:r>
        <w:br/>
      </w:r>
      <w:r>
        <w:rPr>
          <w:rStyle w:val="VariableTok"/>
        </w:rPr>
        <w:t xml:space="preserve">+</w:t>
      </w:r>
      <w:r>
        <w:br/>
      </w:r>
      <w:r>
        <w:rPr>
          <w:rStyle w:val="VariableTok"/>
        </w:rPr>
        <w:t xml:space="preserve">+</w:t>
      </w:r>
      <w:r>
        <w:br/>
      </w:r>
      <w:r>
        <w:rPr>
          <w:rStyle w:val="NormalTok"/>
        </w:rPr>
        <w:t xml:space="preserve"> </w:t>
      </w:r>
      <w:r>
        <w:br/>
      </w:r>
      <w:r>
        <w:rPr>
          <w:rStyle w:val="NormalTok"/>
        </w:rPr>
        <w:t xml:space="preserve"> &lt;!-- compile working with:</w:t>
      </w:r>
      <w:r>
        <w:br/>
      </w:r>
      <w:r>
        <w:rPr>
          <w:rStyle w:val="StringTok"/>
        </w:rPr>
        <w:t xml:space="preserve">-pandoc writeup.md --template=mytemplate.tex -o output.pdf --bibliography=refs.bib --pdf-engine=xelatex --citeproc </w:t>
      </w:r>
      <w:r>
        <w:br/>
      </w:r>
      <w:r>
        <w:rPr>
          <w:rStyle w:val="VariableTok"/>
        </w:rPr>
        <w:t xml:space="preserve">+cd writeup</w:t>
      </w:r>
      <w:r>
        <w:br/>
      </w:r>
      <w:r>
        <w:rPr>
          <w:rStyle w:val="VariableTok"/>
        </w:rPr>
        <w:t xml:space="preserve">+pandoc writeup.md --template=mytemplate.tex -o output_JSTARS-2025-00807.pdf --bibliography=refs.bib --pdf-engine=xelatex</w:t>
      </w:r>
      <w:r>
        <w:br/>
      </w:r>
      <w:r>
        <w:rPr>
          <w:rStyle w:val="NormalTok"/>
        </w:rPr>
        <w:t xml:space="preserve"> </w:t>
      </w:r>
      <w:r>
        <w:br/>
      </w:r>
      <w:r>
        <w:rPr>
          <w:rStyle w:val="NormalTok"/>
        </w:rPr>
        <w:t xml:space="preserve">  </w:t>
      </w:r>
      <w:r>
        <w:br/>
      </w:r>
      <w:r>
        <w:rPr>
          <w:rStyle w:val="VariableTok"/>
        </w:rPr>
        <w:t xml:space="preserve">+------------------------------------------------</w:t>
      </w:r>
      <w:r>
        <w:br/>
      </w:r>
      <w:r>
        <w:rPr>
          <w:rStyle w:val="VariableTok"/>
        </w:rPr>
        <w:t xml:space="preserve">+# manually create tex then run manually to get error</w:t>
      </w:r>
      <w:r>
        <w:br/>
      </w:r>
      <w:r>
        <w:rPr>
          <w:rStyle w:val="VariableTok"/>
        </w:rPr>
        <w:t xml:space="preserve">+# create LaTeX only (no PDF)</w:t>
      </w:r>
      <w:r>
        <w:br/>
      </w:r>
      <w:r>
        <w:rPr>
          <w:rStyle w:val="VariableTok"/>
        </w:rPr>
        <w:t xml:space="preserve">+pandoc writeup.md --template=mytemplate.tex \</w:t>
      </w:r>
      <w:r>
        <w:br/>
      </w:r>
      <w:r>
        <w:rPr>
          <w:rStyle w:val="VariableTok"/>
        </w:rPr>
        <w:t xml:space="preserve">+  --from markdown+raw_tex --to latex \</w:t>
      </w:r>
      <w:r>
        <w:br/>
      </w:r>
      <w:r>
        <w:rPr>
          <w:rStyle w:val="VariableTok"/>
        </w:rPr>
        <w:t xml:space="preserve">+  --bibliography=refs.bib -o output.tex</w:t>
      </w:r>
      <w:r>
        <w:br/>
      </w:r>
      <w:r>
        <w:rPr>
          <w:rStyle w:val="VariableTok"/>
        </w:rPr>
        <w:t xml:space="preserve">+</w:t>
      </w:r>
      <w:r>
        <w:br/>
      </w:r>
      <w:r>
        <w:rPr>
          <w:rStyle w:val="VariableTok"/>
        </w:rPr>
        <w:t xml:space="preserve">+xelatex -file-line-error -interaction=errorstopmode -halt-on-error output.tex</w:t>
      </w:r>
      <w:r>
        <w:br/>
      </w:r>
      <w:r>
        <w:rPr>
          <w:rStyle w:val="VariableTok"/>
        </w:rPr>
        <w:t xml:space="preserve">+</w:t>
      </w:r>
      <w:r>
        <w:br/>
      </w:r>
      <w:r>
        <w:rPr>
          <w:rStyle w:val="VariableTok"/>
        </w:rPr>
        <w:t xml:space="preserve">+# run xelatex with file/line errors and stop on error</w:t>
      </w:r>
      <w:r>
        <w:br/>
      </w:r>
      <w:r>
        <w:rPr>
          <w:rStyle w:val="VariableTok"/>
        </w:rPr>
        <w:t xml:space="preserve">+xelatex -file-line-error -interaction=errorstopmode -halt-on-error output.tex</w:t>
      </w:r>
      <w:r>
        <w:br/>
      </w:r>
      <w:r>
        <w:rPr>
          <w:rStyle w:val="VariableTok"/>
        </w:rPr>
        <w:t xml:space="preserve">+</w:t>
      </w:r>
      <w:r>
        <w:br/>
      </w:r>
      <w:r>
        <w:rPr>
          <w:rStyle w:val="VariableTok"/>
        </w:rPr>
        <w:t xml:space="preserve">+</w:t>
      </w:r>
      <w:r>
        <w:br/>
      </w:r>
      <w:r>
        <w:rPr>
          <w:rStyle w:val="VariableTok"/>
        </w:rPr>
        <w:t xml:space="preserve">+# open the region around the reported line to find stray \usepackage</w:t>
      </w:r>
      <w:r>
        <w:br/>
      </w:r>
      <w:r>
        <w:rPr>
          <w:rStyle w:val="VariableTok"/>
        </w:rPr>
        <w:t xml:space="preserve">+sed -n '1,140p' output.tex        # or adjust line range shown by the error</w:t>
      </w:r>
      <w:r>
        <w:br/>
      </w:r>
      <w:r>
        <w:rPr>
          <w:rStyle w:val="VariableTok"/>
        </w:rPr>
        <w:t xml:space="preserve">+</w:t>
      </w:r>
      <w:r>
        <w:br/>
      </w:r>
      <w:r>
        <w:rPr>
          <w:rStyle w:val="VariableTok"/>
        </w:rPr>
        <w:t xml:space="preserve">+-------------------------------------------------</w:t>
      </w:r>
      <w:r>
        <w:br/>
      </w:r>
      <w:r>
        <w:rPr>
          <w:rStyle w:val="NormalTok"/>
        </w:rPr>
        <w:t xml:space="preserve"> </w:t>
      </w:r>
      <w:r>
        <w:br/>
      </w:r>
      <w:r>
        <w:rPr>
          <w:rStyle w:val="NormalTok"/>
        </w:rPr>
        <w:t xml:space="preserve"> # convert to word doc (2 steps)</w:t>
      </w:r>
      <w:r>
        <w:br/>
      </w:r>
      <w:r>
        <w:rPr>
          <w:rStyle w:val="NormalTok"/>
        </w:rPr>
        <w:t xml:space="preserve"> pandoc writeup.md --template=mytemplate.tex \</w:t>
      </w:r>
      <w:r>
        <w:br/>
      </w:r>
      <w:r>
        <w:rPr>
          <w:rStyle w:val="DataTypeTok"/>
        </w:rPr>
        <w:t xml:space="preserve">@@ -117,7 +133,7 @@ We propose a novel approach that combines crowdsourced data with a new automated</w:t>
      </w:r>
      <w:r>
        <w:br/>
      </w:r>
      <w:r>
        <w:rPr>
          <w:rStyle w:val="NormalTok"/>
        </w:rPr>
        <w:t xml:space="preserve"> &lt;!-- └── Outline of the Paper</w:t>
      </w:r>
      <w:r>
        <w:br/>
      </w:r>
      <w:r>
        <w:rPr>
          <w:rStyle w:val="NormalTok"/>
        </w:rPr>
        <w:t xml:space="preserve">     └── Structure of Subsequent Sections --&gt;</w:t>
      </w:r>
      <w:r>
        <w:br/>
      </w:r>
      <w:r>
        <w:rPr>
          <w:rStyle w:val="NormalTok"/>
        </w:rPr>
        <w:t xml:space="preserve"> </w:t>
      </w:r>
      <w:r>
        <w:br/>
      </w:r>
      <w:r>
        <w:rPr>
          <w:rStyle w:val="StringTok"/>
        </w:rPr>
        <w:t xml:space="preserve">-# Data &amp; Methods</w:t>
      </w:r>
      <w:r>
        <w:br/>
      </w:r>
      <w:r>
        <w:rPr>
          <w:rStyle w:val="VariableTok"/>
        </w:rPr>
        <w:t xml:space="preserve">+# Data</w:t>
      </w:r>
      <w:r>
        <w:br/>
      </w:r>
      <w:r>
        <w:rPr>
          <w:rStyle w:val="NormalTok"/>
        </w:rPr>
        <w:t xml:space="preserve"> </w:t>
      </w:r>
      <w:r>
        <w:br/>
      </w:r>
      <w:r>
        <w:rPr>
          <w:rStyle w:val="NormalTok"/>
        </w:rPr>
        <w:t xml:space="preserve"> Data for this study were collected from multiple sources, including satellite imagery, and crowdsourced ground truth observations. The section below describes the input data and methods used throughout the paper.</w:t>
      </w:r>
      <w:r>
        <w:br/>
      </w:r>
      <w:r>
        <w:rPr>
          <w:rStyle w:val="NormalTok"/>
        </w:rPr>
        <w:t xml:space="preserve"> </w:t>
      </w:r>
      <w:r>
        <w:br/>
      </w:r>
      <w:r>
        <w:rPr>
          <w:rStyle w:val="DataTypeTok"/>
        </w:rPr>
        <w:t xml:space="preserve">@@ -131,17 +147,37 @@ The study was conducted in 50 wards within three major districts of Arusha, Dodo</w:t>
      </w:r>
      <w:r>
        <w:br/>
      </w:r>
      <w:r>
        <w:rPr>
          <w:rStyle w:val="NormalTok"/>
        </w:rPr>
        <w:t xml:space="preserve">    \label{fig:study_area} %can refer to in text with \ref{fig:study_area}</w:t>
      </w:r>
      <w:r>
        <w:br/>
      </w:r>
      <w:r>
        <w:rPr>
          <w:rStyle w:val="NormalTok"/>
        </w:rPr>
        <w:t xml:space="preserve"> \end{figure}</w:t>
      </w:r>
      <w:r>
        <w:br/>
      </w:r>
      <w:r>
        <w:rPr>
          <w:rStyle w:val="NormalTok"/>
        </w:rPr>
        <w:t xml:space="preserve"> </w:t>
      </w:r>
      <w:r>
        <w:br/>
      </w:r>
      <w:r>
        <w:rPr>
          <w:rStyle w:val="StringTok"/>
        </w:rPr>
        <w:t xml:space="preserve">-### Crowd Sourced Data Collection</w:t>
      </w:r>
      <w:r>
        <w:br/>
      </w:r>
      <w:r>
        <w:rPr>
          <w:rStyle w:val="VariableTok"/>
        </w:rPr>
        <w:t xml:space="preserve">+## Crowd Sourced Data Collection</w:t>
      </w:r>
      <w:r>
        <w:br/>
      </w:r>
      <w:r>
        <w:rPr>
          <w:rStyle w:val="VariableTok"/>
        </w:rPr>
        <w:t xml:space="preserve">+</w:t>
      </w:r>
      <w:r>
        <w:br/>
      </w:r>
      <w:r>
        <w:rPr>
          <w:rStyle w:val="VariableTok"/>
        </w:rPr>
        <w:t xml:space="preserve">+Crop type data collection was designed and executed by YouthMappers through a crowdsourced GIS approach. Data collection was designed in 3 steps where: 1) Development of and training all intended student participants. 2) Data collection using KoboToolbox hosting a well developed data model. The exercise lasted 14 days with 7 days of iterative pilot testing on different farms, crops and landscapes. Finally the last step, 3) was the data review and cleaning phase to generate a sample for training as seen in Figure \ref{fig:methodology_flowchart}</w:t>
      </w:r>
      <w:r>
        <w:br/>
      </w:r>
      <w:r>
        <w:rPr>
          <w:rStyle w:val="VariableTok"/>
        </w:rPr>
        <w:t xml:space="preserve">+</w:t>
      </w:r>
      <w:r>
        <w:br/>
      </w:r>
      <w:r>
        <w:rPr>
          <w:rStyle w:val="VariableTok"/>
        </w:rPr>
        <w:t xml:space="preserve">+</w:t>
      </w:r>
      <w:r>
        <w:br/>
      </w:r>
      <w:r>
        <w:rPr>
          <w:rStyle w:val="VariableTok"/>
        </w:rPr>
        <w:t xml:space="preserve">+\begin{figure}[H]</w:t>
      </w:r>
      <w:r>
        <w:br/>
      </w:r>
      <w:r>
        <w:rPr>
          <w:rStyle w:val="VariableTok"/>
        </w:rPr>
        <w:t xml:space="preserve">+   \centering   \includegraphics[width=0.8\linewidth]{/home/mmann1123/Documents/github/YM_TZ_crop_classifier/writeup/figures/methodology_flowchart.png} </w:t>
      </w:r>
      <w:r>
        <w:br/>
      </w:r>
      <w:r>
        <w:rPr>
          <w:rStyle w:val="VariableTok"/>
        </w:rPr>
        <w:t xml:space="preserve">+   \caption{Data collection methodology flowchart}</w:t>
      </w:r>
      <w:r>
        <w:br/>
      </w:r>
      <w:r>
        <w:rPr>
          <w:rStyle w:val="VariableTok"/>
        </w:rPr>
        <w:t xml:space="preserve">+   \label{fig:methodology_flowchart} %can refer to in text with \ref{fig:methodology_flowchart}</w:t>
      </w:r>
      <w:r>
        <w:br/>
      </w:r>
      <w:r>
        <w:rPr>
          <w:rStyle w:val="VariableTok"/>
        </w:rPr>
        <w:t xml:space="preserve">+\end{figure}</w:t>
      </w:r>
      <w:r>
        <w:br/>
      </w:r>
      <w:r>
        <w:rPr>
          <w:rStyle w:val="VariableTok"/>
        </w:rPr>
        <w:t xml:space="preserve">+</w:t>
      </w:r>
      <w:r>
        <w:br/>
      </w:r>
      <w:r>
        <w:rPr>
          <w:rStyle w:val="VariableTok"/>
        </w:rPr>
        <w:t xml:space="preserve">+Additional training data for non-agricultural sites was collected utilizing high resolution imagery from Google Earth. These data were used to supplement the crowdsourced data and improve the model's ability to distinguish between crops and more common land cover types like forests, urban areas, and water.  The final cleaned dataset includes over 1,400 crop type observations of rice, maize, cassava, sunflower, sorghum, cotton, and millet; plus 386 other observations of land cover classes including water, tidal areas, forest, shrub and urban.  </w:t>
      </w:r>
      <w:r>
        <w:br/>
      </w:r>
      <w:r>
        <w:rPr>
          <w:rStyle w:val="VariableTok"/>
        </w:rPr>
        <w:t xml:space="preserve">+</w:t>
      </w:r>
      <w:r>
        <w:br/>
      </w:r>
      <w:r>
        <w:rPr>
          <w:rStyle w:val="VariableTok"/>
        </w:rPr>
        <w:t xml:space="preserve">+## Satellite Imagery</w:t>
      </w:r>
      <w:r>
        <w:br/>
      </w:r>
      <w:r>
        <w:rPr>
          <w:rStyle w:val="NormalTok"/>
        </w:rPr>
        <w:t xml:space="preserve"> </w:t>
      </w:r>
      <w:r>
        <w:br/>
      </w:r>
      <w:r>
        <w:rPr>
          <w:rStyle w:val="StringTok"/>
        </w:rPr>
        <w:t xml:space="preserve">-Crop type data collection was designed and executed by YouthMappers through a crowdsourced GIS approach. The method was designed in 3 steps where: 1) Development of and training all intended student participants. 2) Data collection using KoboToolbox hosting a well developed data model. The exercise lasted 14 days with 7 days of iterative pilot testing on different farms, crops and landscapes. Finally the last step, 3) was the data review and cleaning phase to generate a sample for training.</w:t>
      </w:r>
      <w:r>
        <w:br/>
      </w:r>
      <w:r>
        <w:rPr>
          <w:rStyle w:val="VariableTok"/>
        </w:rPr>
        <w:t xml:space="preserve">+Satellite imagery was obtained from the Sentinel-2 satellite constellation, which provides high-resolution multispectral data at 10-meter spatial resolution. The imagery was acquired over the study area between January and August of 2023 during the growing season, capturing the spectral characteristics of different crop types and coinciding with field data collection. The Sentinel-2 L2 harmonized reflectance data were pre-processed to remove noise and atmospheric effects, ensuring that the spectral information was accurate and reliable for classification purposes [@begue2018remote].</w:t>
      </w:r>
      <w:r>
        <w:br/>
      </w:r>
      <w:r>
        <w:rPr>
          <w:rStyle w:val="VariableTok"/>
        </w:rPr>
        <w:t xml:space="preserve">+</w:t>
      </w:r>
      <w:r>
        <w:br/>
      </w:r>
      <w:r>
        <w:rPr>
          <w:rStyle w:val="VariableTok"/>
        </w:rPr>
        <w:t xml:space="preserve">+In our study, cloud and cloud shadow contamination was mitigated using the 's2cloudless' machine learning model on the Google Earth Engine platform. Cloudy pixels were identified using a cloud probability mask, with pixels having a probability above 50% classified as clouds. To detect cloud shadows, we used the Near-Infrared (NIR) spectrum to flag dark pixels not identified as water as potential shadow pixels. The projected shadows from the clouds were identified using a directional distance transform based on the solar azimuth angle from the image metadata. A combined cloud and shadow mask was refined through morphological dilation, creating a buffer zone to ensure comprehensive coverage. This mask was applied to the Sentinel-2 surface reflectance data to exclude all pixels identified as clouds or shadows, enhancing the reliability of the dataset for environmental analysis.</w:t>
      </w:r>
      <w:r>
        <w:br/>
      </w:r>
      <w:r>
        <w:rPr>
          <w:rStyle w:val="NormalTok"/>
        </w:rPr>
        <w:t xml:space="preserve"> </w:t>
      </w:r>
      <w:r>
        <w:br/>
      </w:r>
      <w:r>
        <w:rPr>
          <w:rStyle w:val="StringTok"/>
        </w:rPr>
        <w:t xml:space="preserve">-Additional training data was collected utilizing high resolution imagery from Google Earth. These data were used to supplement the crowdsourced data and improve the model's ability to distinguish between crops and more common land cover types like forests, urban areas, and water.  The final cleaned dataset includes 1,400 crop type observations of rice, maize, cassava, sunflower, sorghum, cotton, and millet; plus 386 other observations of land cover classes including water, tidal areas, forest, shrub and urban.  </w:t>
      </w:r>
      <w:r>
        <w:br/>
      </w:r>
      <w:r>
        <w:rPr>
          <w:rStyle w:val="VariableTok"/>
        </w:rPr>
        <w:t xml:space="preserve">+Monthly composites were collected for January through August of 2023 for the the bands B2 Blue (458-523nm), B6 Vegetation Red Edge (733-738nm), B8 Near Infrared (785-899nm), B11 Short-Wave Infrared (SWIR)(1565-1655nm), and B12 Short Wave Infrared (2100-2280nm). Sw. We also calculate the Enhanced Vegetation Index (EVI) and hue, the color spectrum value [@GoogleHSV]. This computed hue value provides the basic color as perceived in the color wheel, from red, through green, blue, and back to red for each pixel. Due to the high prevalence of clouds in the region, linear interpolation was used to fill in missing data in the time series using `xr_fresh` [@xr_fresh_2021]. These bands were selected based on their relevance to crop type classification and their ability to capture the unique spectral signatures of different crops. The monthly composites were used to generate time series features for each pixel in the study area, providing valuable information on the temporal dynamics of crop growth and development.</w:t>
      </w:r>
      <w:r>
        <w:br/>
      </w:r>
      <w:r>
        <w:rPr>
          <w:rStyle w:val="NormalTok"/>
        </w:rPr>
        <w:t xml:space="preserve"> </w:t>
      </w:r>
      <w:r>
        <w:br/>
      </w:r>
      <w:r>
        <w:rPr>
          <w:rStyle w:val="StringTok"/>
        </w:rPr>
        <w:t xml:space="preserve">-#### Data Collection Methods</w:t>
      </w:r>
      <w:r>
        <w:br/>
      </w:r>
      <w:r>
        <w:rPr>
          <w:rStyle w:val="VariableTok"/>
        </w:rPr>
        <w:t xml:space="preserve">+# Methods</w:t>
      </w:r>
      <w:r>
        <w:br/>
      </w:r>
      <w:r>
        <w:rPr>
          <w:rStyle w:val="VariableTok"/>
        </w:rPr>
        <w:t xml:space="preserve">+The following section describes the methods used for data collection, feature extraction, model training, and evaluation.</w:t>
      </w:r>
      <w:r>
        <w:br/>
      </w:r>
      <w:r>
        <w:rPr>
          <w:rStyle w:val="VariableTok"/>
        </w:rPr>
        <w:t xml:space="preserve">+</w:t>
      </w:r>
      <w:r>
        <w:br/>
      </w:r>
      <w:r>
        <w:rPr>
          <w:rStyle w:val="VariableTok"/>
        </w:rPr>
        <w:t xml:space="preserve">+## Data Collection</w:t>
      </w:r>
      <w:r>
        <w:br/>
      </w:r>
      <w:r>
        <w:rPr>
          <w:rStyle w:val="NormalTok"/>
        </w:rPr>
        <w:t xml:space="preserve"> </w:t>
      </w:r>
      <w:r>
        <w:br/>
      </w:r>
      <w:r>
        <w:rPr>
          <w:rStyle w:val="NormalTok"/>
        </w:rPr>
        <w:t xml:space="preserve"> To ensure the success of our project, we focused heavily on the design of our data collection methods. These methods were carefully integrated, taking into account: the crop calendar, information on the different stages of crop development, the distances between crop fields, the tools used, and data quality assurance.</w:t>
      </w:r>
      <w:r>
        <w:br/>
      </w:r>
      <w:r>
        <w:rPr>
          <w:rStyle w:val="NormalTok"/>
        </w:rPr>
        <w:t xml:space="preserve"> </w:t>
      </w:r>
      <w:r>
        <w:br/>
      </w:r>
      <w:r>
        <w:rPr>
          <w:rStyle w:val="StringTok"/>
        </w:rPr>
        <w:t xml:space="preserve">-Young crops exhibit significant differences compared to mature crops in terms of color, density, and phenological development. Variations in the crop cycle across different fields could lead to heteroscedasticity in the spectral reflectance measurements used for machine learning (ML) training, thereby affecting the precision and accuracy of the model. By targeting the period of April through May we aimed to capture crops late in the growing season and yet before harvest as seen in the crop calendar in Figure \ref{fig:crop_cal} below.</w:t>
      </w:r>
      <w:r>
        <w:br/>
      </w:r>
      <w:r>
        <w:rPr>
          <w:rStyle w:val="VariableTok"/>
        </w:rPr>
        <w:t xml:space="preserve">+### Field Data</w:t>
      </w:r>
      <w:r>
        <w:br/>
      </w:r>
      <w:r>
        <w:rPr>
          <w:rStyle w:val="VariableTok"/>
        </w:rPr>
        <w:t xml:space="preserve">+</w:t>
      </w:r>
      <w:r>
        <w:br/>
      </w:r>
      <w:r>
        <w:rPr>
          <w:rStyle w:val="VariableTok"/>
        </w:rPr>
        <w:t xml:space="preserve">+Young crops exhibit significant differences compared to mature crops in terms of color, density, and phenological development. Variations in the crop cycle across different fields could lead to heteroscedasticity in the spectral reflectance measurements used for machine learning (ML) training, thereby affecting the precision and accuracy of the model. By targeting the period of April through May as we aimed to capture crops late in the growing season, and yet before harvest as seen in the crop calendar in Figure \ref{fig:crop_cal} below.</w:t>
      </w:r>
      <w:r>
        <w:br/>
      </w:r>
      <w:r>
        <w:rPr>
          <w:rStyle w:val="NormalTok"/>
        </w:rPr>
        <w:t xml:space="preserve"> </w:t>
      </w:r>
      <w:r>
        <w:br/>
      </w:r>
      <w:r>
        <w:rPr>
          <w:rStyle w:val="NormalTok"/>
        </w:rPr>
        <w:t xml:space="preserve"> \begin{figure}[H]</w:t>
      </w:r>
      <w:r>
        <w:br/>
      </w:r>
      <w:r>
        <w:rPr>
          <w:rStyle w:val="NormalTok"/>
        </w:rPr>
        <w:t xml:space="preserve">    \centering   \includegraphics[width=0.8\linewidth]{/home/mmann1123/Documents/github/YM_TZ_crop_classifier/writeup/figures/plant_ghant.png}</w:t>
      </w:r>
      <w:r>
        <w:br/>
      </w:r>
      <w:r>
        <w:rPr>
          <w:rStyle w:val="DataTypeTok"/>
        </w:rPr>
        <w:t xml:space="preserve">@@ -151,37 +187,53 @@ Young crops exhibit significant differences compared to mature crops in terms of</w:t>
      </w:r>
      <w:r>
        <w:br/>
      </w:r>
      <w:r>
        <w:rPr>
          <w:rStyle w:val="NormalTok"/>
        </w:rPr>
        <w:t xml:space="preserve"> </w:t>
      </w:r>
      <w:r>
        <w:br/>
      </w:r>
      <w:r>
        <w:rPr>
          <w:rStyle w:val="NormalTok"/>
        </w:rPr>
        <w:t xml:space="preserve"> USDA’s Foreign Agricultural Service compiles information on planting and harvest windows for grain, oilseed, and cotton crops as an important tool to support crop condition assessments with satellite imagery. Tanzania’s crop planting seasons are shaped by its bimodal and unimodal rainfall patterns, which vary by region. In the north and northeast, bimodal areas experience the short rains (Vuli) from late-October to mid-January, during which crops like maize, beans, and vegetables are planted in October and November, and the long rains (Masika) from March to May, supporting crops like maize, rice, sorghum, and cassava, typically planted in February and March. In the central, southern, and western regions with unimodal rainfall, there is a single rainy season from November to April, when crops such as cotton, maize, millet, rice, and sunflower are planted in November and December. This diversity in rainfall patterns allows for a wide variety of crops suited to the local climate and seasonal conditions.</w:t>
      </w:r>
      <w:r>
        <w:br/>
      </w:r>
      <w:r>
        <w:rPr>
          <w:rStyle w:val="NormalTok"/>
        </w:rPr>
        <w:t xml:space="preserve"> </w:t>
      </w:r>
      <w:r>
        <w:br/>
      </w:r>
      <w:r>
        <w:rPr>
          <w:rStyle w:val="StringTok"/>
        </w:rPr>
        <w:t xml:space="preserve">-The data collection took place between late April and May as shown in figure \ref{fig:crop_cal} to align with mid-season for many crops. YouthMappers were advised to focus on a set of target crops, ones known to be present in the region and at appropriate crop growth stages. Before embarking on data collection, discussions covered several factors to consider in selecting field collection sites. Factors included field size to establish a minimum detectable by the satellite imagery, clear and open fields to enhance clean spectra sampling, prioritizing areas covered by a single crop to reduce confusion, sampling distribution of at least one kilometer between stops, and even crop maturity and health. YouthMappers were advised to identify only fields 30 meters or greater across to ensure a minimum size detectable by the satellite imagery. When picking between fields for data collection, defining clear and open fields was discussed with several examples, as agriculture can include mixed land cover types with tree cover, power lines, buildings, and other obstructions that prevent the satellite from cleanly capturing spectra of only the crop. YouthMappers were advised to only pick clear and open fields and prioritize those growing only one crop. The recommendation to have a sampling distribution of at least one kilometer was a compromise between the amount of time available for data collection, the expense of travel, and a sufficient distribution to reduce spatial autocorrelation. It was permitted for YouthMappers to identify adjacent fields growing different types of crops, but otherwise highly encouraged for them to return to the vehicle and drive the 1 km to collect more data. The most important factors driving the timing for data collection were crop maturity and health. The fieldwork was conducted between late-April to May 2023 because the target crops typically reach reproductive stages with maximum canopy cover during this time of year. This crop stage is best suited for discerning different crop types with satellite imagery. While most fields were found in late reproductive stages, drought conditions impacted the health of some fields. YouthMappers were advised to prioritize and identify mature, lush green fields, as ideal data collection sites. By thoroughly discussing each of these factors, we trained YouthMappers to select fields best suited as in-situ training data for satellite imagery analysis.</w:t>
      </w:r>
      <w:r>
        <w:br/>
      </w:r>
      <w:r>
        <w:rPr>
          <w:rStyle w:val="VariableTok"/>
        </w:rPr>
        <w:t xml:space="preserve">+Data collection took place between late April and May 2023 (Figure \ref{fig:crop_cal}) to align with the mid-season growth stage for most target crops. YouthMappers were trained to focus on crops known to be present in each region and at appropriate phenological stages for spectral discrimination. Prior to fieldwork, extensive training sessions covered the key criteria for selecting suitable field sites to ensure high-quality training data for the machine learning models.</w:t>
      </w:r>
      <w:r>
        <w:br/>
      </w:r>
      <w:r>
        <w:rPr>
          <w:rStyle w:val="VariableTok"/>
        </w:rPr>
        <w:t xml:space="preserve">+</w:t>
      </w:r>
      <w:r>
        <w:br/>
      </w:r>
      <w:r>
        <w:rPr>
          <w:rStyle w:val="VariableTok"/>
        </w:rPr>
        <w:t xml:space="preserve">+Field size represented a critical consideration, as features below the spatial resolution of Sentinel-2 imagery would not be adequately captured. YouthMappers were therefore instructed to identify only fields measuring 30 meters or greater across, ensuring that each field would encompass multiple pixels in the satellite imagery. Beyond size, field composition played an equally important role in data quality. Agriculture in the study region often includes heterogeneous land cover with tree cover, power lines, buildings, and other obstructions that can contaminate the spectral signature of crops. To minimize this spectral mixing, YouthMappers were trained to prioritize clear, open fields planted with a single crop type, using photographic examples to illustrate ideal versus problematic field characteristics.</w:t>
      </w:r>
      <w:r>
        <w:br/>
      </w:r>
      <w:r>
        <w:rPr>
          <w:rStyle w:val="VariableTok"/>
        </w:rPr>
        <w:t xml:space="preserve">+</w:t>
      </w:r>
      <w:r>
        <w:br/>
      </w:r>
      <w:r>
        <w:rPr>
          <w:rStyle w:val="VariableTok"/>
        </w:rPr>
        <w:t xml:space="preserve">+Spatial distribution of sample sites was carefully considered to balance logistical constraints with statistical independence. A minimum separation distance of one kilometer between sampling locations was established as a compromise between the time and cost of travel and the need to reduce spatial autocorrelation in the training data. While YouthMappers were permitted to sample adjacent fields when different crop types were present, they were otherwise encouraged to maintain this spacing by traveling to more distant locations.</w:t>
      </w:r>
      <w:r>
        <w:br/>
      </w:r>
      <w:r>
        <w:rPr>
          <w:rStyle w:val="VariableTok"/>
        </w:rPr>
        <w:t xml:space="preserve">+</w:t>
      </w:r>
      <w:r>
        <w:br/>
      </w:r>
      <w:r>
        <w:rPr>
          <w:rStyle w:val="VariableTok"/>
        </w:rPr>
        <w:t xml:space="preserve">+The timing of data collection was primarily driven by crop phenology and field condition. Mid to late reproductive stages offer maximum canopy cover and the most distinctive spectral signatures for crop type discrimination. Although most sampled fields exhibited the desired phenological characteristics, drought conditions in 2023 affected crop health across the region, with some fields showing signs of stress or early harvest. To ensure robust model training, YouthMappers were instructed to prioritize mature, healthy fields with lush green canopies whenever possible. Through this comprehensive training process, field teams developed the expertise needed to consistently identify sites well-suited for generating high-quality in-situ training data for satellite-based crop classification.</w:t>
      </w:r>
      <w:r>
        <w:br/>
      </w:r>
      <w:r>
        <w:rPr>
          <w:rStyle w:val="NormalTok"/>
        </w:rPr>
        <w:t xml:space="preserve"> </w:t>
      </w:r>
      <w:r>
        <w:br/>
      </w:r>
      <w:r>
        <w:rPr>
          <w:rStyle w:val="NormalTok"/>
        </w:rPr>
        <w:t xml:space="preserve"> The data collection was managed through KoboCollect, hosted on the KoboToolBox infrastructure, which provided an effective platform for gathering and organizing data. This approach enabled a collection of the desired volume of data points necessary for model training and evaluation, as summarized in Table \ref{tab:data_n}.</w:t>
      </w:r>
      <w:r>
        <w:br/>
      </w:r>
      <w:r>
        <w:rPr>
          <w:rStyle w:val="NormalTok"/>
        </w:rPr>
        <w:t xml:space="preserve"> </w:t>
      </w:r>
      <w:r>
        <w:br/>
      </w:r>
      <w:r>
        <w:rPr>
          <w:rStyle w:val="VariableTok"/>
        </w:rPr>
        <w:t xml:space="preserve">+</w:t>
      </w:r>
      <w:r>
        <w:br/>
      </w:r>
      <w:r>
        <w:rPr>
          <w:rStyle w:val="NormalTok"/>
        </w:rPr>
        <w:t xml:space="preserve"> \begin{table}[h!]</w:t>
      </w:r>
      <w:r>
        <w:br/>
      </w:r>
      <w:r>
        <w:rPr>
          <w:rStyle w:val="NormalTok"/>
        </w:rPr>
        <w:t xml:space="preserve"> \centering</w:t>
      </w:r>
      <w:r>
        <w:br/>
      </w:r>
      <w:r>
        <w:rPr>
          <w:rStyle w:val="StringTok"/>
        </w:rPr>
        <w:t xml:space="preserve">-\begin{tabular}{@{}lp{4cm}p{4cm}p{4cm}@{}}</w:t>
      </w:r>
      <w:r>
        <w:br/>
      </w:r>
      <w:r>
        <w:rPr>
          <w:rStyle w:val="VariableTok"/>
        </w:rPr>
        <w:t xml:space="preserve">+\small</w:t>
      </w:r>
      <w:r>
        <w:br/>
      </w:r>
      <w:r>
        <w:rPr>
          <w:rStyle w:val="VariableTok"/>
        </w:rPr>
        <w:t xml:space="preserve">+\begin{tabular}{@{}lcp{4.5cm}@{}}</w:t>
      </w:r>
      <w:r>
        <w:br/>
      </w:r>
      <w:r>
        <w:rPr>
          <w:rStyle w:val="NormalTok"/>
        </w:rPr>
        <w:t xml:space="preserve"> \toprule</w:t>
      </w:r>
      <w:r>
        <w:br/>
      </w:r>
      <w:r>
        <w:rPr>
          <w:rStyle w:val="StringTok"/>
        </w:rPr>
        <w:t xml:space="preserve">-&amp; \textbf{Arusha} &amp; \textbf{Mwanza} &amp; \textbf{Dodoma} \\ \midrule</w:t>
      </w:r>
      <w:r>
        <w:br/>
      </w:r>
      <w:r>
        <w:rPr>
          <w:rStyle w:val="StringTok"/>
        </w:rPr>
        <w:t xml:space="preserve">-\textbf{Desired points:} &amp; \textbf{300} &amp; \textbf{1000} &amp; \textbf{800} \\ </w:t>
      </w:r>
      <w:r>
        <w:br/>
      </w:r>
      <w:r>
        <w:rPr>
          <w:rStyle w:val="StringTok"/>
        </w:rPr>
        <w:t xml:space="preserve">-\midrule \\</w:t>
      </w:r>
      <w:r>
        <w:br/>
      </w:r>
      <w:r>
        <w:rPr>
          <w:rStyle w:val="StringTok"/>
        </w:rPr>
        <w:t xml:space="preserve">-\textbf{Crops:} &amp; Maize \newline Rice \newline Sorghum \&amp; Millet </w:t>
      </w:r>
      <w:r>
        <w:br/>
      </w:r>
      <w:r>
        <w:rPr>
          <w:rStyle w:val="StringTok"/>
        </w:rPr>
        <w:t xml:space="preserve">-               &amp; Maize \newline Cotton \newline Rice \newline Peanuts or Groundnut </w:t>
      </w:r>
      <w:r>
        <w:br/>
      </w:r>
      <w:r>
        <w:rPr>
          <w:rStyle w:val="StringTok"/>
        </w:rPr>
        <w:t xml:space="preserve">-               &amp; Sorghum \newline Maize \newline Millet \newline Sunflower \newline Peanuts or Groundnut \newline Cotton Fields \\ </w:t>
      </w:r>
      <w:r>
        <w:br/>
      </w:r>
      <w:r>
        <w:rPr>
          <w:rStyle w:val="VariableTok"/>
        </w:rPr>
        <w:t xml:space="preserve">+\textbf{Region} &amp; \textbf{Points} &amp; \textbf{Primary Crops} \\</w:t>
      </w:r>
      <w:r>
        <w:br/>
      </w:r>
      <w:r>
        <w:rPr>
          <w:rStyle w:val="VariableTok"/>
        </w:rPr>
        <w:t xml:space="preserve">+\midrule</w:t>
      </w:r>
      <w:r>
        <w:br/>
      </w:r>
      <w:r>
        <w:rPr>
          <w:rStyle w:val="VariableTok"/>
        </w:rPr>
        <w:t xml:space="preserve">+Arusha &amp; 300 &amp; Maize, Rice, Sorghum, Millet \\</w:t>
      </w:r>
      <w:r>
        <w:br/>
      </w:r>
      <w:r>
        <w:rPr>
          <w:rStyle w:val="VariableTok"/>
        </w:rPr>
        <w:t xml:space="preserve">+\midrule</w:t>
      </w:r>
      <w:r>
        <w:br/>
      </w:r>
      <w:r>
        <w:rPr>
          <w:rStyle w:val="VariableTok"/>
        </w:rPr>
        <w:t xml:space="preserve">+Mwanza &amp; 1000 &amp; Maize, Cotton, Rice, Groundnut \\</w:t>
      </w:r>
      <w:r>
        <w:br/>
      </w:r>
      <w:r>
        <w:rPr>
          <w:rStyle w:val="VariableTok"/>
        </w:rPr>
        <w:t xml:space="preserve">+\midrule</w:t>
      </w:r>
      <w:r>
        <w:br/>
      </w:r>
      <w:r>
        <w:rPr>
          <w:rStyle w:val="VariableTok"/>
        </w:rPr>
        <w:t xml:space="preserve">+Dodoma &amp; 800 &amp; Sorghum, Maize, Millet, Sunflower, Groundnut, Cotton \\</w:t>
      </w:r>
      <w:r>
        <w:br/>
      </w:r>
      <w:r>
        <w:rPr>
          <w:rStyle w:val="NormalTok"/>
        </w:rPr>
        <w:t xml:space="preserve"> \bottomrule</w:t>
      </w:r>
      <w:r>
        <w:br/>
      </w:r>
      <w:r>
        <w:rPr>
          <w:rStyle w:val="NormalTok"/>
        </w:rPr>
        <w:t xml:space="preserve"> \end{tabular}</w:t>
      </w:r>
      <w:r>
        <w:br/>
      </w:r>
      <w:r>
        <w:rPr>
          <w:rStyle w:val="NormalTok"/>
        </w:rPr>
        <w:t xml:space="preserve"> \caption{Collection Targets and Primary Crops by Region in Tanzania}</w:t>
      </w:r>
      <w:r>
        <w:br/>
      </w:r>
      <w:r>
        <w:rPr>
          <w:rStyle w:val="NormalTok"/>
        </w:rPr>
        <w:t xml:space="preserve"> \label{tab:data_n}</w:t>
      </w:r>
      <w:r>
        <w:br/>
      </w:r>
      <w:r>
        <w:rPr>
          <w:rStyle w:val="NormalTok"/>
        </w:rPr>
        <w:t xml:space="preserve"> \end{table}</w:t>
      </w:r>
      <w:r>
        <w:br/>
      </w:r>
      <w:r>
        <w:rPr>
          <w:rStyle w:val="NormalTok"/>
        </w:rPr>
        <w:t xml:space="preserve"> </w:t>
      </w:r>
      <w:r>
        <w:br/>
      </w:r>
      <w:r>
        <w:rPr>
          <w:rStyle w:val="StringTok"/>
        </w:rPr>
        <w:t xml:space="preserve">-### Satellite Imagery</w:t>
      </w:r>
      <w:r>
        <w:br/>
      </w:r>
      <w:r>
        <w:rPr>
          <w:rStyle w:val="VariableTok"/>
        </w:rPr>
        <w:t xml:space="preserve">+### Field Data Cleaning</w:t>
      </w:r>
      <w:r>
        <w:br/>
      </w:r>
      <w:r>
        <w:rPr>
          <w:rStyle w:val="NormalTok"/>
        </w:rPr>
        <w:t xml:space="preserve"> </w:t>
      </w:r>
      <w:r>
        <w:br/>
      </w:r>
      <w:r>
        <w:rPr>
          <w:rStyle w:val="StringTok"/>
        </w:rPr>
        <w:t xml:space="preserve">-Satellite imagery was obtained from the Sentinel-2 satellite constellation, which provides high-resolution multispectral data at 10-meter spatial resolution. The imagery was acquired over the study area  between January and August of 2023 during the growing season, capturing the spectral characteristics of different crop types and coinciding with field data collection. The Sentinel-2 L2 harmonized reflectance data were pre-processed to remove noise and atmospheric effects, ensuring that the spectral information was accurate and reliable for classification purposes [@begue2018remote].</w:t>
      </w:r>
      <w:r>
        <w:br/>
      </w:r>
      <w:r>
        <w:rPr>
          <w:rStyle w:val="VariableTok"/>
        </w:rPr>
        <w:t xml:space="preserve">+The initial dataset comprised 1,720 observations collected by YouthMappers across the three districts. A thorough data cleaning process was undertaken to ensure the quality and reliability of the dataset for model training and evaluation. This process involved several steps. First, duplicate entries were identified and removed to prevent redundancy and potential bias in the dataset. Second, observations with missing or incomplete data were addressed; depending on the extent of missing information, these entries were either corrected using auxiliary data sources or excluded from the dataset. Third, each observation was visually inspected using in-situ photos taken by students at each site, which helped verify the accuracy of the recorded crop types and field conditions. Fourth, crop type labels were standardized to ensure consistency across the dataset by correcting typographical errors and unifying different naming conventions for the same crop. Finally, the geographic coordinates of each observation were validated to ensure they fell within the expected study area and corresponded to an observable field from satellite imagery. After completing the cleaning process, the final dataset consisted of over 1,400 crop type entries, providing a robust foundation for training and evaluating the machine learning models used in this study.</w:t>
      </w:r>
      <w:r>
        <w:br/>
      </w:r>
      <w:r>
        <w:rPr>
          <w:rStyle w:val="NormalTok"/>
        </w:rPr>
        <w:t xml:space="preserve"> </w:t>
      </w:r>
      <w:r>
        <w:br/>
      </w:r>
      <w:r>
        <w:rPr>
          <w:rStyle w:val="StringTok"/>
        </w:rPr>
        <w:t xml:space="preserve">-In our study, cloud and cloud shadow contamination was mitigated using the 's2cloudless' machine learning model on the Google Earth Engine platform. Cloudy pixels were identified using a cloud probability mask, with pixels having a probability above 50% classified as clouds. To detect cloud shadows, we used the Near-Infrared (NIR) spectrum to flag dark pixels not identified as water as potential shadow pixels. The projected shadows from the clouds were identified using a directional distance transform based on the solar azimuth angle from the image metadata. A combined cloud and shadow mask was refined through morphological dilation, creating a buffer zone to ensure comprehensive coverage. This mask was applied to the Sentinel-2 surface reflectance data to exclude all pixels identified as clouds or shadows, enhancing the reliability of the dataset for environmental analysis.</w:t>
      </w:r>
      <w:r>
        <w:br/>
      </w:r>
      <w:r>
        <w:rPr>
          <w:rStyle w:val="VariableTok"/>
        </w:rPr>
        <w:t xml:space="preserve">+## Analytical Methods</w:t>
      </w:r>
      <w:r>
        <w:br/>
      </w:r>
      <w:r>
        <w:rPr>
          <w:rStyle w:val="VariableTok"/>
        </w:rPr>
        <w:t xml:space="preserve">+</w:t>
      </w:r>
      <w:r>
        <w:br/>
      </w:r>
      <w:r>
        <w:rPr>
          <w:rStyle w:val="VariableTok"/>
        </w:rPr>
        <w:t xml:space="preserve">+After data collection and cleaning, we employed a series of analytical methods to extract relevant features from the satellite imagery, train machine learning models, and evaluate their performance. The overall workflow is illustrated in Figure \ref{fig:analyt_flow}.</w:t>
      </w:r>
      <w:r>
        <w:br/>
      </w:r>
      <w:r>
        <w:rPr>
          <w:rStyle w:val="VariableTok"/>
        </w:rPr>
        <w:t xml:space="preserve">+</w:t>
      </w:r>
      <w:r>
        <w:br/>
      </w:r>
      <w:r>
        <w:rPr>
          <w:rStyle w:val="VariableTok"/>
        </w:rPr>
        <w:t xml:space="preserve">+\begin{figure}</w:t>
      </w:r>
      <w:r>
        <w:br/>
      </w:r>
      <w:r>
        <w:rPr>
          <w:rStyle w:val="VariableTok"/>
        </w:rPr>
        <w:t xml:space="preserve">+   \centering   \includegraphics[width=0.8\linewidth]{/home/mmann1123/Documents/github/YM_TZ_crop_classifier/writeup/figures/analytical_methods_flowchart.png}</w:t>
      </w:r>
      <w:r>
        <w:br/>
      </w:r>
      <w:r>
        <w:rPr>
          <w:rStyle w:val="VariableTok"/>
        </w:rPr>
        <w:t xml:space="preserve">+   \caption{Analytical Methods Workflow }</w:t>
      </w:r>
      <w:r>
        <w:br/>
      </w:r>
      <w:r>
        <w:rPr>
          <w:rStyle w:val="VariableTok"/>
        </w:rPr>
        <w:t xml:space="preserve">+   \label{fig:analyt_flow} %can refer to in text with \ref{fig:analyt_flow}</w:t>
      </w:r>
      <w:r>
        <w:br/>
      </w:r>
      <w:r>
        <w:rPr>
          <w:rStyle w:val="VariableTok"/>
        </w:rPr>
        <w:t xml:space="preserve">+\end{figure} </w:t>
      </w:r>
      <w:r>
        <w:br/>
      </w:r>
      <w:r>
        <w:rPr>
          <w:rStyle w:val="NormalTok"/>
        </w:rPr>
        <w:t xml:space="preserve"> </w:t>
      </w:r>
      <w:r>
        <w:br/>
      </w:r>
      <w:r>
        <w:rPr>
          <w:rStyle w:val="StringTok"/>
        </w:rPr>
        <w:t xml:space="preserve">-Monthly composites were collected for January through August of 2023 for the the bands B2 Blue (458-523nm), B6 Vegetation Red Edge (733-738nm), B8 Near Infrared (785-899nm), B11 Short-Wave Infrared (SWIR)(1565-1655nm), and B12 Short Wave Infrared (2100-2280nm). Sw. We also calculate the Enhanced Vegetation Index (EVI) and hue, the color spectrum value [@GoogleHSV]. This computed hue value provides the basic color as perceived in the color wheel, from red, through green, blue, and back to red for each pixel. Due to the high prevalence of clouds in the region, linear interpolation was used to fill in missing data in the time series using `xr_fresh` [@xr_fresh_2021]. These bands were selected based on their relevance to crop type classification and their ability to capture the unique spectral signatures of different crops. The monthly composites were used to generate time series features for each pixel in the study area, providing valuable information on the temporal dynamics of crop growth and development.</w:t>
      </w:r>
      <w:r>
        <w:br/>
      </w:r>
      <w:r>
        <w:rPr>
          <w:rStyle w:val="NormalTok"/>
        </w:rPr>
        <w:t xml:space="preserve"> </w:t>
      </w:r>
      <w:r>
        <w:br/>
      </w:r>
      <w:r>
        <w:rPr>
          <w:rStyle w:val="NormalTok"/>
        </w:rPr>
        <w:t xml:space="preserve"> ### Time Series Features</w:t>
      </w:r>
      <w:r>
        <w:br/>
      </w:r>
      <w:r>
        <w:rPr>
          <w:rStyle w:val="NormalTok"/>
        </w:rPr>
        <w:t xml:space="preserve"> </w:t>
      </w:r>
      <w:r>
        <w:br/>
      </w:r>
      <w:r>
        <w:rPr>
          <w:rStyle w:val="StringTok"/>
        </w:rPr>
        <w:t xml:space="preserve">-Time series features capture the temporal dynamics of crop growth and development, providing valuable information on the phenological patterns of different crops. We leverage the time series nature of the satellite imagery to extract relevant features for crop type classification.</w:t>
      </w:r>
      <w:r>
        <w:br/>
      </w:r>
      <w:r>
        <w:rPr>
          <w:rStyle w:val="VariableTok"/>
        </w:rPr>
        <w:t xml:space="preserve">+Time series features capture the temporal dynamics of crop growth and development, providing valuable information on the phenological patterns of different crops. We leverage the time series nature of the satellite imagery to extract relevant features for crop type classification for the 2023 growing season.</w:t>
      </w:r>
      <w:r>
        <w:br/>
      </w:r>
      <w:r>
        <w:rPr>
          <w:rStyle w:val="NormalTok"/>
        </w:rPr>
        <w:t xml:space="preserve"> </w:t>
      </w:r>
      <w:r>
        <w:br/>
      </w:r>
      <w:r>
        <w:rPr>
          <w:rStyle w:val="NormalTok"/>
        </w:rPr>
        <w:t xml:space="preserve"> In this study, we utilized the `xr_fresh` toolkit to compute detailed time-series statistics for various spectral bands, facilitating comprehensive pixel-by-pixel temporal analysis [@xr_fresh_2021]. The `xr_fresh` framework is specifically designed to extract a wide array of statistical measures from time-series data, which are essential for understanding temporal dynamics in remote sensing datasets.</w:t>
      </w:r>
      <w:r>
        <w:br/>
      </w:r>
      <w:r>
        <w:rPr>
          <w:rStyle w:val="NormalTok"/>
        </w:rPr>
        <w:t xml:space="preserve"> </w:t>
      </w:r>
      <w:r>
        <w:br/>
      </w:r>
      <w:r>
        <w:rPr>
          <w:rStyle w:val="DataTypeTok"/>
        </w:rPr>
        <w:t xml:space="preserve">@@ -202,15 +254,18 @@ The integration of `xr_fresh` into our analytical workflow allowed for an automa</w:t>
      </w:r>
      <w:r>
        <w:br/>
      </w:r>
      <w:r>
        <w:rPr>
          <w:rStyle w:val="NormalTok"/>
        </w:rPr>
        <w:t xml:space="preserve"> </w:t>
      </w:r>
      <w:r>
        <w:br/>
      </w:r>
      <w:r>
        <w:rPr>
          <w:rStyle w:val="NormalTok"/>
        </w:rPr>
        <w:t xml:space="preserve"> ### Data Extraction</w:t>
      </w:r>
      <w:r>
        <w:br/>
      </w:r>
      <w:r>
        <w:rPr>
          <w:rStyle w:val="NormalTok"/>
        </w:rPr>
        <w:t xml:space="preserve"> </w:t>
      </w:r>
      <w:r>
        <w:br/>
      </w:r>
      <w:r>
        <w:rPr>
          <w:rStyle w:val="StringTok"/>
        </w:rPr>
        <w:t xml:space="preserve">-To partially account for variation in field size we extracted pixels based on a buffer around field point locations. This allows us to account for the fact that fields likely represent groups of adjacent pixels. Small fields were buffered by only 5 meters, medium fields by 10m and large fields by 30m. This approach allowed us to capture the time series features from the surrounding area, providing a more comprehensive representation of the field's characteristics. The use of larger buffers was explored but found to decrease model performance as fields tended to be heterogenous - for instance containing patches of trees. To account for this in our modeling we treat observations from the same field as a "group" in our cross-validation scheme - as described below.</w:t>
      </w:r>
      <w:r>
        <w:br/>
      </w:r>
      <w:r>
        <w:rPr>
          <w:rStyle w:val="VariableTok"/>
        </w:rPr>
        <w:t xml:space="preserve">+To partially account for variation in field size, we extracted pixels based on a buffer around field point locations. This allows us to account for the fact that fields likely represent groups of adjacent pixels. Small fields were buffered by only 5 meters, medium fields by 10m and large fields by 30m. This approach allowed us to capture the time series features from the surrounding area, providing a more comprehensive representation of the field's characteristics. The use of larger buffers was explored but found to decrease model performance as fields tended to be heterogenous - for instance containing patches of trees. To account for this in our modeling, we treat observations from the same field as a "group" in our cross-validation scheme - as described below.</w:t>
      </w:r>
      <w:r>
        <w:br/>
      </w:r>
      <w:r>
        <w:rPr>
          <w:rStyle w:val="VariableTok"/>
        </w:rPr>
        <w:t xml:space="preserve">+</w:t>
      </w:r>
      <w:r>
        <w:br/>
      </w:r>
      <w:r>
        <w:rPr>
          <w:rStyle w:val="VariableTok"/>
        </w:rPr>
        <w:t xml:space="preserve">+### Model Selection</w:t>
      </w:r>
      <w:r>
        <w:br/>
      </w:r>
      <w:r>
        <w:rPr>
          <w:rStyle w:val="NormalTok"/>
        </w:rPr>
        <w:t xml:space="preserve"> </w:t>
      </w:r>
      <w:r>
        <w:br/>
      </w:r>
      <w:r>
        <w:rPr>
          <w:rStyle w:val="StringTok"/>
        </w:rPr>
        <w:t xml:space="preserve">-### Machine Learning Models</w:t>
      </w:r>
      <w:r>
        <w:br/>
      </w:r>
      <w:r>
        <w:rPr>
          <w:rStyle w:val="VariableTok"/>
        </w:rPr>
        <w:t xml:space="preserve">+We employed `Optuna`, an optimization framework, to conduct systematic model selection and hyperparameter tuning [@optuna_2019]. Our methodology involved defining a study where each trial proposed a set of model parameters aimed at optimizing classification performance. We evaluated multiple classifiers, including LightGBM, Support Vector Classification (SVC), and RandomForest, testing various configurations to identify the optimal approach for crop classification.</w:t>
      </w:r>
      <w:r>
        <w:br/>
      </w:r>
      <w:r>
        <w:rPr>
          <w:rStyle w:val="NormalTok"/>
        </w:rPr>
        <w:t xml:space="preserve"> </w:t>
      </w:r>
      <w:r>
        <w:br/>
      </w:r>
      <w:r>
        <w:rPr>
          <w:rStyle w:val="StringTok"/>
        </w:rPr>
        <w:t xml:space="preserve">-In our study, we utilized the extracted time-series features from satellite imagery, described above, to analyze crop classifications.  Notably, features were centered and scaled from the `scikit-learn` library to normalize the data, followed by the application of a variance threshold method to reduce dimensionality by excluding features with low variance [@scikit-learn].</w:t>
      </w:r>
      <w:r>
        <w:br/>
      </w:r>
      <w:r>
        <w:rPr>
          <w:rStyle w:val="VariableTok"/>
        </w:rPr>
        <w:t xml:space="preserve">+Prior to model training, we preprocessed the extracted time-series features from satellite imagery using standard scaling (centering and scaling) from the `scikit-learn` library to normalize the data [@scikit-learn]. We then applied a variance threshold method to reduce dimensionality by excluding features with low variance, thereby improving computational efficiency and model interpretability.</w:t>
      </w:r>
      <w:r>
        <w:br/>
      </w:r>
      <w:r>
        <w:rPr>
          <w:rStyle w:val="VariableTok"/>
        </w:rPr>
        <w:t xml:space="preserve">+The final model selection was based on maximizing the kappa statistic across all cross-validation folds, ensuring that the chosen model and its parameters provided the best possible performance for classifying crop types in our dataset.</w:t>
      </w:r>
      <w:r>
        <w:br/>
      </w:r>
      <w:r>
        <w:rPr>
          <w:rStyle w:val="NormalTok"/>
        </w:rPr>
        <w:t xml:space="preserve"> </w:t>
      </w:r>
      <w:r>
        <w:br/>
      </w:r>
      <w:r>
        <w:rPr>
          <w:rStyle w:val="StringTok"/>
        </w:rPr>
        <w:t xml:space="preserve">-We employ `Optuna`, an optimization framework, to conduct systematic model selection and hyperparameter tuning [@optuna_2019]. Our methodology involved defining a study using Optuna where each trial proposes a set of model parameters aimed at optimizing performance metrics. Specifically, we used stratified group k-fold cross-validation with the number of splits set to three, ensuring that samples from the same field were not split across training and validation sets to prevent data leakage. The scoring metric utilized is the kappa statistic, chosen for its suitability in evaluating models on imbalanced datasets.</w:t>
      </w:r>
      <w:r>
        <w:br/>
      </w:r>
      <w:r>
        <w:rPr>
          <w:rStyle w:val="VariableTok"/>
        </w:rPr>
        <w:t xml:space="preserve">+### Performance Evaluation</w:t>
      </w:r>
      <w:r>
        <w:br/>
      </w:r>
      <w:r>
        <w:rPr>
          <w:rStyle w:val="NormalTok"/>
        </w:rPr>
        <w:t xml:space="preserve"> </w:t>
      </w:r>
      <w:r>
        <w:br/>
      </w:r>
      <w:r>
        <w:rPr>
          <w:rStyle w:val="StringTok"/>
        </w:rPr>
        <w:t xml:space="preserve">-This approach allows us to rigorously evaluate and compare different classifiers, including LightGBM, Support Vector Classification (SVC), and RandomForest, and their configurations under a variety of conditions. The final selection of the model and its parameters was based on the ability to maximize the kappa statistic, ensuring that the chosen model provided the best possible performance for the classification of land cover types in our dataset.</w:t>
      </w:r>
      <w:r>
        <w:br/>
      </w:r>
      <w:r>
        <w:rPr>
          <w:rStyle w:val="VariableTok"/>
        </w:rPr>
        <w:t xml:space="preserve">+To assess model performance, we implemented stratified group k-fold cross-validation with three splits. This approach ensured that samples from the same field remained together within either the training or validation set, preventing data leakage that could occur if observations from the same field were split across folds. We utilized the kappa statistic as our primary evaluation metric due to its suitability for assessing classifier performance on imbalanced datasets. This metric accounts for agreement occurring by chance, providing a more robust measure of classification accuracy than simple overall accuracy when class distributions are unequal.</w:t>
      </w:r>
      <w:r>
        <w:br/>
      </w:r>
      <w:r>
        <w:rPr>
          <w:rStyle w:val="NormalTok"/>
        </w:rPr>
        <w:t xml:space="preserve"> </w:t>
      </w:r>
      <w:r>
        <w:br/>
      </w:r>
      <w:r>
        <w:rPr>
          <w:rStyle w:val="NormalTok"/>
        </w:rPr>
        <w:t xml:space="preserve"> ### Interpretation and Feature Selection</w:t>
      </w:r>
      <w:r>
        <w:br/>
      </w:r>
      <w:r>
        <w:rPr>
          <w:rStyle w:val="NormalTok"/>
        </w:rPr>
        <w:t xml:space="preserve"> </w:t>
      </w:r>
      <w:r>
        <w:br/>
      </w:r>
      <w:r>
        <w:rPr>
          <w:rStyle w:val="DataTypeTok"/>
        </w:rPr>
        <w:t xml:space="preserve">@@ -220,7 +275,6 @@ In our feature selection process, we incorporate both the mean and maximum SHAP</w:t>
      </w:r>
      <w:r>
        <w:br/>
      </w:r>
      <w:r>
        <w:rPr>
          <w:rStyle w:val="NormalTok"/>
        </w:rPr>
        <w:t xml:space="preserve"> </w:t>
      </w:r>
      <w:r>
        <w:br/>
      </w:r>
      <w:r>
        <w:rPr>
          <w:rStyle w:val="NormalTok"/>
        </w:rPr>
        <w:t xml:space="preserve"> Feature selection then is the union of the top 30 time series features found with both the mean and maximum SHAP values, resulting in 33 total features. This approach ensures that the selected features are both consistently influential across the dataset and capable of exerting substantial impacts under specific conditions, providing a comprehensive set of features for model training and evaluation.</w:t>
      </w:r>
      <w:r>
        <w:br/>
      </w:r>
      <w:r>
        <w:rPr>
          <w:rStyle w:val="NormalTok"/>
        </w:rPr>
        <w:t xml:space="preserve"> </w:t>
      </w:r>
      <w:r>
        <w:br/>
      </w:r>
      <w:r>
        <w:rPr>
          <w:rStyle w:val="StringTok"/>
        </w:rPr>
        <w:t xml:space="preserve">-</w:t>
      </w:r>
      <w:r>
        <w:br/>
      </w:r>
      <w:r>
        <w:rPr>
          <w:rStyle w:val="NormalTok"/>
        </w:rPr>
        <w:t xml:space="preserve"> ## Results &amp; Discussion</w:t>
      </w:r>
      <w:r>
        <w:br/>
      </w:r>
      <w:r>
        <w:rPr>
          <w:rStyle w:val="NormalTok"/>
        </w:rPr>
        <w:t xml:space="preserve"> </w:t>
      </w:r>
      <w:r>
        <w:br/>
      </w:r>
      <w:r>
        <w:rPr>
          <w:rStyle w:val="NormalTok"/>
        </w:rPr>
        <w:t xml:space="preserve"> ### Crowd Sourced Data</w:t>
      </w:r>
      <w:r>
        <w:br/>
      </w:r>
      <w:r>
        <w:rPr>
          <w:rStyle w:val="DataTypeTok"/>
        </w:rPr>
        <w:t xml:space="preserve">@@ -235,7 +289,7 @@ There were a number of challenges involved with planning, and implementing a lar</w:t>
      </w:r>
      <w:r>
        <w:br/>
      </w:r>
      <w:r>
        <w:rPr>
          <w:rStyle w:val="NormalTok"/>
        </w:rPr>
        <w:t xml:space="preserve"> </w:t>
      </w:r>
      <w:r>
        <w:br/>
      </w:r>
      <w:r>
        <w:rPr>
          <w:rStyle w:val="NormalTok"/>
        </w:rPr>
        <w:t xml:space="preserve"> ### Land Cover and Crop Type</w:t>
      </w:r>
      <w:r>
        <w:br/>
      </w:r>
      <w:r>
        <w:rPr>
          <w:rStyle w:val="NormalTok"/>
        </w:rPr>
        <w:t xml:space="preserve"> </w:t>
      </w:r>
      <w:r>
        <w:br/>
      </w:r>
      <w:r>
        <w:rPr>
          <w:rStyle w:val="StringTok"/>
        </w:rPr>
        <w:t xml:space="preserve">-The distribution of primary land cover types within the training dataset used for the model are represented in Figure \ref{fig:lc_percentages}. The dataset consists of a diverse range of land cover types, each contributing differently to the total number of observations. Maize is the most prevalent land cover type, accounting for the highest percentage of the observations, followed by rice and sunflower. This is indicative of the agricultural dominance in the region being studied. Less common land covers such as millet, sorghum, and urban areas represent intermediate percentages, reflecting the  heterogeneous landscape that includes both agricultural and urbanized zones.</w:t>
      </w:r>
      <w:r>
        <w:br/>
      </w:r>
      <w:r>
        <w:rPr>
          <w:rStyle w:val="VariableTok"/>
        </w:rPr>
        <w:t xml:space="preserve">+The distribution of primary land cover types within the training dataset used for the model are represented in Figure \ref{fig:lc_percentages}. The dataset consists of a diverse range of land cover types, each contributing differently to the total number of observations. Maize is the most prevalent land cover type, accounting for the highest percentage of the observations, followed by rice and sunflower. This is indicative of the agricultural dominance in the region being studied. Less common land covers such as millet, sorghum, and urban areas represent intermediate percentages, reflecting the  heterogeneous landscape that includes both agricultural and urbanized zones. Peanuts, soybeans and okra are among the least represented land cover types in the dataset, highlighting the challenges associated with collecting sufficient training data for these categories, but also the small scale of production for these crops in the region. This figure also includes land cover types such as water, forest, shrub, and tidal areas, which are essential for providing context to the landscape but were not the focus of this study. The varied distribution of land cover types underscores the complexity of the classification task and the need for robust modeling techniques to accurately capture this diversity.</w:t>
      </w:r>
      <w:r>
        <w:br/>
      </w:r>
      <w:r>
        <w:rPr>
          <w:rStyle w:val="NormalTok"/>
        </w:rPr>
        <w:t xml:space="preserve"> </w:t>
      </w:r>
      <w:r>
        <w:br/>
      </w:r>
      <w:r>
        <w:rPr>
          <w:rStyle w:val="NormalTok"/>
        </w:rPr>
        <w:t xml:space="preserve"> \begin{figure}[H]</w:t>
      </w:r>
      <w:r>
        <w:br/>
      </w:r>
      <w:r>
        <w:rPr>
          <w:rStyle w:val="NormalTok"/>
        </w:rPr>
        <w:t xml:space="preserve">    \centering   \includegraphics[width=0.8\linewidth]{/home/mmann1123/Documents/github/YM_TZ_crop_classifier/writeup/figures/primary_land_cover.png} % Adjust the path and options</w:t>
      </w:r>
      <w:r>
        <w:br/>
      </w:r>
      <w:r>
        <w:rPr>
          <w:rStyle w:val="DataTypeTok"/>
        </w:rPr>
        <w:t xml:space="preserve">@@ -251,7 +305,15 @@ In the two summary plots below, we display the SHAP values for each feature, to</w:t>
      </w:r>
      <w:r>
        <w:br/>
      </w:r>
      <w:r>
        <w:rPr>
          <w:rStyle w:val="NormalTok"/>
        </w:rPr>
        <w:t xml:space="preserve"> </w:t>
      </w:r>
      <w:r>
        <w:br/>
      </w:r>
      <w:r>
        <w:rPr>
          <w:rStyle w:val="NormalTok"/>
        </w:rPr>
        <w:t xml:space="preserve"> #### Mean SHAP Values</w:t>
      </w:r>
      <w:r>
        <w:br/>
      </w:r>
      <w:r>
        <w:rPr>
          <w:rStyle w:val="NormalTok"/>
        </w:rPr>
        <w:t xml:space="preserve"> </w:t>
      </w:r>
      <w:r>
        <w:br/>
      </w:r>
      <w:r>
        <w:rPr>
          <w:rStyle w:val="StringTok"/>
        </w:rPr>
        <w:t xml:space="preserve">-In Figure \ref{fig:mean_shaps}, the mean SHAP values provide insights into the average impact of each feature across all predictions. This analysis highlights the features that consistently influence the model's output across various scenarios. For example, the mean value of B11 (B11.mean) and the 5th percentile of hue (hue.quantile.q.0.05) features were found to have substantial average impacts on model outputs, suggesting their strong relevance in distinguishing between different crop types. Reflecting on the colors of the bars we can see that 'B11.mean' is important in distinguishing sunflower, sorghum, and millet to a roughly equal degree, and has some small impact on distinguishing other classes. While 'hue.quantile.q.0.05' has the strongest effect distinguishing rice, sunflower, and to a lesser degree cotton. Looking down the list we can see that features like "EVI.standard.deviation" are most effective at isolating urban areas, and 'B12.mean.second.derivative.central' substantively differentiates shrub from other classes. Note that the mean second derivative of B12 is a measure of the rate of change of the rate of change of the B12 band over time, so positive values indicate increasing rate of change (increasingly upward trend), and negative values with decreasing rate of change (increasingly downward trend).</w:t>
      </w:r>
      <w:r>
        <w:br/>
      </w:r>
      <w:r>
        <w:rPr>
          <w:rStyle w:val="VariableTok"/>
        </w:rPr>
        <w:t xml:space="preserve">+In Figure \ref{fig:mean_shaps}, the mean SHAP values provide insights into the average impact of each feature across all predictions. This analysis highlights the features that consistently influence the model's output across various scenarios. For example, the mean value of B11 (B11.mean) and the 5th percentile of hue (hue.quantile.q.0.05) features were found to have substantial average impacts on model outputs, suggesting their strong relevance in distinguishing between different crop types. Reflecting on the colors of the bars we can see that 'B11.mean' is important in distinguishing sunflower, sorghum, and millet to a roughly equal degree, and has some small impact on distinguishing other classes. </w:t>
      </w:r>
      <w:r>
        <w:br/>
      </w:r>
      <w:r>
        <w:rPr>
          <w:rStyle w:val="VariableTok"/>
        </w:rPr>
        <w:t xml:space="preserve">+</w:t>
      </w:r>
      <w:r>
        <w:br/>
      </w:r>
      <w:r>
        <w:rPr>
          <w:rStyle w:val="VariableTok"/>
        </w:rPr>
        <w:t xml:space="preserve">+Reflecting on the colors of the bars we can see that 'B11.mean' is important in distinguishing sunflower, sorghum, and millet to a roughly equal degree, and has some small impact on distinguishing other classes. This pattern likely reflects fundamental differences in canopy structure and water content between these dryland crops and the more common maize and rice in the dataset. The SWIR bands are particularly sensitive to plant water content and canopy moisture status, as water strongly absorbs radiation at these wavelengths. Sunflower, sorghum, and millet are typically grown in drier conditions and exhibit distinct water use strategies compared to maize. Sunflower, with its deep taproot system and larger leaf area, maintains different canopy moisture levels throughout the growing season. Sorghum and millet, as drought-tolerant cereals with waxy leaf coatings and more efficient water use, exhibit characteristically different SWIR reflectance patterns than the more water-demanding maize crop. The mean SWIR reflectance over the growing season therefore captures these persistent biophysical differences in canopy water status, allowing the model to effectively separate these dryland-adapted crops from others in the training dataset.  The equal importance of B11.mean across these three crops suggests that while this feature helps separate them from the broader "cereal" or "broadleaf" categories, additional features are needed to distinguish among sunflower, sorghum, and millet themselves.</w:t>
      </w:r>
      <w:r>
        <w:br/>
      </w:r>
      <w:r>
        <w:rPr>
          <w:rStyle w:val="VariableTok"/>
        </w:rPr>
        <w:t xml:space="preserve">+</w:t>
      </w:r>
      <w:r>
        <w:br/>
      </w:r>
      <w:r>
        <w:rPr>
          <w:rStyle w:val="VariableTok"/>
        </w:rPr>
        <w:t xml:space="preserve">+While 'hue.quantile.q.0.05' has the strongest effect distinguishing rice, sunflower, and to a lesser degree cotton. Measure of hue is emphasizing the overall brightness and color saturation of the crops. From the a visual inspection we can see high values of this variable are correlated with less water stressed geographies like forests and river basins. This relative water abundance might explain the correspondance of plantings of water loving rice and long tap rooted sunflowers.  Looking down the list we can see that features like "EVI.standard.deviation" are most effective at isolating urban areas, as urban areas will have little variation in greeness across the year. </w:t>
      </w:r>
      <w:r>
        <w:br/>
      </w:r>
      <w:r>
        <w:rPr>
          <w:rStyle w:val="VariableTok"/>
        </w:rPr>
        <w:t xml:space="preserve">+</w:t>
      </w:r>
      <w:r>
        <w:br/>
      </w:r>
      <w:r>
        <w:rPr>
          <w:rStyle w:val="VariableTok"/>
        </w:rPr>
        <w:t xml:space="preserve">+Looking at 'B12.absolute.sum.of.changes' we can see it best differentiates shrubs, cotton, and forest. The sum of absolute changes measures the total magnitude of variation in a time series by summing the absolute differences between consecutive time steps, effectively quantifying how much a variable fluctuates over the observation period regardless of direction. When applied to the B12 band (SWIR 2100-2280nm), this metric captures the cumulative volatility in canopy water content and structural properties throughout the growing season. B12's effectiveness at distinguishing shrub, cotton, and forests using sum of absolute changes likely reflects fundamental differences in their temporal stability and management regimes. Cotton, as an intensively managed annual crop, exhibits pronounced temporal variability in the SWIR signal driven by distinct phenological transitions and management interventions. Cotton fields progress through rapid establishment after planting, vigorous vegetative growth, flowering and boll development, and then defoliation before harvest—each transition creating sharp changes in canopy water content and structure that B12 captures.  </w:t>
      </w:r>
      <w:r>
        <w:br/>
      </w:r>
      <w:r>
        <w:rPr>
          <w:rStyle w:val="VariableTok"/>
        </w:rPr>
        <w:t xml:space="preserve">+</w:t>
      </w:r>
      <w:r>
        <w:br/>
      </w:r>
      <w:r>
        <w:rPr>
          <w:rStyle w:val="VariableTok"/>
        </w:rPr>
        <w:t xml:space="preserve">+</w:t>
      </w:r>
      <w:r>
        <w:br/>
      </w:r>
      <w:r>
        <w:rPr>
          <w:rStyle w:val="NormalTok"/>
        </w:rPr>
        <w:t xml:space="preserve"> </w:t>
      </w:r>
      <w:r>
        <w:br/>
      </w:r>
      <w:r>
        <w:rPr>
          <w:rStyle w:val="NormalTok"/>
        </w:rPr>
        <w:t xml:space="preserve"> \begin{figure}[H]</w:t>
      </w:r>
      <w:r>
        <w:br/>
      </w:r>
      <w:r>
        <w:rPr>
          <w:rStyle w:val="NormalTok"/>
        </w:rPr>
        <w:t xml:space="preserve">     \centering</w:t>
      </w:r>
      <w:r>
        <w:br/>
      </w:r>
      <w:r>
        <w:rPr>
          <w:rStyle w:val="DataTypeTok"/>
        </w:rPr>
        <w:t xml:space="preserve">@@ -263,7 +325,8 @@ In Figure \ref{fig:mean_shaps}, the mean SHAP values provide insights into the a</w:t>
      </w:r>
      <w:r>
        <w:br/>
      </w:r>
      <w:r>
        <w:rPr>
          <w:rStyle w:val="NormalTok"/>
        </w:rPr>
        <w:t xml:space="preserve"> </w:t>
      </w:r>
      <w:r>
        <w:br/>
      </w:r>
      <w:r>
        <w:rPr>
          <w:rStyle w:val="NormalTok"/>
        </w:rPr>
        <w:t xml:space="preserve"> #### Maximum SHAP Values</w:t>
      </w:r>
      <w:r>
        <w:br/>
      </w:r>
      <w:r>
        <w:rPr>
          <w:rStyle w:val="NormalTok"/>
        </w:rPr>
        <w:t xml:space="preserve"> </w:t>
      </w:r>
      <w:r>
        <w:br/>
      </w:r>
      <w:r>
        <w:rPr>
          <w:rStyle w:val="StringTok"/>
        </w:rPr>
        <w:t xml:space="preserve">-On the other hand, Figure \ref{fig:max_shaps}, maximum SHAP values uncover features that, while perhaps not consistently influential, have high impacts under particular conditions. This aspect of the analysis is crucial for identifying features that can cause significant shifts in model output, potentially corresponding to specific agricultural or environmental contexts. Features such as "hue.median" and "B11.quantial.q.0.95" show high maximum SHAP values, indicating their pivotal roles in determining certain classes. For instance,  "B11.maximum" reflects peak reflectance in the Short-Wavelength Infrared (SWIR), which could be critical in identifying crops at their maximum biomass, like sunflower at full bloom compared to other crops at different stages of growth. </w:t>
      </w:r>
      <w:r>
        <w:br/>
      </w:r>
      <w:r>
        <w:rPr>
          <w:rStyle w:val="VariableTok"/>
        </w:rPr>
        <w:t xml:space="preserve">+On the other hand, Figure \ref{fig:max_shaps}, maximum SHAP values uncover features that, while perhaps not consistently influential, have high impacts under particular conditions. This aspect of the analysis can be crucial for identifying features that can cause significant shifts in model output, potentially corresponding to specific agricultural or environmental contexts. Typically we see a reshuffling of variable importance levels between maximum and mean SHAP values - reflecting differences in the average case vs edge cases. For instance, features such as "hue.median" and "B11.quantial.q.0.95" show high maximum SHAP values, indicating their pivotal roles in determining certain classes. For instance,  "B11.maximum" reflects peak reflectance in the Short-Wavelength Infrared (SWIR), which could be critical in identifying crops at their maximum biomass, like sunflower at full bloom compared to other crops at different stages of growth. Max SHAP values included two variables 'B12.abs.energy' and 'B12.qualtile.q.0.95' that were not included in the mean SHAP values - indicating that these features have high impacts in specific scenarios but are not consistently influential across the dataset. The appearance of these features exclusively in the maximum SHAP analysis reveals an important dimension of model behavior: the classifier has identified unusual or boundary conditions that differentiate ambiguous cases.</w:t>
      </w:r>
      <w:r>
        <w:br/>
      </w:r>
      <w:r>
        <w:rPr>
          <w:rStyle w:val="VariableTok"/>
        </w:rPr>
        <w:t xml:space="preserve">+</w:t>
      </w:r>
      <w:r>
        <w:br/>
      </w:r>
      <w:r>
        <w:rPr>
          <w:rStyle w:val="NormalTok"/>
        </w:rPr>
        <w:t xml:space="preserve"> </w:t>
      </w:r>
      <w:r>
        <w:br/>
      </w:r>
      <w:r>
        <w:rPr>
          <w:rStyle w:val="NormalTok"/>
        </w:rPr>
        <w:t xml:space="preserve"> \begin{figure}[H]</w:t>
      </w:r>
      <w:r>
        <w:br/>
      </w:r>
      <w:r>
        <w:rPr>
          <w:rStyle w:val="NormalTok"/>
        </w:rPr>
        <w:t xml:space="preserve">     \centering</w:t>
      </w:r>
      <w:r>
        <w:br/>
      </w:r>
      <w:r>
        <w:rPr>
          <w:rStyle w:val="DataTypeTok"/>
        </w:rPr>
        <w:t xml:space="preserve">@@ -306,7 +369,6 @@ Recall (PA)   &amp; 0.84    \\</w:t>
      </w:r>
      <w:r>
        <w:br/>
      </w:r>
      <w:r>
        <w:rPr>
          <w:rStyle w:val="NormalTok"/>
        </w:rPr>
        <w:t xml:space="preserve"> \end{tabular}</w:t>
      </w:r>
      <w:r>
        <w:br/>
      </w:r>
      <w:r>
        <w:rPr>
          <w:rStyle w:val="NormalTok"/>
        </w:rPr>
        <w:t xml:space="preserve"> \caption{Summary of Classification Metrics}</w:t>
      </w:r>
      <w:r>
        <w:br/>
      </w:r>
      <w:r>
        <w:rPr>
          <w:rStyle w:val="NormalTok"/>
        </w:rPr>
        <w:t xml:space="preserve"> \label{tab:metrics}</w:t>
      </w:r>
      <w:r>
        <w:br/>
      </w:r>
      <w:r>
        <w:rPr>
          <w:rStyle w:val="StringTok"/>
        </w:rPr>
        <w:t xml:space="preserve">-\ref{tab:metrics}</w:t>
      </w:r>
      <w:r>
        <w:br/>
      </w:r>
      <w:r>
        <w:rPr>
          <w:rStyle w:val="NormalTok"/>
        </w:rPr>
        <w:t xml:space="preserve"> \end{table}</w:t>
      </w:r>
      <w:r>
        <w:br/>
      </w:r>
      <w:r>
        <w:rPr>
          <w:rStyle w:val="NormalTok"/>
        </w:rPr>
        <w:t xml:space="preserve"> </w:t>
      </w:r>
      <w:r>
        <w:br/>
      </w:r>
      <w:r>
        <w:rPr>
          <w:rStyle w:val="NormalTok"/>
        </w:rPr>
        <w:t xml:space="preserve"> The overall high out-of-sample performance in Table \ref{tab:metrics} across the majority of categories suggests that the model is effective for practical applications in land cover classification, though further refinement is recommended for categories showing lower accuracy and higher misclassification rates.</w:t>
      </w:r>
      <w:r>
        <w:br/>
      </w:r>
      <w:r>
        <w:rPr>
          <w:rStyle w:val="DataTypeTok"/>
        </w:rPr>
        <w:t xml:space="preserve">@@ -323,18 +385,47 @@ Source: [@kerner2024accurate]</w:t>
      </w:r>
      <w:r>
        <w:br/>
      </w:r>
      <w:r>
        <w:rPr>
          <w:rStyle w:val="NormalTok"/>
        </w:rPr>
        <w:t xml:space="preserve"> </w:t>
      </w:r>
      <w:r>
        <w:br/>
      </w:r>
      <w:r>
        <w:rPr>
          <w:rStyle w:val="NormalTok"/>
        </w:rPr>
        <w:t xml:space="preserve"> The integration of crowdsourced data with traditional machine learning and engineered time-series features yielded a robust model for crop classification in Tanzania. While the model performed exceptionally well for crops like maize and rice, some confusion persisted among similar crop types such as sorghum and cotton. This suggests that additional discriminative features or more extensive training data may be necessary to further enhance classification accuracy for these crops. The challenges encountered, such as variability in crop cycles and challenges of crop identification, highlight the complexities of agricultural monitoring in resource-limited settings. Addressing these issues in future research could improve model performance and generalizability. Overall, our findings demonstrate the practicality of using efficient, interpretable machine learning methods in conjunction with community-driven data collection to advance agricultural monitoring in developing regions.</w:t>
      </w:r>
      <w:r>
        <w:br/>
      </w:r>
      <w:r>
        <w:rPr>
          <w:rStyle w:val="NormalTok"/>
        </w:rPr>
        <w:t xml:space="preserve"> </w:t>
      </w:r>
      <w:r>
        <w:br/>
      </w:r>
      <w:r>
        <w:rPr>
          <w:rStyle w:val="VariableTok"/>
        </w:rPr>
        <w:t xml:space="preserve">+### Land Cover Product</w:t>
      </w:r>
      <w:r>
        <w:br/>
      </w:r>
      <w:r>
        <w:rPr>
          <w:rStyle w:val="VariableTok"/>
        </w:rPr>
        <w:t xml:space="preserve">+</w:t>
      </w:r>
      <w:r>
        <w:br/>
      </w:r>
      <w:r>
        <w:rPr>
          <w:rStyle w:val="VariableTok"/>
        </w:rPr>
        <w:t xml:space="preserve">+Using the trained model, we generated a land cover classification map for a sample area in Dodoma and Bukumbi Tanzania, respectively. The maps (Figure \ref{fig:site_00_visualization} \&amp; \ref{fig:site_03_visualization}) illustrate the spatial distribution of various land cover types, including most crop types. The classification results highlight the model's ability to  delineate different crop types and land covers based on the spectral and temporal features extracted from Sentinel-2 imagery.</w:t>
      </w:r>
      <w:r>
        <w:br/>
      </w:r>
      <w:r>
        <w:rPr>
          <w:rStyle w:val="VariableTok"/>
        </w:rPr>
        <w:t xml:space="preserve">+</w:t>
      </w:r>
      <w:r>
        <w:br/>
      </w:r>
      <w:r>
        <w:rPr>
          <w:rStyle w:val="VariableTok"/>
        </w:rPr>
        <w:t xml:space="preserve">+</w:t>
      </w:r>
      <w:r>
        <w:br/>
      </w:r>
      <w:r>
        <w:rPr>
          <w:rStyle w:val="VariableTok"/>
        </w:rPr>
        <w:t xml:space="preserve">+\begin{figure}</w:t>
      </w:r>
      <w:r>
        <w:br/>
      </w:r>
      <w:r>
        <w:rPr>
          <w:rStyle w:val="VariableTok"/>
        </w:rPr>
        <w:t xml:space="preserve">+  \centering</w:t>
      </w:r>
      <w:r>
        <w:br/>
      </w:r>
      <w:r>
        <w:rPr>
          <w:rStyle w:val="VariableTok"/>
        </w:rPr>
        <w:t xml:space="preserve">+  \includegraphics[width=0.8\linewidth]{/home/mmann1123/Documents/github/YM_TZ_crop_classifier/writeup/figures/site_00_visualization.png}  </w:t>
      </w:r>
      <w:r>
        <w:br/>
      </w:r>
      <w:r>
        <w:rPr>
          <w:rStyle w:val="VariableTok"/>
        </w:rPr>
        <w:t xml:space="preserve">+    \caption{Land Cover Classification Visualization \newline Land cover classification results for a sample area in Dodoma, Tanzania}</w:t>
      </w:r>
      <w:r>
        <w:br/>
      </w:r>
      <w:r>
        <w:rPr>
          <w:rStyle w:val="VariableTok"/>
        </w:rPr>
        <w:t xml:space="preserve">+    \label{fig:site_00_visualization}  </w:t>
      </w:r>
      <w:r>
        <w:br/>
      </w:r>
      <w:r>
        <w:rPr>
          <w:rStyle w:val="VariableTok"/>
        </w:rPr>
        <w:t xml:space="preserve">+\end{figure}</w:t>
      </w:r>
      <w:r>
        <w:br/>
      </w:r>
      <w:r>
        <w:rPr>
          <w:rStyle w:val="VariableTok"/>
        </w:rPr>
        <w:t xml:space="preserve">+</w:t>
      </w:r>
      <w:r>
        <w:br/>
      </w:r>
      <w:r>
        <w:rPr>
          <w:rStyle w:val="VariableTok"/>
        </w:rPr>
        <w:t xml:space="preserve">+</w:t>
      </w:r>
      <w:r>
        <w:br/>
      </w:r>
      <w:r>
        <w:rPr>
          <w:rStyle w:val="VariableTok"/>
        </w:rPr>
        <w:t xml:space="preserve">+\begin{figure}</w:t>
      </w:r>
      <w:r>
        <w:br/>
      </w:r>
      <w:r>
        <w:rPr>
          <w:rStyle w:val="VariableTok"/>
        </w:rPr>
        <w:t xml:space="preserve">+  \centering</w:t>
      </w:r>
      <w:r>
        <w:br/>
      </w:r>
      <w:r>
        <w:rPr>
          <w:rStyle w:val="VariableTok"/>
        </w:rPr>
        <w:t xml:space="preserve">+  \includegraphics[width=0.8\linewidth]{/home/mmann1123/Documents/github/YM_TZ_crop_classifier/writeup/figures/site_03_visualization.png}  </w:t>
      </w:r>
      <w:r>
        <w:br/>
      </w:r>
      <w:r>
        <w:rPr>
          <w:rStyle w:val="VariableTok"/>
        </w:rPr>
        <w:t xml:space="preserve">+    \caption{Land Cover Classification Visualization \newline Land cover classification results for a sample area in Bukumbi, Tanzania}</w:t>
      </w:r>
      <w:r>
        <w:br/>
      </w:r>
      <w:r>
        <w:rPr>
          <w:rStyle w:val="VariableTok"/>
        </w:rPr>
        <w:t xml:space="preserve">+    \label{fig:site_03_visualization}  </w:t>
      </w:r>
      <w:r>
        <w:br/>
      </w:r>
      <w:r>
        <w:rPr>
          <w:rStyle w:val="VariableTok"/>
        </w:rPr>
        <w:t xml:space="preserve">+\end{figure}</w:t>
      </w:r>
      <w:r>
        <w:br/>
      </w:r>
      <w:r>
        <w:rPr>
          <w:rStyle w:val="VariableTok"/>
        </w:rPr>
        <w:t xml:space="preserve">+</w:t>
      </w:r>
      <w:r>
        <w:br/>
      </w:r>
      <w:r>
        <w:rPr>
          <w:rStyle w:val="VariableTok"/>
        </w:rPr>
        <w:t xml:space="preserve">+To illustrate how individual time-series features help delinate different crop types, we include a subset of them for each site including: 'B11_mean', 'hue_quantile_q_05" and "EVI_mean_change" in Figure \ref{fig:site_00_visualization} and 'EVI_standard_deviation', 'B11_abs_energy' and 'B11_standard_deviation' in Figure \ref{fig:site_03_visualization}. These features were selected based on their high SHAP values and their relevance to distinguishing between different crop types. It is also clear that more training data for non-crop land covers like urban, forest and shrub are needed to improve classification in these areas. Moreover some window filtering or smoothing could help reduce the speckling effect seen in some areas.</w:t>
      </w:r>
      <w:r>
        <w:br/>
      </w:r>
      <w:r>
        <w:rPr>
          <w:rStyle w:val="NormalTok"/>
        </w:rPr>
        <w:t xml:space="preserve"> </w:t>
      </w:r>
      <w:r>
        <w:br/>
      </w:r>
      <w:r>
        <w:rPr>
          <w:rStyle w:val="NormalTok"/>
        </w:rPr>
        <w:t xml:space="preserve"> ## Conclusion</w:t>
      </w:r>
      <w:r>
        <w:br/>
      </w:r>
      <w:r>
        <w:rPr>
          <w:rStyle w:val="NormalTok"/>
        </w:rPr>
        <w:t xml:space="preserve"> </w:t>
      </w:r>
      <w:r>
        <w:br/>
      </w:r>
      <w:r>
        <w:rPr>
          <w:rStyle w:val="StringTok"/>
        </w:rPr>
        <w:t xml:space="preserve">-In this study, we introduced a novel methodology for crop type classification in Tanzania by leveraging crowdsourced data and time-series features extracted from Sentinel-2 satellite imagery. By combining advanced remote sensing techniques with local knowledge, we addressed significant gaps in agricultural monitoring within resource- and data-limited settings. Our approach gathered a new dataset and successfully applied it to a real-world task at very low cost, using traditional machine learning algorithms augmented with carefully engineered time-series features to precisely identify crop types.</w:t>
      </w:r>
      <w:r>
        <w:br/>
      </w:r>
      <w:r>
        <w:rPr>
          <w:rStyle w:val="VariableTok"/>
        </w:rPr>
        <w:t xml:space="preserve">+In this study, we introduced a novel "lite learning" methodology for crop type classification in Tanzania that demonstrates the continued viability of traditional machine learning approaches in data-scarce environments. By integrating crowdsourced data from the YouthMappers network with automated time-series feature extraction from Sentinel-2 satellite imagery, we addressed critical gaps in agricultural monitoring within resource-limited settings.</w:t>
      </w:r>
      <w:r>
        <w:br/>
      </w:r>
      <w:r>
        <w:rPr>
          <w:rStyle w:val="VariableTok"/>
        </w:rPr>
        <w:t xml:space="preserve">+</w:t>
      </w:r>
      <w:r>
        <w:br/>
      </w:r>
      <w:r>
        <w:rPr>
          <w:rStyle w:val="VariableTok"/>
        </w:rPr>
        <w:t xml:space="preserve">+The crowdsourced data collection methodology proved both effective and scalable, engaging dozens of students to gather over 1,400 crop observations over a two-week period. This approach not only generated essential training data but also built local capacity in geospatial data collection and analysis, contributing to sustainable knowledge transfer and professional development.</w:t>
      </w:r>
      <w:r>
        <w:br/>
      </w:r>
      <w:r>
        <w:rPr>
          <w:rStyle w:val="VariableTok"/>
        </w:rPr>
        <w:t xml:space="preserve">+</w:t>
      </w:r>
      <w:r>
        <w:br/>
      </w:r>
      <w:r>
        <w:rPr>
          <w:rStyle w:val="VariableTok"/>
        </w:rPr>
        <w:t xml:space="preserve">+Our approach achieved robust performance with a Cohen's Kappa score of 0.82 and an F1-micro score of 0.85 across seven crop types and six land cover classes. Notably, while our model was trained specifically on Tanzanian data, it matched or exceeded the performance of broadly-used global land cover models that perform the simpler task of classifying undifferentiated 'agriculture'. This achievement is particularly significant given that we classified specific crop types—including challenging crops such as cassava, millet, sorghum, sunflower, and cotton—rather than simply identifying agricultural land. Importantly, these are out of sample results using a rigorous group k-fold cross-validation scheme that prevents data leakage between training and testing plots.</w:t>
      </w:r>
      <w:r>
        <w:br/>
      </w:r>
      <w:r>
        <w:rPr>
          <w:rStyle w:val="VariableTok"/>
        </w:rPr>
        <w:t xml:space="preserve">+</w:t>
      </w:r>
      <w:r>
        <w:br/>
      </w:r>
      <w:r>
        <w:rPr>
          <w:rStyle w:val="VariableTok"/>
        </w:rPr>
        <w:t xml:space="preserve">+The strategic use of SHAP values for feature interpretation revealed the physical and phenological mechanisms driving model predictions. For instance, we found that mean SWIR reflectance (B11.mean) effectively distinguished dryland-adapted crops (sunflower, sorghum, millet) from water-demanding crops by capturing persistent differences in canopy water status throughout the growing season. Similarly, the sum of absolute changes in B12 discriminated between cotton's managed phenological transitions and the more stable spectral signatures of natural vegetation. These insights not only enhanced model interpretability but also provided agronomically meaningful explanations that can inform future data collection and feature engineering efforts.</w:t>
      </w:r>
      <w:r>
        <w:br/>
      </w:r>
      <w:r>
        <w:rPr>
          <w:rStyle w:val="NormalTok"/>
        </w:rPr>
        <w:t xml:space="preserve"> </w:t>
      </w:r>
      <w:r>
        <w:br/>
      </w:r>
      <w:r>
        <w:rPr>
          <w:rStyle w:val="StringTok"/>
        </w:rPr>
        <w:t xml:space="preserve">-Our results demonstrated the effectiveness of the proposed methodology, achieving a Cohen's Kappa score of 0.82 and an F1-micro score of 0.84 across a diverse and multi-class dataset. The model accurately classified challenging crops such as cassava, millet, sorghum, and cotton. The integration of crowdsourced data and time-series features provided valuable insights into the temporal dynamics of crop growth, enhancing the model's accuracy and reliability. Notably, our model—although trained specifically on Tanzanian data—outperforms broadly used land cover models that perform the simpler task of classifying 'agriculture' without specifying the crop type. This highlights the need for better and more frequent crop type classification data.</w:t>
      </w:r>
      <w:r>
        <w:br/>
      </w:r>
      <w:r>
        <w:rPr>
          <w:rStyle w:val="VariableTok"/>
        </w:rPr>
        <w:t xml:space="preserve">+Our study has several important limitations that suggest directions for future research. Data collection constraints significantly impacted our results: the 2023 drought affected crop health and planting schedules, resulting in fields at varying phenological stages and some early harvests. Our concentrated data collection window (April-May 2023) captured crops primarily in late growing season, potentially missing spectral signatures from earlier phenological stages that could improve discrimination. Additionally, crop type imbalance in our dataset—with underrepresentation of crops like peanuts, soybeans, and okra these crops were dropped from the study. Confusion between similar crops (e.g., cassava and maize) indicates that additional discriminative features or more extensive training data are needed for these challenging classification scenarios.</w:t>
      </w:r>
      <w:r>
        <w:br/>
      </w:r>
      <w:r>
        <w:rPr>
          <w:rStyle w:val="NormalTok"/>
        </w:rPr>
        <w:t xml:space="preserve"> </w:t>
      </w:r>
      <w:r>
        <w:br/>
      </w:r>
      <w:r>
        <w:rPr>
          <w:rStyle w:val="StringTok"/>
        </w:rPr>
        <w:t xml:space="preserve">-By interpreting feature importance using SHAP values, we gained a deeper understanding of the model's behavior and the key predictors driving its predictions. Identifying the most influential features across different land cover types allowed us to refine the feature selection process, ensuring that the selected features were both consistently influential and impactful under specific conditions.</w:t>
      </w:r>
      <w:r>
        <w:br/>
      </w:r>
      <w:r>
        <w:rPr>
          <w:rStyle w:val="VariableTok"/>
        </w:rPr>
        <w:t xml:space="preserve">+Geographic generalizability remains an open question. Our model was trained exclusively on data from three districts in northern Tanzania (Arusha, Dodoma, and Mwanza), and its transferability to other regions with different agro-ecological conditions, farming practices, or crop varieties remains untested. The spectral and temporal signatures of crops can vary significantly with climate, soil conditions, and management practices, potentially limiting model performance in new geographic contexts.</w:t>
      </w:r>
      <w:r>
        <w:br/>
      </w:r>
      <w:r>
        <w:rPr>
          <w:rStyle w:val="VariableTok"/>
        </w:rPr>
        <w:t xml:space="preserve">+</w:t>
      </w:r>
      <w:r>
        <w:br/>
      </w:r>
      <w:r>
        <w:rPr>
          <w:rStyle w:val="VariableTok"/>
        </w:rPr>
        <w:t xml:space="preserve">+Finally, interpretability trade-offs persist despite our use of SHAP values: while providing valuable insights into feature importance, the large number of features (33 final features from hundreds of candidates) still presents challenges for intuitive interpretation. Future work should focus on expanding geographic coverage to assess model transferability, incorporating multi-temporal data collection throughout the growing season, developing methods to handle class imbalance, and exploring more parsimonious feature sets that balance accuracy with interpretability.</w:t>
      </w:r>
      <w:r>
        <w:br/>
      </w:r>
      <w:r>
        <w:rPr>
          <w:rStyle w:val="VariableTok"/>
        </w:rPr>
        <w:t xml:space="preserve">+</w:t>
      </w:r>
      <w:r>
        <w:br/>
      </w:r>
      <w:r>
        <w:rPr>
          <w:rStyle w:val="VariableTok"/>
        </w:rPr>
        <w:t xml:space="preserve">+By "turning back the clock" on deep learning, we demonstrate that carefully engineered time-series features—capturing trends, distributions, and temporal complexity—can achieve high classification accuracy without the extensive labeled datasets, computational resources, and training time required by deep learning architectures. This "lite learning" approach offers particular advantages for the resource-limited contexts that characterize much of sub-Saharan Africa and other developing regions, where both training data and computational infrastructure remain scarce.</w:t>
      </w:r>
      <w:r>
        <w:br/>
      </w:r>
      <w:r>
        <w:rPr>
          <w:rStyle w:val="NormalTok"/>
        </w:rPr>
        <w:t xml:space="preserve"> </w:t>
      </w:r>
      <w:r>
        <w:br/>
      </w:r>
      <w:r>
        <w:rPr>
          <w:rStyle w:val="StringTok"/>
        </w:rPr>
        <w:t xml:space="preserve">-In conclusion, our study underscores the viability and effectiveness of traditional machine learning approaches augmented with carefully engineered time-series features for crop type classification in data-scarce environments. By "turning back the clock" on deep learning, we demonstrate that applying a limited yet salient set of filters—such as measures of trends, distribution descriptions, and complexity metrics—can capture essential temporal dynamics without the extensive data requirements of deep learning models. This methodology not only achieved high classification accuracy but also enhanced interpretability and computational efficiency.</w:t>
      </w:r>
      <w:r>
        <w:br/>
      </w:r>
      <w:r>
        <w:rPr>
          <w:rStyle w:val="NormalTok"/>
        </w:rPr>
        <w:t xml:space="preserve"> </w:t>
      </w:r>
      <w:r>
        <w:br/>
      </w:r>
      <w:r>
        <w:rPr>
          <w:rStyle w:val="StringTok"/>
        </w:rPr>
        <w:t xml:space="preserve">-Our findings highlight that traditional machine learning techniques, combined with advanced yet computationally efficient feature extraction methods, offer a practical and effective alternative to deep learning, particularly in low-information settings prevalent in developing regions. This approach facilitates accurate crop type classification and contributes valuable insights for sustainable agricultural practices and informed policy-making, ultimately impacting food security and land management in resource-limited contexts.</w:t>
      </w:r>
      <w:r>
        <w:br/>
      </w:r>
      <w:r>
        <w:rPr>
          <w:rStyle w:val="NormalTok"/>
        </w:rPr>
        <w:t xml:space="preserve"> </w:t>
      </w:r>
      <w:r>
        <w:br/>
      </w:r>
      <w:r>
        <w:rPr>
          <w:rStyle w:val="NormalTok"/>
        </w:rPr>
        <w:t xml:space="preserve"> </w:t>
      </w:r>
      <w:r>
        <w:br/>
      </w:r>
      <w:r>
        <w:rPr>
          <w:rStyle w:val="NormalTok"/>
        </w:rPr>
        <w:t xml:space="preserve"> </w:t>
      </w:r>
      <w:r>
        <w:br/>
      </w:r>
      <w:r>
        <w:rPr>
          <w:rStyle w:val="DataTypeTok"/>
        </w:rPr>
        <w:t xml:space="preserve">@@ -358,6 +449,7 @@ The United States Agency for International Development generously supports this</w:t>
      </w:r>
      <w:r>
        <w:br/>
      </w:r>
      <w:r>
        <w:rPr>
          <w:rStyle w:val="NormalTok"/>
        </w:rPr>
        <w:t xml:space="preserve"> The following table provides a comprehensive list of the time series features extracted from the satellite imagery using the `xr_fresh` module. These features capture the temporal dynamics of crop growth and development, providing valuable information on the phenological patterns of different crops. The computed metrics encompass a wide range of statistical measures, changes over time, and distribution-based metrics, offering a detailed analysis of the temporal patterns in the study area.</w:t>
      </w:r>
      <w:r>
        <w:br/>
      </w:r>
      <w:r>
        <w:rPr>
          <w:rStyle w:val="NormalTok"/>
        </w:rPr>
        <w:t xml:space="preserve"> </w:t>
      </w:r>
      <w:r>
        <w:br/>
      </w:r>
      <w:r>
        <w:rPr>
          <w:rStyle w:val="NormalTok"/>
        </w:rPr>
        <w:t xml:space="preserve"> \renewcommand{\arraystretch}{1.5}  </w:t>
      </w:r>
      <w:r>
        <w:br/>
      </w:r>
      <w:r>
        <w:rPr>
          <w:rStyle w:val="VariableTok"/>
        </w:rPr>
        <w:t xml:space="preserve">+\onecolumn</w:t>
      </w:r>
      <w:r>
        <w:br/>
      </w:r>
      <w:r>
        <w:rPr>
          <w:rStyle w:val="NormalTok"/>
        </w:rPr>
        <w:t xml:space="preserve"> \begin{longtable}{|p{4cm}|p{5cm}|p{6cm}|}</w:t>
      </w:r>
      <w:r>
        <w:br/>
      </w:r>
      <w:r>
        <w:rPr>
          <w:rStyle w:val="NormalTok"/>
        </w:rPr>
        <w:t xml:space="preserve"> \hline</w:t>
      </w:r>
      <w:r>
        <w:br/>
      </w:r>
      <w:r>
        <w:rPr>
          <w:rStyle w:val="NormalTok"/>
        </w:rPr>
        <w:t xml:space="preserve"> \textbf{Statistic} &amp; \textbf{Description} &amp; \textbf{Equation} \\</w:t>
      </w:r>
      <w:r>
        <w:br/>
      </w:r>
      <w:r>
        <w:rPr>
          <w:rStyle w:val="DataTypeTok"/>
        </w:rPr>
        <w:t xml:space="preserve">@@ -392,7 +484,7 @@ Variance &amp; Variance of the time series &amp; $\sigma^2 = \frac{1}{N}\sum_{i=1}^{n} (</w:t>
      </w:r>
      <w:r>
        <w:br/>
      </w:r>
      <w:r>
        <w:rPr>
          <w:rStyle w:val="NormalTok"/>
        </w:rPr>
        <w:t xml:space="preserve"> Variance Larger than Standard Deviation &amp; check if variance is larger than standard deviation &amp; $\sigma^2 &gt; 1$ \\</w:t>
      </w:r>
      <w:r>
        <w:br/>
      </w:r>
      <w:r>
        <w:rPr>
          <w:rStyle w:val="NormalTok"/>
        </w:rPr>
        <w:t xml:space="preserve"> \hline</w:t>
      </w:r>
      <w:r>
        <w:br/>
      </w:r>
      <w:r>
        <w:rPr>
          <w:rStyle w:val="NormalTok"/>
        </w:rPr>
        <w:t xml:space="preserve"> \end{longtable}</w:t>
      </w:r>
      <w:r>
        <w:br/>
      </w:r>
      <w:r>
        <w:rPr>
          <w:rStyle w:val="StringTok"/>
        </w:rPr>
        <w:t xml:space="preserve">- </w:t>
      </w:r>
      <w:r>
        <w:br/>
      </w:r>
      <w:r>
        <w:rPr>
          <w:rStyle w:val="VariableTok"/>
        </w:rPr>
        <w:t xml:space="preserve">+\twocolumn </w:t>
      </w:r>
      <w:r>
        <w:br/>
      </w:r>
      <w:r>
        <w:rPr>
          <w:rStyle w:val="NormalTok"/>
        </w:rPr>
        <w:t xml:space="preserve">  </w:t>
      </w:r>
      <w:r>
        <w:br/>
      </w:r>
      <w:r>
        <w:rPr>
          <w:rStyle w:val="NormalTok"/>
        </w:rPr>
        <w:t xml:space="preserve"> </w:t>
      </w:r>
      <w:r>
        <w:br/>
      </w:r>
      <w:r>
        <w:rPr>
          <w:rStyle w:val="NormalTok"/>
        </w:rPr>
        <w:t xml:space="preserve"> ```{=latex}</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Comparison: Main Branch vs Current Branch</dc:title>
  <dc:creator>Revision Tracking</dc:creator>
  <cp:keywords/>
  <dcterms:created xsi:type="dcterms:W3CDTF">2025-10-27T19:53:36Z</dcterms:created>
  <dcterms:modified xsi:type="dcterms:W3CDTF">2025-10-27T19:53:36Z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subtitle">
    <vt:lpwstr>Changes to writeup.md</vt:lpwstr>
  </property>
</Properties>
</file>