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ADR-0001 · Estilo arquitectónico interno y organización del código</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24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Responsable</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Equipo</w:t>
            </w:r>
          </w:p>
        </w:tc>
        <w:tc>
          <w:tcPr>
            <w:tcW w:type="dxa" w:w="4997"/>
            <w:vAlign w:val="center"/>
            <w:tcMar>
              <w:top w:w="90" w:type="dxa"/>
              <w:start w:w="110" w:type="dxa"/>
              <w:bottom w:w="90" w:type="dxa"/>
              <w:end w:w="110" w:type="dxa"/>
            </w:tcMar>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Decisión relacionada</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Organización interna del monolito modular</w:t>
            </w:r>
          </w:p>
        </w:tc>
      </w:tr>
    </w:tbl>
    <w:p>
      <w:pPr>
        <w:spacing w:after="0"/>
      </w:pPr>
    </w:p>
    <w:p>
      <w:r>
        <w:rPr>
          <w:b/>
        </w:rPr>
        <w:t>Este registro propone organizar la solución como un monolito modular por capacidades de negocio, con casos de uso estructurados verticalmente y dependencias orientadas hacia el dominio. La decisión busca reducir el acoplamiento y facilitar la incorporación del cambio de requerimientos previsto para el 29 de octubre.</w:t>
      </w:r>
    </w:p>
    <w:p>
      <w:pPr>
        <w:pStyle w:val="Heading1"/>
      </w:pPr>
      <w:r>
        <w:t>1. Contexto y restricciones</w:t>
      </w:r>
    </w:p>
    <w:p>
      <w:r>
        <w:t>El sistema a construir es una plataforma multioperador de distribución de última milla. Debe atender a varios operadores logísticos en un único despliegue, manteniendo aislados sus datos, usuarios, configuraciones y reglas de negocio.</w:t>
      </w:r>
    </w:p>
    <w:p>
      <w:r>
        <w:t>La letra del laboratorio establece las siguientes restricciones arquitectónicas:</w:t>
      </w:r>
    </w:p>
    <w:p>
      <w:pPr>
        <w:pStyle w:val="ListBullet"/>
      </w:pPr>
      <w:r>
        <w:t>La solución se desarrollará en .NET 10.</w:t>
      </w:r>
    </w:p>
    <w:p>
      <w:pPr>
        <w:pStyle w:val="ListBullet"/>
      </w:pPr>
      <w:r>
        <w:t>La API y las aplicaciones web formarán un monolito modular.</w:t>
      </w:r>
    </w:p>
    <w:p>
      <w:pPr>
        <w:pStyle w:val="ListBullet"/>
      </w:pPr>
      <w:r>
        <w:t>Existirá un servicio de procesamiento en segundo plano (worker) desplegado de forma independiente.</w:t>
      </w:r>
    </w:p>
    <w:p>
      <w:pPr>
        <w:pStyle w:val="ListBullet"/>
      </w:pPr>
      <w:r>
        <w:t>El worker se comunicará con el resto de la solución de forma asíncrona mediante una cola de mensajes.</w:t>
      </w:r>
    </w:p>
    <w:p>
      <w:pPr>
        <w:pStyle w:val="ListBullet"/>
      </w:pPr>
      <w:r>
        <w:t>La lógica de dominio no podrá depender de la infraestructura, del acceso a datos ni de los frameworks de presentación.</w:t>
      </w:r>
    </w:p>
    <w:p>
      <w:pPr>
        <w:pStyle w:val="ListBullet"/>
      </w:pPr>
      <w:r>
        <w:t>La regla de dependencias deberá verificarse mediante una prueba automatizada de arquitectura ejecutada por el pipeline.</w:t>
      </w:r>
    </w:p>
    <w:p>
      <w:pPr>
        <w:pStyle w:val="ListBullet"/>
      </w:pPr>
      <w:r>
        <w:t>El entorno completo deberá poder ejecutarse con Docker Compose.</w:t>
      </w:r>
    </w:p>
    <w:p>
      <w:pPr>
        <w:pStyle w:val="ListBullet"/>
      </w:pPr>
      <w:r>
        <w:t>El 29 de octubre el equipo recibirá un cambio de requerimientos no anunciado que deberá incorporar obligatoriamente.</w:t>
      </w:r>
    </w:p>
    <w:p>
      <w:r>
        <w:t>El dominio incluye áreas con responsabilidades diferentes, entre ellas tenencia y usuarios, configuración del operador, envíos, planificación de rutas, ejecución de entregas, notificaciones y liquidaciones. Si estas áreas se implementan sin límites claros, un cambio funcional puede afectar archivos y reglas distribuidos por toda la solución.</w:t>
      </w:r>
    </w:p>
    <w:p>
      <w:r>
        <w:t>Por tanto, se necesita una organización que:</w:t>
      </w:r>
    </w:p>
    <w:p>
      <w:pPr>
        <w:pStyle w:val="ListBullet"/>
      </w:pPr>
      <w:r>
        <w:t>Mantenga la lógica de negocio independiente de ASP.NET Core, Entity Framework Core, la base de datos, la cola y otros servicios externos.</w:t>
      </w:r>
    </w:p>
    <w:p>
      <w:pPr>
        <w:pStyle w:val="ListBullet"/>
      </w:pPr>
      <w:r>
        <w:t>Permita ubicar rápidamente el código correspondiente a una capacidad o caso de uso.</w:t>
      </w:r>
    </w:p>
    <w:p>
      <w:pPr>
        <w:pStyle w:val="ListBullet"/>
      </w:pPr>
      <w:r>
        <w:t>Reduzca el impacto de cambios en una parte del negocio sobre las demás.</w:t>
      </w:r>
    </w:p>
    <w:p>
      <w:pPr>
        <w:pStyle w:val="ListBullet"/>
      </w:pPr>
      <w:r>
        <w:t>Evite que clases de servicio generales concentren demasiadas responsabilidades.</w:t>
      </w:r>
    </w:p>
    <w:p>
      <w:pPr>
        <w:pStyle w:val="ListBullet"/>
      </w:pPr>
      <w:r>
        <w:t>Sea comprensible y aplicable por todos los integrantes dentro del plazo del laboratorio.</w:t>
      </w:r>
    </w:p>
    <w:p>
      <w:pPr>
        <w:pStyle w:val="Heading1"/>
      </w:pPr>
      <w:r>
        <w:t>2. Decisión</w:t>
      </w:r>
    </w:p>
    <w:p>
      <w:r>
        <w:t xml:space="preserve">Se adoptará un </w:t>
      </w:r>
      <w:r>
        <w:rPr>
          <w:b/>
        </w:rPr>
        <w:t>monolito modular organizado por capacidades de negocio</w:t>
      </w:r>
      <w:r>
        <w:t xml:space="preserve">. Dentro de cada módulo, los casos de uso se organizarán como </w:t>
      </w:r>
      <w:r>
        <w:rPr>
          <w:b/>
        </w:rPr>
        <w:t>vertical slices</w:t>
      </w:r>
      <w:r>
        <w:t>, manteniendo una regla de dependencias inspirada en Clean Architecture y en arquitectura hexagonal.</w:t>
      </w:r>
    </w:p>
    <w:p>
      <w:r>
        <w:t>Esta decisión complementa, pero no reemplaza, la arquitectura de despliegue exigida por la letra. El monolito modular y el worker independiente son restricciones del laboratorio; la organización por capacidades, vertical slices y dependencias hacia el dominio constituye la decisión interna del equipo.</w:t>
      </w:r>
    </w:p>
    <w:p>
      <w:pPr>
        <w:pStyle w:val="Heading2"/>
      </w:pPr>
      <w:r>
        <w:t>2.1 Módulos de negocio</w:t>
      </w:r>
    </w:p>
    <w:p>
      <w:r>
        <w:t>De acuerdo con el modelo de dominio elaborado por el equipo, la aplicación se dividirá en los siguientes módulos:</w:t>
      </w:r>
    </w:p>
    <w:p>
      <w:pPr>
        <w:pStyle w:val="ListNumber"/>
      </w:pPr>
      <w:r>
        <w:t>Administración y configuración.</w:t>
      </w:r>
    </w:p>
    <w:p>
      <w:pPr>
        <w:pStyle w:val="ListNumber"/>
      </w:pPr>
      <w:r>
        <w:t>Envíos y entregas.</w:t>
      </w:r>
    </w:p>
    <w:p>
      <w:pPr>
        <w:pStyle w:val="ListNumber"/>
      </w:pPr>
      <w:r>
        <w:t>Planificación de rutas.</w:t>
      </w:r>
    </w:p>
    <w:p>
      <w:pPr>
        <w:pStyle w:val="ListNumber"/>
      </w:pPr>
      <w:r>
        <w:t>Ejecución de rutas.</w:t>
      </w:r>
    </w:p>
    <w:p>
      <w:pPr>
        <w:pStyle w:val="ListNumber"/>
      </w:pPr>
      <w:r>
        <w:t>Seguimiento y notificaciones.</w:t>
      </w:r>
    </w:p>
    <w:p>
      <w:pPr>
        <w:pStyle w:val="ListNumber"/>
      </w:pPr>
      <w:r>
        <w:t>Depósito y liquidaciones.</w:t>
      </w:r>
    </w:p>
    <w:p>
      <w:r>
        <w:t>La propiedad principal de los conceptos se distribuirá de la siguiente manera:</w:t>
      </w:r>
    </w:p>
    <w:p>
      <w:pPr>
        <w:pStyle w:val="ListBullet"/>
      </w:pPr>
      <w:r>
        <w:rPr>
          <w:b/>
        </w:rPr>
        <w:t>Administración y configuración:</w:t>
      </w:r>
      <w:r>
        <w:t xml:space="preserve"> Operador, Comercio, Usuario, Repartidor, Vehículo, Zona, versiones de reglas y tarifas.</w:t>
      </w:r>
    </w:p>
    <w:p>
      <w:pPr>
        <w:pStyle w:val="ListBullet"/>
      </w:pPr>
      <w:r>
        <w:rPr>
          <w:b/>
        </w:rPr>
        <w:t>Envíos y entregas:</w:t>
      </w:r>
      <w:r>
        <w:t xml:space="preserve"> Envío, Bulto, Destinatario, EventoEnvio, IntentoEntrega, Incidencia y DevoluciOn.</w:t>
      </w:r>
    </w:p>
    <w:p>
      <w:pPr>
        <w:pStyle w:val="ListBullet"/>
      </w:pPr>
      <w:r>
        <w:rPr>
          <w:b/>
        </w:rPr>
        <w:t>Planificación de rutas:</w:t>
      </w:r>
      <w:r>
        <w:t xml:space="preserve"> Ruta, Parada, criterios de ordenamiento y estados de planificación.</w:t>
      </w:r>
    </w:p>
    <w:p>
      <w:pPr>
        <w:pStyle w:val="ListBullet"/>
      </w:pPr>
      <w:r>
        <w:rPr>
          <w:b/>
        </w:rPr>
        <w:t>Ejecución de rutas:</w:t>
      </w:r>
      <w:r>
        <w:t xml:space="preserve"> EscaneoCarga, PosicionVehiculo, Rendición y LineaRendicion.</w:t>
      </w:r>
    </w:p>
    <w:p>
      <w:pPr>
        <w:pStyle w:val="ListBullet"/>
      </w:pPr>
      <w:r>
        <w:rPr>
          <w:b/>
        </w:rPr>
        <w:t>Seguimiento y notificaciones:</w:t>
      </w:r>
      <w:r>
        <w:t xml:space="preserve"> SuscripcionAviso, Notificacion y EntregaAviso.</w:t>
      </w:r>
    </w:p>
    <w:p>
      <w:pPr>
        <w:pStyle w:val="ListBullet"/>
      </w:pPr>
      <w:r>
        <w:rPr>
          <w:b/>
        </w:rPr>
        <w:t>Depósito y liquidaciones:</w:t>
      </w:r>
      <w:r>
        <w:t xml:space="preserve"> RecepcionDeposito, Liquidación y LineaLiquidacion.</w:t>
      </w:r>
    </w:p>
    <w:p>
      <w:r>
        <w:t>Cada concepto de dominio tendrá un único módulo propietario. Cuando un concepto aparezca en otro módulo, se representará mediante su identificador o mediante un contrato público; no se duplicará la entidad ni se modificará directamente su estado interno.</w:t>
      </w:r>
    </w:p>
    <w:p>
      <w:pPr>
        <w:pStyle w:val="Heading2"/>
      </w:pPr>
      <w:r>
        <w:t>2.2 Organización interna</w:t>
      </w:r>
    </w:p>
    <w:p>
      <w:r>
        <w:t>Cada módulo distinguirá las siguientes responsabilidades:</w:t>
      </w:r>
    </w:p>
    <w:p>
      <w:pPr>
        <w:pStyle w:val="ListBullet"/>
      </w:pPr>
      <w:r>
        <w:rPr>
          <w:b/>
        </w:rPr>
        <w:t>Domain:</w:t>
      </w:r>
      <w:r>
        <w:t xml:space="preserve"> entidades, value objects, agregados, invariantes, eventos de dominio y servicios de dominio.</w:t>
      </w:r>
    </w:p>
    <w:p>
      <w:pPr>
        <w:pStyle w:val="ListBullet"/>
      </w:pPr>
      <w:r>
        <w:rPr>
          <w:b/>
        </w:rPr>
        <w:t>Application:</w:t>
      </w:r>
      <w:r>
        <w:t xml:space="preserve"> casos de uso, comandos, consultas, validación de entrada y coordinación de operaciones.</w:t>
      </w:r>
    </w:p>
    <w:p>
      <w:pPr>
        <w:pStyle w:val="ListBullet"/>
      </w:pPr>
      <w:r>
        <w:rPr>
          <w:b/>
        </w:rPr>
        <w:t>Infrastructure:</w:t>
      </w:r>
      <w:r>
        <w:t xml:space="preserve"> persistencia con Entity Framework Core, implementación de repositorios, mensajería, caché y adaptadores de servicios externos.</w:t>
      </w:r>
    </w:p>
    <w:p>
      <w:pPr>
        <w:pStyle w:val="ListBullet"/>
      </w:pPr>
      <w:r>
        <w:rPr>
          <w:b/>
        </w:rPr>
        <w:t>Presentation:</w:t>
      </w:r>
      <w:r>
        <w:t xml:space="preserve"> endpoints de API y componentes de presentación que invoquen casos de uso, ubicados en el proyecto anfitrión y organizados por módulo.</w:t>
      </w:r>
    </w:p>
    <w:p>
      <w:r>
        <w:t>Para equilibrar el aislamiento con el tamaño del equipo, cada módulo se implementará mediante dos proyectos de biblioteca:</w:t>
      </w:r>
    </w:p>
    <w:p>
      <w:r>
        <w:t>Logistica.Envíos</w:t>
      </w:r>
    </w:p>
    <w:p>
      <w:r>
        <w:t>Domain/</w:t>
      </w:r>
    </w:p>
    <w:p>
      <w:r>
        <w:t>Application/</w:t>
      </w:r>
    </w:p>
    <w:p>
      <w:r>
        <w:t>Infrastructure/</w:t>
      </w:r>
    </w:p>
    <w:p>
      <w:r>
        <w:t>Logistica.Envíos.Contracts</w:t>
      </w:r>
    </w:p>
    <w:p>
      <w:r>
        <w:t>Commands/</w:t>
      </w:r>
    </w:p>
    <w:p>
      <w:r>
        <w:t>Queries/</w:t>
      </w:r>
    </w:p>
    <w:p>
      <w:r>
        <w:t>Results/</w:t>
      </w:r>
    </w:p>
    <w:p>
      <w:r>
        <w:t>Events/</w:t>
      </w:r>
    </w:p>
    <w:p>
      <w:r>
        <w:t>El primer proyecto contendrá la implementación interna del módulo, separada mediante carpetas y namespaces. El proyecto Contracts contendrá exclusivamente los tipos públicos que puedan utilizar otros módulos. La API y el worker serán los proyectos ejecutables; las bibliotecas de los módulos se compilaran y desplegaran junto con el monolito.</w:t>
      </w:r>
    </w:p>
    <w:p>
      <w:r>
        <w:t>Los endpoints de presentación se ubicarán en el proyecto de la API, organizados por módulo y caso de uso. Una prueba automatizada de arquitectura verificará las dependencias permitidas entre namespaces y ensamblados.</w:t>
      </w:r>
    </w:p>
    <w:p>
      <w:pPr>
        <w:pStyle w:val="Heading2"/>
      </w:pPr>
      <w:r>
        <w:t>2.3 Vertical slices</w:t>
      </w:r>
    </w:p>
    <w:p>
      <w:r>
        <w:t>Dentro de Application y Presentation, el código se organizará principalmente por caso de uso. Por ejemplo:</w:t>
      </w:r>
    </w:p>
    <w:p>
      <w:r>
        <w:t>Modules/</w:t>
      </w:r>
    </w:p>
    <w:p>
      <w:r>
        <w:t>Envíos/</w:t>
      </w:r>
    </w:p>
    <w:p>
      <w:r>
        <w:t>Domain/</w:t>
      </w:r>
    </w:p>
    <w:p>
      <w:r>
        <w:t>Envío.cs</w:t>
      </w:r>
    </w:p>
    <w:p>
      <w:r>
        <w:t>Bulto.cs</w:t>
      </w:r>
    </w:p>
    <w:p>
      <w:r>
        <w:t>EventoEnvio.cs</w:t>
      </w:r>
    </w:p>
    <w:p>
      <w:r>
        <w:t>Application/</w:t>
      </w:r>
    </w:p>
    <w:p>
      <w:r>
        <w:t>CrearEnvio/</w:t>
      </w:r>
    </w:p>
    <w:p>
      <w:r>
        <w:t>Command.cs</w:t>
      </w:r>
    </w:p>
    <w:p>
      <w:r>
        <w:t>Validator.cs</w:t>
      </w:r>
    </w:p>
    <w:p>
      <w:r>
        <w:t>Handler.cs</w:t>
      </w:r>
    </w:p>
    <w:p>
      <w:r>
        <w:t>TransicionarEnvio/</w:t>
      </w:r>
    </w:p>
    <w:p>
      <w:r>
        <w:t>Command.cs</w:t>
      </w:r>
    </w:p>
    <w:p>
      <w:r>
        <w:t>Validator.cs</w:t>
      </w:r>
    </w:p>
    <w:p>
      <w:r>
        <w:t>Handler.cs</w:t>
      </w:r>
    </w:p>
    <w:p>
      <w:r>
        <w:t>ConsultarEnvio/</w:t>
      </w:r>
    </w:p>
    <w:p>
      <w:r>
        <w:t>Query.cs</w:t>
      </w:r>
    </w:p>
    <w:p>
      <w:r>
        <w:t>Handler.cs</w:t>
      </w:r>
    </w:p>
    <w:p>
      <w:r>
        <w:t>Infrastructure/</w:t>
      </w:r>
    </w:p>
    <w:p>
      <w:r>
        <w:t>Persistence/</w:t>
      </w:r>
    </w:p>
    <w:p>
      <w:r>
        <w:t>Messaging/</w:t>
      </w:r>
    </w:p>
    <w:p>
      <w:r>
        <w:t>Las reglas propias del negocio no se duplicarán dentro de los handlers. Por ejemplo, el handler de transición coordinará el caso de uso, pero la entidad Envío será responsable de determinar si la transición solicitada es válida.</w:t>
      </w:r>
    </w:p>
    <w:p>
      <w:pPr>
        <w:pStyle w:val="Heading2"/>
      </w:pPr>
      <w:r>
        <w:t>2.4 Regla de dependencias</w:t>
      </w:r>
    </w:p>
    <w:p>
      <w:r>
        <w:t>Se aplicarán las siguientes reglas:</w:t>
      </w:r>
    </w:p>
    <w:p>
      <w:pPr>
        <w:pStyle w:val="ListBullet"/>
      </w:pPr>
      <w:r>
        <w:t>Domain no dependerá de Application, Infrastructure ni Presentation.</w:t>
      </w:r>
    </w:p>
    <w:p>
      <w:pPr>
        <w:pStyle w:val="ListBullet"/>
      </w:pPr>
      <w:r>
        <w:t>Application podrá depender de Domain, pero no de Infrastructure ni Presentation.</w:t>
      </w:r>
    </w:p>
    <w:p>
      <w:pPr>
        <w:pStyle w:val="ListBullet"/>
      </w:pPr>
      <w:r>
        <w:t>Infrastructure podrá depender de Application y Domain para implementar sus contratos.</w:t>
      </w:r>
    </w:p>
    <w:p>
      <w:pPr>
        <w:pStyle w:val="ListBullet"/>
      </w:pPr>
      <w:r>
        <w:t>Presentation podrá depender de Application y de los contratos necesarios para iniciar casos de uso.</w:t>
      </w:r>
    </w:p>
    <w:p>
      <w:pPr>
        <w:pStyle w:val="ListBullet"/>
      </w:pPr>
      <w:r>
        <w:t>Un módulo no podrá acceder directamente al DbContext, las tablas, los repositorios internos ni las entidades privadas de otro módulo.</w:t>
      </w:r>
    </w:p>
    <w:p>
      <w:pPr>
        <w:pStyle w:val="ListBullet"/>
      </w:pPr>
      <w:r>
        <w:t>Un módulo sólo podrá referenciar el proyecto Contracts de otro módulo; no podrá referenciar sus namespaces internos de Domain, Application o Infrastructure.</w:t>
      </w:r>
    </w:p>
    <w:p>
      <w:pPr>
        <w:pStyle w:val="ListBullet"/>
      </w:pPr>
      <w:r>
        <w:t>Cuando un caso de uso necesite una respuesta inmediata, la comunicación entre módulos será sincrónica y en memoria mediante una interfaz o caso de uso publicado en Contracts.</w:t>
      </w:r>
    </w:p>
    <w:p>
      <w:pPr>
        <w:pStyle w:val="ListBullet"/>
      </w:pPr>
      <w:r>
        <w:t>Cuando un módulo solo necesite informar un hecho para que otro reaccione posteriormente, se utilizará un evento interno con un contrato público estable.</w:t>
      </w:r>
    </w:p>
    <w:p>
      <w:pPr>
        <w:pStyle w:val="ListBullet"/>
      </w:pPr>
      <w:r>
        <w:t>No se utilizarán llamadas HTTP entre los módulos del monolito.</w:t>
      </w:r>
    </w:p>
    <w:p>
      <w:pPr>
        <w:pStyle w:val="ListBullet"/>
      </w:pPr>
      <w:r>
        <w:t>La cola durable se reservará para la comunicación asíncrona con el worker independiente y para trabajos que requieran persistencia, reintentos o procesamiento fuera del proceso de la API.</w:t>
      </w:r>
    </w:p>
    <w:p>
      <w:pPr>
        <w:pStyle w:val="ListBullet"/>
      </w:pPr>
      <w:r>
        <w:t>Las integraciones con base de datos, caché, mensajería, almacenamiento, correo y webhooks se implementarán como adaptadores externos a la lógica de dominio.</w:t>
      </w:r>
    </w:p>
    <w:p>
      <w:r>
        <w:t xml:space="preserve">Estas reglas se controlarán mediante un proyecto de pruebas con </w:t>
      </w:r>
      <w:r>
        <w:rPr>
          <w:b/>
        </w:rPr>
        <w:t>xUnit y NetArchTest.Rules</w:t>
      </w:r>
      <w:r>
        <w:t>. Como mínimo, las pruebas verificarán que Domain no dependa de Infrastructure, Entity Framework Core ni ASP.NET Core; que Application no dependa de Infrastructure; y que un módulo no dependa de los namespaces internos de otro. Las pruebas se ejecutarán mediante dotnet test en el pipeline de integración continua.</w:t>
      </w:r>
    </w:p>
    <w:p>
      <w:pPr>
        <w:pStyle w:val="Heading2"/>
      </w:pPr>
      <w:r>
        <w:t>2.5 Preparación para cambios</w:t>
      </w:r>
    </w:p>
    <w:p>
      <w:r>
        <w:t>No se intentará anticipar el requerimiento desconocido del 29 de octubre. En su lugar, se buscará que:</w:t>
      </w:r>
    </w:p>
    <w:p>
      <w:pPr>
        <w:pStyle w:val="ListBullet"/>
      </w:pPr>
      <w:r>
        <w:t>Las reglas de negocio tengan un único lugar de definición.</w:t>
      </w:r>
    </w:p>
    <w:p>
      <w:pPr>
        <w:pStyle w:val="ListBullet"/>
      </w:pPr>
      <w:r>
        <w:t>Las reglas configurables no se escriban directamente en controladores, vistas o adaptadores.</w:t>
      </w:r>
    </w:p>
    <w:p>
      <w:pPr>
        <w:pStyle w:val="ListBullet"/>
      </w:pPr>
      <w:r>
        <w:t>Los casos de uso estén localizados y tengan dependencias explicitas.</w:t>
      </w:r>
    </w:p>
    <w:p>
      <w:pPr>
        <w:pStyle w:val="ListBullet"/>
      </w:pPr>
      <w:r>
        <w:t>Los módulos expongan contratos pequeños y estables.</w:t>
      </w:r>
    </w:p>
    <w:p>
      <w:pPr>
        <w:pStyle w:val="ListBullet"/>
      </w:pPr>
      <w:r>
        <w:t>La infraestructura pueda cambiar sin modificar las entidades del dominio.</w:t>
      </w:r>
    </w:p>
    <w:p>
      <w:r>
        <w:t>Esta estructura no garantiza que todo cambio afecte un solo archivo o módulo, pero reduce el acoplamiento accidental y permite identificar con mayor claridad los componentes involucrados.</w:t>
      </w:r>
    </w:p>
    <w:p>
      <w:pPr>
        <w:pStyle w:val="Heading1"/>
      </w:pPr>
      <w:r>
        <w:t>3. Alternativas consideradas</w:t>
      </w:r>
    </w:p>
    <w:p>
      <w:pPr>
        <w:pStyle w:val="Heading2"/>
      </w:pPr>
      <w:r>
        <w:t>3.1 Arquitectura tradicional por capas</w:t>
      </w:r>
    </w:p>
    <w:p>
      <w:r>
        <w:t>Se consideró organizar la solución en capas globales de presentación, servicios, repositorios y entidades.</w:t>
      </w:r>
    </w:p>
    <w:p>
      <w:r>
        <w:rPr>
          <w:b/>
        </w:rPr>
        <w:t>Motivo de descarte:</w:t>
      </w:r>
      <w:r>
        <w:t xml:space="preserve"> aunque es sencilla al inicio, distribuye cada funcionalidad entre carpetas técnicas globales. Un cambio de negocio puede requerir modificaciones en distintos sectores de la solución y favorecer la aparicion de servicios generales con demasiadas responsabilidades. Tampoco garantiza por sí sola el aislamiento entre los módulos del negocio.</w:t>
      </w:r>
    </w:p>
    <w:p>
      <w:pPr>
        <w:pStyle w:val="Heading2"/>
      </w:pPr>
      <w:r>
        <w:t>3.2 Clean Architecture global</w:t>
      </w:r>
    </w:p>
    <w:p>
      <w:r>
        <w:t>Se consideró crear capas globales de Domain, Application, Infrastructure y Presentation para toda la solución.</w:t>
      </w:r>
    </w:p>
    <w:p>
      <w:r>
        <w:rPr>
          <w:b/>
        </w:rPr>
        <w:t>Motivo de descarte como organización principal:</w:t>
      </w:r>
      <w:r>
        <w:t xml:space="preserve"> cumple correctamente la regla de dependencias, pero una implementación exclusivamente global puede debilitar los límites entre capacidades de negocio. También puede producir demasiadas abstracciones compartidas y hacer que un cambio funcional atraviese varias carpetas generales.</w:t>
      </w:r>
    </w:p>
    <w:p>
      <w:r>
        <w:t>Se conservará su regla de dependencias hacia el dominio dentro de la decisión adoptada.</w:t>
      </w:r>
    </w:p>
    <w:p>
      <w:pPr>
        <w:pStyle w:val="Heading2"/>
      </w:pPr>
      <w:r>
        <w:t>3.3 Vertical Slice Architecture sin límites de dominio</w:t>
      </w:r>
    </w:p>
    <w:p>
      <w:r>
        <w:t>Se consideró organizar toda la solución únicamente por casos de uso.</w:t>
      </w:r>
    </w:p>
    <w:p>
      <w:r>
        <w:rPr>
          <w:b/>
        </w:rPr>
        <w:t>Motivo de descarte como solución completa:</w:t>
      </w:r>
      <w:r>
        <w:t xml:space="preserve"> facilita localizar funcionalidades, pero no determina donde deben residir las invariantes compartidas ni cómo impedir que los handlers dependan directamente de Entity Framework Core u otras implementaciones. Sin límites adicionales, la lógica de negocio podría quedar duplicada o dispersa.</w:t>
      </w:r>
    </w:p>
    <w:p>
      <w:r>
        <w:t>Se conservará la organización por casos de uso dentro de cada módulo.</w:t>
      </w:r>
    </w:p>
    <w:p>
      <w:pPr>
        <w:pStyle w:val="Heading2"/>
      </w:pPr>
      <w:r>
        <w:t>3.4 Arquitectura hexagonal aplicada a toda clase</w:t>
      </w:r>
    </w:p>
    <w:p>
      <w:r>
        <w:t>Se consideró modelar todos los componentes mediante puertos y adaptadores.</w:t>
      </w:r>
    </w:p>
    <w:p>
      <w:r>
        <w:rPr>
          <w:b/>
        </w:rPr>
        <w:t>Motivo de descarte como regla universal:</w:t>
      </w:r>
      <w:r>
        <w:t xml:space="preserve"> es valiosa para las dependencias externas, pero aplicada indiscriminadamente puede generar interfaces y adaptadores sin una necesidad real, aumentando el código ceremonial.</w:t>
      </w:r>
    </w:p>
    <w:p>
      <w:r>
        <w:t>Se utilizará en los límites que interactúan con persistencia, mensajería, caché, almacenamiento y servicios externos.</w:t>
      </w:r>
    </w:p>
    <w:p>
      <w:pPr>
        <w:pStyle w:val="Heading2"/>
      </w:pPr>
      <w:r>
        <w:t>3.5 Microservicios</w:t>
      </w:r>
    </w:p>
    <w:p>
      <w:r>
        <w:t>Se consideró separar las capacidades en servicios desplegables independientes.</w:t>
      </w:r>
    </w:p>
    <w:p>
      <w:r>
        <w:rPr>
          <w:b/>
        </w:rPr>
        <w:t>Motivo de descarte:</w:t>
      </w:r>
      <w:r>
        <w:t xml:space="preserve"> contradice la arquitectura de monolito modular establecida por la letra y agrega costos innecesarios de despliegue, comunicación por red, consistencia distribuida, observabilidad y operación. El tamaño del equipo y el plazo tampoco justifican esa complejidad.</w:t>
      </w:r>
    </w:p>
    <w:p>
      <w:pPr>
        <w:pStyle w:val="Heading1"/>
      </w:pPr>
      <w:r>
        <w:t>4. Consecuencias</w:t>
      </w:r>
    </w:p>
    <w:p>
      <w:pPr>
        <w:pStyle w:val="Heading2"/>
      </w:pPr>
      <w:r>
        <w:t>4.1 Consecuencias positivas</w:t>
      </w:r>
    </w:p>
    <w:p>
      <w:pPr>
        <w:pStyle w:val="ListBullet"/>
      </w:pPr>
      <w:r>
        <w:t>Los cambios funcionales tenderán a quedar localizados en un módulo y en un conjunto acotado de casos de uso.</w:t>
      </w:r>
    </w:p>
    <w:p>
      <w:pPr>
        <w:pStyle w:val="ListBullet"/>
      </w:pPr>
      <w:r>
        <w:t>La lógica de dominio podrá probarse sin iniciar la base de datos, la cola ni las aplicaciones web.</w:t>
      </w:r>
    </w:p>
    <w:p>
      <w:pPr>
        <w:pStyle w:val="ListBullet"/>
      </w:pPr>
      <w:r>
        <w:t>Las dependencias externas podrán sustituirse o simularse mediante adaptadores.</w:t>
      </w:r>
    </w:p>
    <w:p>
      <w:pPr>
        <w:pStyle w:val="ListBullet"/>
      </w:pPr>
      <w:r>
        <w:t>La estructura del código reflejará las capacidades del negocio representadas en el modelo de dominio.</w:t>
      </w:r>
    </w:p>
    <w:p>
      <w:pPr>
        <w:pStyle w:val="ListBullet"/>
      </w:pPr>
      <w:r>
        <w:t>Se reducirá el riesgo de crear servicios globales con demasiadas responsabilidades.</w:t>
      </w:r>
    </w:p>
    <w:p>
      <w:pPr>
        <w:pStyle w:val="ListBullet"/>
      </w:pPr>
      <w:r>
        <w:t>La prueba de arquitectura detectará dependencias prohibidas durante el pipeline.</w:t>
      </w:r>
    </w:p>
    <w:p>
      <w:pPr>
        <w:pStyle w:val="ListBullet"/>
      </w:pPr>
      <w:r>
        <w:t>La separación facilitará que distintos integrantes trabajen en capacidades diferentes con menor interferencia.</w:t>
      </w:r>
    </w:p>
    <w:p>
      <w:pPr>
        <w:pStyle w:val="Heading2"/>
      </w:pPr>
      <w:r>
        <w:t>4.2 Consecuencias negativas y dificultades</w:t>
      </w:r>
    </w:p>
    <w:p>
      <w:pPr>
        <w:pStyle w:val="ListBullet"/>
      </w:pPr>
      <w:r>
        <w:t>La solución tendrá más carpetas, contratos y posiblemente más proyectos que una arquitectura tradicional por capas.</w:t>
      </w:r>
    </w:p>
    <w:p>
      <w:pPr>
        <w:pStyle w:val="ListBullet"/>
      </w:pPr>
      <w:r>
        <w:t>El equipo deberá aprender y respetar las reglas de dependencia y propiedad de cada módulo.</w:t>
      </w:r>
    </w:p>
    <w:p>
      <w:pPr>
        <w:pStyle w:val="ListBullet"/>
      </w:pPr>
      <w:r>
        <w:t>Algunos casos de uso atravesarán varios módulos y requerirán coordinación explícita.</w:t>
      </w:r>
    </w:p>
    <w:p>
      <w:pPr>
        <w:pStyle w:val="ListBullet"/>
      </w:pPr>
      <w:r>
        <w:t>El equipo deberá distinguir cuando una comunicación entre módulos requiere una respuesta sincrónica y cuando admite una reacción posterior mediante eventos.</w:t>
      </w:r>
    </w:p>
    <w:p>
      <w:pPr>
        <w:pStyle w:val="ListBullet"/>
      </w:pPr>
      <w:r>
        <w:t>Los reportes que consulten información de varios módulos pueden requerir modelos de lectura específicos.</w:t>
      </w:r>
    </w:p>
    <w:p>
      <w:pPr>
        <w:pStyle w:val="ListBullet"/>
      </w:pPr>
      <w:r>
        <w:t>Una aplicación excesivamente estricta de interfaces, comandos y adaptadores puede introducir complejidad innecesaria; el equipo deberá evitar abstracciones que no respondan a un problema real.</w:t>
      </w:r>
    </w:p>
    <w:p>
      <w:pPr>
        <w:pStyle w:val="ListBullet"/>
      </w:pPr>
      <w:r>
        <w:t>Los límites iniciales de los módulos pueden necesitar ajustes a medida que el equipo comprenda mejor el dominio.</w:t>
      </w:r>
    </w:p>
    <w:p>
      <w:pPr>
        <w:pStyle w:val="Heading1"/>
      </w:pPr>
      <w:r>
        <w:t>5. Verificación de la decisión</w:t>
      </w:r>
    </w:p>
    <w:p>
      <w:r>
        <w:t>La adopción de esta decisión se considerará verificable cuando:</w:t>
      </w:r>
    </w:p>
    <w:p>
      <w:pPr>
        <w:pStyle w:val="ListNumber"/>
      </w:pPr>
      <w:r>
        <w:t>La solución tenga módulos identificables por capacidad de negocio.</w:t>
      </w:r>
    </w:p>
    <w:p>
      <w:pPr>
        <w:pStyle w:val="ListNumber"/>
      </w:pPr>
      <w:r>
        <w:t>Sea posible ejecutar una prueba unitaria del dominio sin infraestructura.</w:t>
      </w:r>
    </w:p>
    <w:p>
      <w:pPr>
        <w:pStyle w:val="ListNumber"/>
      </w:pPr>
      <w:r>
        <w:t>Exista una prueba automatizada que falle si Domain depende de Infrastructure o Presentation.</w:t>
      </w:r>
    </w:p>
    <w:p>
      <w:pPr>
        <w:pStyle w:val="ListNumber"/>
      </w:pPr>
      <w:r>
        <w:t>Ningún módulo acceda directamente a la persistencia interna de otro módulo.</w:t>
      </w:r>
    </w:p>
    <w:p>
      <w:pPr>
        <w:pStyle w:val="ListNumber"/>
      </w:pPr>
      <w:r>
        <w:t>Al menos un flujo de extremo a extremo, inicialmente la creación de un envío, atraviese Presentation, Application, Domain e Infrastructure respetando las dependencias definidas.</w:t>
      </w:r>
    </w:p>
    <w:p>
      <w:pPr>
        <w:pStyle w:val="ListNumber"/>
      </w:pPr>
      <w:r>
        <w:t>La prueba de arquitectura se ejecute en el pipeline de integración continua.</w:t>
      </w:r>
    </w:p>
    <w:p>
      <w:pPr>
        <w:pStyle w:val="Heading1"/>
      </w:pPr>
      <w:r>
        <w:t>6. Compromisos de implementación</w:t>
      </w:r>
    </w:p>
    <w:p>
      <w:pPr>
        <w:pStyle w:val="ListBullet"/>
      </w:pPr>
      <w:r>
        <w:t>Crear un proyecto interno y un proyecto Contracts por cada módulo.</w:t>
      </w:r>
    </w:p>
    <w:p>
      <w:pPr>
        <w:pStyle w:val="ListBullet"/>
      </w:pPr>
      <w:r>
        <w:t>Definir primero los contratos necesarios para los flujos entre Administración y configuración, Envíos y entregas, y Planificación de rutas.</w:t>
      </w:r>
    </w:p>
    <w:p>
      <w:pPr>
        <w:pStyle w:val="ListBullet"/>
      </w:pPr>
      <w:r>
        <w:t>Incorporar el proyecto de pruebas arquitectónicas con xUnit y NetArchTest.Rules desde el esqueleto inicial de la solución.</w:t>
      </w:r>
    </w:p>
    <w:p>
      <w:pPr>
        <w:pStyle w:val="ListBullet"/>
      </w:pPr>
      <w:r>
        <w:t>Ejecutar las pruebas arquitectónicas con dotnet test dentro del pipeline de integración continua.</w:t>
      </w:r>
    </w:p>
    <w:p>
      <w:pPr>
        <w:pStyle w:val="ListBullet"/>
      </w:pPr>
      <w:r>
        <w:t>Revisar los límites de los módulos si la implementación demuestra que una responsabilidad fue asignada al propietario incorrecto; cualquier cambio relevante se documentará mediante una nueva versión o un ADR sucesor.</w:t>
      </w:r>
    </w:p>
    <w:p>
      <w:pPr>
        <w:pStyle w:val="Heading1"/>
      </w:pPr>
      <w:r>
        <w:t>7. Referencias al enunciado</w:t>
      </w:r>
    </w:p>
    <w:p>
      <w:pPr>
        <w:pStyle w:val="ListBullet"/>
      </w:pPr>
      <w:r>
        <w:t>Sección 6.1, Plataforma y arquitectura.</w:t>
      </w:r>
    </w:p>
    <w:p>
      <w:pPr>
        <w:pStyle w:val="ListBullet"/>
      </w:pPr>
      <w:r>
        <w:t>Sección 6.15, Calidad.</w:t>
      </w:r>
    </w:p>
    <w:p>
      <w:pPr>
        <w:pStyle w:val="ListBullet"/>
      </w:pPr>
      <w:r>
        <w:t>Sección 8.1, Entrega de análisis y diseño.</w:t>
      </w:r>
    </w:p>
    <w:p>
      <w:pPr>
        <w:pStyle w:val="ListBullet"/>
      </w:pPr>
      <w:r>
        <w:t>Sección 8.2, Registros de decisión de arquitectura.</w:t>
      </w:r>
    </w:p>
    <w:p>
      <w:pPr>
        <w:pStyle w:val="ListBullet"/>
      </w:pPr>
      <w:r>
        <w:t>Sección 8.3, cambio obligatorio de requerimientos del 29 de octubre.</w:t>
      </w:r>
    </w:p>
    <w:p>
      <w:r>
        <w:br w:type="page"/>
      </w:r>
    </w:p>
    <w:p>
      <w:pPr>
        <w:pStyle w:val="Heading1"/>
      </w:pPr>
      <w:r>
        <w:t>ADR-0001 · Addendum 1 · Código compartido entre módulos (BuildingBlocks)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30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Autor</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Responsable del ADR-0001</w:t>
            </w:r>
          </w:p>
        </w:tc>
        <w:tc>
          <w:tcPr>
            <w:tcW w:type="dxa" w:w="4997"/>
            <w:vAlign w:val="center"/>
            <w:tcMar>
              <w:top w:w="90" w:type="dxa"/>
              <w:start w:w="110" w:type="dxa"/>
              <w:bottom w:w="90" w:type="dxa"/>
              <w:end w:w="110" w:type="dxa"/>
            </w:tcMar>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Equipo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Modifica</w:t>
            </w:r>
          </w:p>
        </w:tc>
        <w:tc>
          <w:tcPr>
            <w:tcW w:type="dxa" w:w="4997"/>
            <w:vAlign w:val="center"/>
            <w:tcMar>
              <w:top w:w="90" w:type="dxa"/>
              <w:start w:w="110" w:type="dxa"/>
              <w:bottom w:w="90" w:type="dxa"/>
              <w:end w:w="110" w:type="dxa"/>
            </w:tcMar>
          </w:tcPr>
          <w:p>
            <w:pPr>
              <w:spacing w:after="0" w:line="252" w:lineRule="auto"/>
            </w:pPr>
            <w:r>
              <w:rPr>
                <w:color w:val="000000"/>
                <w:sz w:val="19"/>
              </w:rPr>
              <w:t>ADR-0001, sección 2.2 (Organización interna) y sección 2.4 (Regla de dependencias)</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Relacionado con</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ADR-0002 · Estrategia de multitenancy</w:t>
            </w:r>
          </w:p>
        </w:tc>
      </w:tr>
    </w:tbl>
    <w:p>
      <w:pPr>
        <w:spacing w:after="0"/>
      </w:pPr>
    </w:p>
    <w:p>
      <w:r>
        <w:rPr>
          <w:b/>
        </w:rPr>
        <w:t>Este addendum incorpora a la estructura del ADR-0001 dos proyectos de código compartido, `Logistica.SharedKernel` y `Logistica.BuildingBlocks.Infrastructure`, para alojar los mecanismos técnicos que todos los módulos necesitan de forma idéntica, en particular el aislamiento entre inquilinos exigido por el ADR-0002.</w:t>
      </w:r>
    </w:p>
    <w:p>
      <w:pPr>
        <w:pStyle w:val="Heading1"/>
      </w:pPr>
      <w:r>
        <w:t>1. Contexto</w:t>
      </w:r>
    </w:p>
    <w:p>
      <w:r>
        <w:t xml:space="preserve">El ADR-0001 define que cada módulo se implementa con dos proyectos (el módulo y su </w:t>
      </w:r>
      <w:r>
        <w:rPr>
          <w:rFonts w:ascii="Consolas" w:hAnsi="Consolas"/>
          <w:sz w:val="18"/>
        </w:rPr>
        <w:t>Contracts</w:t>
      </w:r>
      <w:r>
        <w:t xml:space="preserve">) y que un módulo sólo puede referenciar el proyecto </w:t>
      </w:r>
      <w:r>
        <w:rPr>
          <w:rFonts w:ascii="Consolas" w:hAnsi="Consolas"/>
          <w:sz w:val="18"/>
        </w:rPr>
        <w:t>Contracts</w:t>
      </w:r>
      <w:r>
        <w:t xml:space="preserve"> de otro. No define dónde ubicar el código técnico que </w:t>
      </w:r>
      <w:r>
        <w:rPr>
          <w:b/>
        </w:rPr>
        <w:t>todos</w:t>
      </w:r>
      <w:r>
        <w:t xml:space="preserve"> los módulos necesitan por igual.</w:t>
      </w:r>
    </w:p>
    <w:p>
      <w:r>
        <w:t>El ADR-0002 introduce justamente ese tipo de código:</w:t>
      </w:r>
    </w:p>
    <w:p>
      <w:pPr>
        <w:pStyle w:val="ListBullet"/>
      </w:pPr>
      <w:r>
        <w:t xml:space="preserve">Un servicio </w:t>
      </w:r>
      <w:r>
        <w:rPr>
          <w:rFonts w:ascii="Consolas" w:hAnsi="Consolas"/>
          <w:sz w:val="18"/>
        </w:rPr>
        <w:t>ICurrentTenant</w:t>
      </w:r>
      <w:r>
        <w:t xml:space="preserve"> que expone el operador (y, cuando corresponde, el comercio) del request actual.</w:t>
      </w:r>
    </w:p>
    <w:p>
      <w:pPr>
        <w:pStyle w:val="ListBullet"/>
      </w:pPr>
      <w:r>
        <w:t xml:space="preserve">Global Query Filters de EF Core por </w:t>
      </w:r>
      <w:r>
        <w:rPr>
          <w:rFonts w:ascii="Consolas" w:hAnsi="Consolas"/>
          <w:sz w:val="18"/>
        </w:rPr>
        <w:t>OperadorId</w:t>
      </w:r>
      <w:r>
        <w:t xml:space="preserve"> y, condicionalmente, por </w:t>
      </w:r>
      <w:r>
        <w:rPr>
          <w:rFonts w:ascii="Consolas" w:hAnsi="Consolas"/>
          <w:sz w:val="18"/>
        </w:rPr>
        <w:t>ComercioId</w:t>
      </w:r>
      <w:r>
        <w:t>.</w:t>
      </w:r>
    </w:p>
    <w:p>
      <w:pPr>
        <w:pStyle w:val="ListBullet"/>
      </w:pPr>
      <w:r>
        <w:t xml:space="preserve">Un </w:t>
      </w:r>
      <w:r>
        <w:rPr>
          <w:rFonts w:ascii="Consolas" w:hAnsi="Consolas"/>
          <w:sz w:val="18"/>
        </w:rPr>
        <w:t>SaveChangesInterceptor</w:t>
      </w:r>
      <w:r>
        <w:t xml:space="preserve"> que asigna el </w:t>
      </w:r>
      <w:r>
        <w:rPr>
          <w:rFonts w:ascii="Consolas" w:hAnsi="Consolas"/>
          <w:sz w:val="18"/>
        </w:rPr>
        <w:t>OperadorId</w:t>
      </w:r>
      <w:r>
        <w:t xml:space="preserve"> a las entidades nuevas y rechaza escrituras con un </w:t>
      </w:r>
      <w:r>
        <w:rPr>
          <w:rFonts w:ascii="Consolas" w:hAnsi="Consolas"/>
          <w:sz w:val="18"/>
        </w:rPr>
        <w:t>OperadorId</w:t>
      </w:r>
      <w:r>
        <w:t xml:space="preserve"> ajeno o modificado.</w:t>
      </w:r>
    </w:p>
    <w:p>
      <w:pPr>
        <w:pStyle w:val="ListBullet"/>
      </w:pPr>
      <w:r>
        <w:t xml:space="preserve">Una prueba estructural que verifique que toda entidad con </w:t>
      </w:r>
      <w:r>
        <w:rPr>
          <w:rFonts w:ascii="Consolas" w:hAnsi="Consolas"/>
          <w:sz w:val="18"/>
        </w:rPr>
        <w:t>OperadorId</w:t>
      </w:r>
      <w:r>
        <w:t xml:space="preserve"> tiene su filtro configurado.</w:t>
      </w:r>
    </w:p>
    <w:p>
      <w:r>
        <w:t>A esto se suma el patrón Outbox definido en la Guía de decisiones tecnológicas (sección 6.2), que también utilizan todos los módulos para publicar eventos.</w:t>
      </w:r>
    </w:p>
    <w:p>
      <w:r>
        <w:t xml:space="preserve">Como cada módulo tiene su propio </w:t>
      </w:r>
      <w:r>
        <w:rPr>
          <w:rFonts w:ascii="Consolas" w:hAnsi="Consolas"/>
          <w:sz w:val="18"/>
        </w:rPr>
        <w:t>DbContext</w:t>
      </w:r>
      <w:r>
        <w:t>, sin un lugar común estos mecanismos deberían reescribirse en los seis módulos. Tratándose del mecanismo que impide la filtración de datos entre operadores, seis copias independientes son un riesgo inaceptable: basta con que una de ellas quede desactualizada o tenga un error para que exista una fuga real.</w:t>
      </w:r>
    </w:p>
    <w:p>
      <w:pPr>
        <w:pStyle w:val="Heading1"/>
      </w:pPr>
      <w:r>
        <w:t>2. Decisión</w:t>
      </w:r>
    </w:p>
    <w:p>
      <w:r>
        <w:t xml:space="preserve">Se agregan dos proyectos de biblioteca bajo </w:t>
      </w:r>
      <w:r>
        <w:rPr>
          <w:rFonts w:ascii="Consolas" w:hAnsi="Consolas"/>
          <w:sz w:val="18"/>
        </w:rPr>
        <w:t>src/BuildingBlocks/</w:t>
      </w:r>
      <w:r>
        <w:t>:</w:t>
      </w:r>
    </w:p>
    <w:p>
      <w:r>
        <w:t>src/</w:t>
      </w:r>
    </w:p>
    <w:p>
      <w:r>
        <w:t>BuildingBlocks/</w:t>
      </w:r>
    </w:p>
    <w:p>
      <w:r>
        <w:t>Logistica.SharedKernel/</w:t>
      </w:r>
    </w:p>
    <w:p>
      <w:r>
        <w:t>Logistica.BuildingBlocks.Infrastructure/</w:t>
      </w:r>
    </w:p>
    <w:p>
      <w:r>
        <w:t>Modules/</w:t>
      </w:r>
    </w:p>
    <w:p>
      <w:r>
        <w:t>...</w:t>
      </w:r>
    </w:p>
    <w:p>
      <w:pPr>
        <w:pStyle w:val="Heading2"/>
      </w:pPr>
      <w:r>
        <w:t>2.1 Logistica.SharedKernel</w:t>
      </w:r>
    </w:p>
    <w:p>
      <w:r>
        <w:t xml:space="preserve">Proyecto de C# puro, </w:t>
      </w:r>
      <w:r>
        <w:rPr>
          <w:b/>
        </w:rPr>
        <w:t>sin paquetes NuGet ni dependencias de frameworks</w:t>
      </w:r>
      <w:r>
        <w:t>. Contiene contratos y tipos base:</w:t>
      </w:r>
    </w:p>
    <w:p>
      <w:pPr>
        <w:pStyle w:val="ListBullet"/>
      </w:pPr>
      <w:r>
        <w:t xml:space="preserve">Clases base del dominio: </w:t>
      </w:r>
      <w:r>
        <w:rPr>
          <w:rFonts w:ascii="Consolas" w:hAnsi="Consolas"/>
          <w:sz w:val="18"/>
        </w:rPr>
        <w:t>Entity</w:t>
      </w:r>
      <w:r>
        <w:t xml:space="preserve">, </w:t>
      </w:r>
      <w:r>
        <w:rPr>
          <w:rFonts w:ascii="Consolas" w:hAnsi="Consolas"/>
          <w:sz w:val="18"/>
        </w:rPr>
        <w:t>AggregateRoot</w:t>
      </w:r>
      <w:r>
        <w:t xml:space="preserve">, </w:t>
      </w:r>
      <w:r>
        <w:rPr>
          <w:rFonts w:ascii="Consolas" w:hAnsi="Consolas"/>
          <w:sz w:val="18"/>
        </w:rPr>
        <w:t>IDomainEvent</w:t>
      </w:r>
      <w:r>
        <w:t xml:space="preserve">, </w:t>
      </w:r>
      <w:r>
        <w:rPr>
          <w:rFonts w:ascii="Consolas" w:hAnsi="Consolas"/>
          <w:sz w:val="18"/>
        </w:rPr>
        <w:t>DomainException</w:t>
      </w:r>
      <w:r>
        <w:t>.</w:t>
      </w:r>
    </w:p>
    <w:p>
      <w:pPr>
        <w:pStyle w:val="ListBullet"/>
      </w:pPr>
      <w:r>
        <w:t xml:space="preserve">Marcadores de pertenencia a un inquilino: </w:t>
      </w:r>
      <w:r>
        <w:rPr>
          <w:rFonts w:ascii="Consolas" w:hAnsi="Consolas"/>
          <w:sz w:val="18"/>
        </w:rPr>
        <w:t>IOperadorOwned</w:t>
      </w:r>
      <w:r>
        <w:t xml:space="preserve"> (expone </w:t>
      </w:r>
      <w:r>
        <w:rPr>
          <w:rFonts w:ascii="Consolas" w:hAnsi="Consolas"/>
          <w:sz w:val="18"/>
        </w:rPr>
        <w:t>OperadorId</w:t>
      </w:r>
      <w:r>
        <w:t xml:space="preserve">) e </w:t>
      </w:r>
      <w:r>
        <w:rPr>
          <w:rFonts w:ascii="Consolas" w:hAnsi="Consolas"/>
          <w:sz w:val="18"/>
        </w:rPr>
        <w:t>IComercioOwned</w:t>
      </w:r>
      <w:r>
        <w:t xml:space="preserve"> (expone </w:t>
      </w:r>
      <w:r>
        <w:rPr>
          <w:rFonts w:ascii="Consolas" w:hAnsi="Consolas"/>
          <w:sz w:val="18"/>
        </w:rPr>
        <w:t>ComercioId</w:t>
      </w:r>
      <w:r>
        <w:t>).</w:t>
      </w:r>
    </w:p>
    <w:p>
      <w:pPr>
        <w:pStyle w:val="ListBullet"/>
      </w:pPr>
      <w:r>
        <w:t xml:space="preserve">La </w:t>
      </w:r>
      <w:r>
        <w:rPr>
          <w:b/>
        </w:rPr>
        <w:t>interfaz</w:t>
      </w:r>
      <w:r>
        <w:t xml:space="preserve"> </w:t>
      </w:r>
      <w:r>
        <w:rPr>
          <w:rFonts w:ascii="Consolas" w:hAnsi="Consolas"/>
          <w:sz w:val="18"/>
        </w:rPr>
        <w:t>ICurrentTenant</w:t>
      </w:r>
      <w:r>
        <w:t xml:space="preserve"> y las excepciones de aislamiento (por ejemplo </w:t>
      </w:r>
      <w:r>
        <w:rPr>
          <w:rFonts w:ascii="Consolas" w:hAnsi="Consolas"/>
          <w:sz w:val="18"/>
        </w:rPr>
        <w:t>TenantMismatchException</w:t>
      </w:r>
      <w:r>
        <w:t>).</w:t>
      </w:r>
    </w:p>
    <w:p>
      <w:pPr>
        <w:pStyle w:val="ListBullet"/>
      </w:pPr>
      <w:r>
        <w:t xml:space="preserve">El tipo base de los eventos de integración publicados en los proyectos </w:t>
      </w:r>
      <w:r>
        <w:rPr>
          <w:rFonts w:ascii="Consolas" w:hAnsi="Consolas"/>
          <w:sz w:val="18"/>
        </w:rPr>
        <w:t>Contracts</w:t>
      </w:r>
      <w:r>
        <w:t>.</w:t>
      </w:r>
    </w:p>
    <w:p>
      <w:pPr>
        <w:pStyle w:val="Heading2"/>
      </w:pPr>
      <w:r>
        <w:t>2.2 Logistica.BuildingBlocks.Infrastructure</w:t>
      </w:r>
    </w:p>
    <w:p>
      <w:r>
        <w:t xml:space="preserve">Proyecto que depende de </w:t>
      </w:r>
      <w:r>
        <w:rPr>
          <w:rFonts w:ascii="Consolas" w:hAnsi="Consolas"/>
          <w:sz w:val="18"/>
        </w:rPr>
        <w:t>Logistica.SharedKernel</w:t>
      </w:r>
      <w:r>
        <w:t xml:space="preserve"> y de Entity Framework Core. Contiene la implementación técnica compartida:</w:t>
      </w:r>
    </w:p>
    <w:p>
      <w:pPr>
        <w:pStyle w:val="ListBullet"/>
      </w:pPr>
      <w:r>
        <w:rPr>
          <w:rFonts w:ascii="Consolas" w:hAnsi="Consolas"/>
          <w:sz w:val="18"/>
        </w:rPr>
        <w:t>TenantSaveChangesInterceptor</w:t>
      </w:r>
      <w:r>
        <w:t>: implementación del interceptor definido en el ADR-0002, sección 2.</w:t>
      </w:r>
    </w:p>
    <w:p>
      <w:pPr>
        <w:pStyle w:val="ListBullet"/>
      </w:pPr>
      <w:r>
        <w:rPr>
          <w:rFonts w:ascii="Consolas" w:hAnsi="Consolas"/>
          <w:sz w:val="18"/>
        </w:rPr>
        <w:t>ApplyTenantQueryFilters()</w:t>
      </w:r>
      <w:r>
        <w:t xml:space="preserve">: extensión de </w:t>
      </w:r>
      <w:r>
        <w:rPr>
          <w:rFonts w:ascii="Consolas" w:hAnsi="Consolas"/>
          <w:sz w:val="18"/>
        </w:rPr>
        <w:t>ModelBuilder</w:t>
      </w:r>
      <w:r>
        <w:t xml:space="preserve"> que recorre las entidades que implementan </w:t>
      </w:r>
      <w:r>
        <w:rPr>
          <w:rFonts w:ascii="Consolas" w:hAnsi="Consolas"/>
          <w:sz w:val="18"/>
        </w:rPr>
        <w:t>IOperadorOwned</w:t>
      </w:r>
      <w:r>
        <w:t xml:space="preserve"> / </w:t>
      </w:r>
      <w:r>
        <w:rPr>
          <w:rFonts w:ascii="Consolas" w:hAnsi="Consolas"/>
          <w:sz w:val="18"/>
        </w:rPr>
        <w:t>IComercioOwned</w:t>
      </w:r>
      <w:r>
        <w:t xml:space="preserve"> y les aplica el </w:t>
      </w:r>
      <w:r>
        <w:rPr>
          <w:rFonts w:ascii="Consolas" w:hAnsi="Consolas"/>
          <w:sz w:val="18"/>
        </w:rPr>
        <w:t>HasQueryFilter</w:t>
      </w:r>
      <w:r>
        <w:t xml:space="preserve"> correspondiente, incluida la condición sobre </w:t>
      </w:r>
      <w:r>
        <w:rPr>
          <w:rFonts w:ascii="Consolas" w:hAnsi="Consolas"/>
          <w:sz w:val="18"/>
        </w:rPr>
        <w:t>ComercioId</w:t>
      </w:r>
      <w:r>
        <w:t>.</w:t>
      </w:r>
    </w:p>
    <w:p>
      <w:pPr>
        <w:pStyle w:val="ListBullet"/>
      </w:pPr>
      <w:r>
        <w:t>Entidad y configuración de la tabla Outbox.</w:t>
      </w:r>
    </w:p>
    <w:p>
      <w:pPr>
        <w:pStyle w:val="ListBullet"/>
      </w:pPr>
      <w:r>
        <w:t xml:space="preserve">Una clase base </w:t>
      </w:r>
      <w:r>
        <w:rPr>
          <w:rFonts w:ascii="Consolas" w:hAnsi="Consolas"/>
          <w:sz w:val="18"/>
        </w:rPr>
        <w:t>ModuleDbContext</w:t>
      </w:r>
      <w:r>
        <w:t xml:space="preserve"> que registra el interceptor, los filtros y el Outbox, de la cual heredan los </w:t>
      </w:r>
      <w:r>
        <w:rPr>
          <w:rFonts w:ascii="Consolas" w:hAnsi="Consolas"/>
          <w:sz w:val="18"/>
        </w:rPr>
        <w:t>DbContext</w:t>
      </w:r>
      <w:r>
        <w:t xml:space="preserve"> de los módulos.</w:t>
      </w:r>
    </w:p>
    <w:p>
      <w:pPr>
        <w:pStyle w:val="Heading2"/>
      </w:pPr>
      <w:r>
        <w:t>2.3 Implementaciones de ICurrentTenant</w:t>
      </w:r>
    </w:p>
    <w:p>
      <w:r>
        <w:t xml:space="preserve">Las implementaciones concretas de </w:t>
      </w:r>
      <w:r>
        <w:rPr>
          <w:rFonts w:ascii="Consolas" w:hAnsi="Consolas"/>
          <w:sz w:val="18"/>
        </w:rPr>
        <w:t>ICurrentTenant</w:t>
      </w:r>
      <w:r>
        <w:t xml:space="preserve"> </w:t>
      </w:r>
      <w:r>
        <w:rPr>
          <w:b/>
        </w:rPr>
        <w:t>no</w:t>
      </w:r>
      <w:r>
        <w:t xml:space="preserve"> se ubican en el código compartido, porque dependen de cómo llega la identidad del inquilino a cada proceso:</w:t>
      </w:r>
    </w:p>
    <w:p>
      <w:pPr>
        <w:pStyle w:val="ListBullet"/>
      </w:pPr>
      <w:r>
        <w:rPr>
          <w:b/>
        </w:rPr>
        <w:t>Logistica.Api</w:t>
      </w:r>
      <w:r>
        <w:t xml:space="preserve">: middleware que toma el </w:t>
      </w:r>
      <w:r>
        <w:rPr>
          <w:rFonts w:ascii="Consolas" w:hAnsi="Consolas"/>
          <w:sz w:val="18"/>
        </w:rPr>
        <w:t>OperadorId</w:t>
      </w:r>
      <w:r>
        <w:t xml:space="preserve"> y el </w:t>
      </w:r>
      <w:r>
        <w:rPr>
          <w:rFonts w:ascii="Consolas" w:hAnsi="Consolas"/>
          <w:sz w:val="18"/>
        </w:rPr>
        <w:t>ComercioId</w:t>
      </w:r>
      <w:r>
        <w:t xml:space="preserve"> de los claims del usuario autenticado, o del token firmado en el seguimiento público (ADR-0002, sección 2).</w:t>
      </w:r>
    </w:p>
    <w:p>
      <w:pPr>
        <w:pStyle w:val="ListBullet"/>
      </w:pPr>
      <w:r>
        <w:rPr>
          <w:b/>
        </w:rPr>
        <w:t>Logistica.Worker</w:t>
      </w:r>
      <w:r>
        <w:t>: toma el inquilino de los metadatos del mensaje recibido desde RabbitMQ.</w:t>
      </w:r>
    </w:p>
    <w:p>
      <w:r>
        <w:t>De este modo el código compartido no depende de ASP.NET Core.</w:t>
      </w:r>
    </w:p>
    <w:p>
      <w:pPr>
        <w:pStyle w:val="Heading2"/>
      </w:pPr>
      <w:r>
        <w:t>2.4 Regla de dependencias (agrega a la sección 2.4 del ADR-0001)</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Proyecto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Puede referenciar</w:t>
            </w:r>
          </w:p>
        </w:tc>
      </w:tr>
      <w:tr>
        <w:trPr>
          <w:cantSplit/>
        </w:trPr>
        <w:tc>
          <w:tcPr>
            <w:tcW w:type="dxa" w:w="4997"/>
            <w:vAlign w:val="center"/>
            <w:tcMar>
              <w:top w:w="90" w:type="dxa"/>
              <w:start w:w="110" w:type="dxa"/>
              <w:bottom w:w="90" w:type="dxa"/>
              <w:end w:w="110" w:type="dxa"/>
            </w:tcMar>
          </w:tcPr>
          <w:p>
            <w:pPr>
              <w:spacing w:after="0" w:line="252" w:lineRule="auto"/>
            </w:pPr>
            <w:r>
              <w:rPr>
                <w:color w:val="000000"/>
                <w:sz w:val="19"/>
              </w:rPr>
              <w:t>Logistica.SharedKernel</w:t>
            </w:r>
          </w:p>
        </w:tc>
        <w:tc>
          <w:tcPr>
            <w:tcW w:type="dxa" w:w="4997"/>
            <w:vAlign w:val="center"/>
            <w:tcMar>
              <w:top w:w="90" w:type="dxa"/>
              <w:start w:w="110" w:type="dxa"/>
              <w:bottom w:w="90" w:type="dxa"/>
              <w:end w:w="110" w:type="dxa"/>
            </w:tcMar>
          </w:tcPr>
          <w:p>
            <w:pPr>
              <w:spacing w:after="0" w:line="252" w:lineRule="auto"/>
            </w:pPr>
            <w:r>
              <w:rPr>
                <w:color w:val="000000"/>
                <w:sz w:val="19"/>
              </w:rPr>
              <w:t>Nada</w:t>
            </w:r>
          </w:p>
        </w:tc>
      </w:tr>
      <w:tr>
        <w:trPr>
          <w:cantSplit/>
        </w:trPr>
        <w:tc>
          <w:tcPr>
            <w:tcW w:type="dxa" w:w="4997"/>
            <w:vAlign w:val="center"/>
            <w:tcMar>
              <w:top w:w="90" w:type="dxa"/>
              <w:start w:w="110" w:type="dxa"/>
              <w:bottom w:w="90" w:type="dxa"/>
              <w:end w:w="110" w:type="dxa"/>
            </w:tcMar>
            <w:shd w:fill="EAF2F8"/>
          </w:tcPr>
          <w:p>
            <w:pPr>
              <w:spacing w:after="0" w:line="252" w:lineRule="auto"/>
            </w:pPr>
            <w:r>
              <w:rPr>
                <w:color w:val="000000"/>
                <w:sz w:val="19"/>
              </w:rPr>
              <w:t>Logistica.BuildingBlocks.Infrastructure</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Logistica.SharedKernel y Entity Framework Core</w:t>
            </w:r>
          </w:p>
        </w:tc>
      </w:tr>
      <w:tr>
        <w:trPr>
          <w:cantSplit/>
        </w:trPr>
        <w:tc>
          <w:tcPr>
            <w:tcW w:type="dxa" w:w="4997"/>
            <w:vAlign w:val="center"/>
            <w:tcMar>
              <w:top w:w="90" w:type="dxa"/>
              <w:start w:w="110" w:type="dxa"/>
              <w:bottom w:w="90" w:type="dxa"/>
              <w:end w:w="110" w:type="dxa"/>
            </w:tcMar>
          </w:tcPr>
          <w:p>
            <w:pPr>
              <w:spacing w:after="0" w:line="252" w:lineRule="auto"/>
            </w:pPr>
            <w:r>
              <w:rPr>
                <w:color w:val="000000"/>
                <w:sz w:val="19"/>
              </w:rPr>
              <w:t>Logistica.Modules.X</w:t>
            </w:r>
          </w:p>
        </w:tc>
        <w:tc>
          <w:tcPr>
            <w:tcW w:type="dxa" w:w="4997"/>
            <w:vAlign w:val="center"/>
            <w:tcMar>
              <w:top w:w="90" w:type="dxa"/>
              <w:start w:w="110" w:type="dxa"/>
              <w:bottom w:w="90" w:type="dxa"/>
              <w:end w:w="110" w:type="dxa"/>
            </w:tcMar>
          </w:tcPr>
          <w:p>
            <w:pPr>
              <w:spacing w:after="0" w:line="252" w:lineRule="auto"/>
            </w:pPr>
            <w:r>
              <w:rPr>
                <w:color w:val="000000"/>
                <w:sz w:val="19"/>
              </w:rPr>
              <w:t xml:space="preserve">Su propio </w:t>
            </w:r>
            <w:r>
              <w:rPr>
                <w:rFonts w:ascii="Consolas" w:hAnsi="Consolas"/>
                <w:color w:val="000000"/>
                <w:sz w:val="18"/>
              </w:rPr>
              <w:t>Contracts</w:t>
            </w:r>
            <w:r>
              <w:rPr>
                <w:color w:val="000000"/>
                <w:sz w:val="19"/>
              </w:rPr>
              <w:t xml:space="preserve">, </w:t>
            </w:r>
            <w:r>
              <w:rPr>
                <w:rFonts w:ascii="Consolas" w:hAnsi="Consolas"/>
                <w:color w:val="000000"/>
                <w:sz w:val="18"/>
              </w:rPr>
              <w:t>SharedKernel</w:t>
            </w:r>
            <w:r>
              <w:rPr>
                <w:color w:val="000000"/>
                <w:sz w:val="19"/>
              </w:rPr>
              <w:t xml:space="preserve"> y </w:t>
            </w:r>
            <w:r>
              <w:rPr>
                <w:rFonts w:ascii="Consolas" w:hAnsi="Consolas"/>
                <w:color w:val="000000"/>
                <w:sz w:val="18"/>
              </w:rPr>
              <w:t>BuildingBlocks.Infrastructure</w:t>
            </w:r>
          </w:p>
        </w:tc>
      </w:tr>
      <w:tr>
        <w:trPr>
          <w:cantSplit/>
        </w:trPr>
        <w:tc>
          <w:tcPr>
            <w:tcW w:type="dxa" w:w="4997"/>
            <w:vAlign w:val="center"/>
            <w:tcMar>
              <w:top w:w="90" w:type="dxa"/>
              <w:start w:w="110" w:type="dxa"/>
              <w:bottom w:w="90" w:type="dxa"/>
              <w:end w:w="110" w:type="dxa"/>
            </w:tcMar>
            <w:shd w:fill="EAF2F8"/>
          </w:tcPr>
          <w:p>
            <w:pPr>
              <w:spacing w:after="0" w:line="252" w:lineRule="auto"/>
            </w:pPr>
            <w:r>
              <w:rPr>
                <w:color w:val="000000"/>
                <w:sz w:val="19"/>
              </w:rPr>
              <w:t>Logistica.Modules.X.Contracts</w:t>
            </w:r>
          </w:p>
        </w:tc>
        <w:tc>
          <w:tcPr>
            <w:tcW w:type="dxa" w:w="4997"/>
            <w:vAlign w:val="center"/>
            <w:tcMar>
              <w:top w:w="90" w:type="dxa"/>
              <w:start w:w="110" w:type="dxa"/>
              <w:bottom w:w="90" w:type="dxa"/>
              <w:end w:w="110" w:type="dxa"/>
            </w:tcMar>
            <w:shd w:fill="EAF2F8"/>
          </w:tcPr>
          <w:p>
            <w:pPr>
              <w:spacing w:after="0" w:line="252" w:lineRule="auto"/>
            </w:pPr>
            <w:r>
              <w:rPr>
                <w:rFonts w:ascii="Consolas" w:hAnsi="Consolas"/>
                <w:color w:val="000000"/>
                <w:sz w:val="18"/>
              </w:rPr>
              <w:t>SharedKernel</w:t>
            </w:r>
          </w:p>
        </w:tc>
      </w:tr>
      <w:tr>
        <w:trPr>
          <w:cantSplit/>
        </w:trPr>
        <w:tc>
          <w:tcPr>
            <w:tcW w:type="dxa" w:w="4997"/>
            <w:vAlign w:val="center"/>
            <w:tcMar>
              <w:top w:w="90" w:type="dxa"/>
              <w:start w:w="110" w:type="dxa"/>
              <w:bottom w:w="90" w:type="dxa"/>
              <w:end w:w="110" w:type="dxa"/>
            </w:tcMar>
          </w:tcPr>
          <w:p>
            <w:pPr>
              <w:spacing w:after="0" w:line="252" w:lineRule="auto"/>
            </w:pPr>
            <w:r>
              <w:rPr>
                <w:color w:val="000000"/>
                <w:sz w:val="19"/>
              </w:rPr>
              <w:t>Logistica.Api y Logistica.Worker</w:t>
            </w:r>
          </w:p>
        </w:tc>
        <w:tc>
          <w:tcPr>
            <w:tcW w:type="dxa" w:w="4997"/>
            <w:vAlign w:val="center"/>
            <w:tcMar>
              <w:top w:w="90" w:type="dxa"/>
              <w:start w:w="110" w:type="dxa"/>
              <w:bottom w:w="90" w:type="dxa"/>
              <w:end w:w="110" w:type="dxa"/>
            </w:tcMar>
          </w:tcPr>
          <w:p>
            <w:pPr>
              <w:spacing w:after="0" w:line="252" w:lineRule="auto"/>
            </w:pPr>
            <w:r>
              <w:rPr>
                <w:color w:val="000000"/>
                <w:sz w:val="19"/>
              </w:rPr>
              <w:t xml:space="preserve">Los proyectos que ya definía el ADR-0001 y </w:t>
            </w:r>
            <w:r>
              <w:rPr>
                <w:rFonts w:ascii="Consolas" w:hAnsi="Consolas"/>
                <w:color w:val="000000"/>
                <w:sz w:val="18"/>
              </w:rPr>
              <w:t>BuildingBlocks.Infrastructure</w:t>
            </w:r>
          </w:p>
        </w:tc>
      </w:tr>
    </w:tbl>
    <w:p>
      <w:pPr>
        <w:spacing w:after="0"/>
      </w:pPr>
    </w:p>
    <w:p>
      <w:r>
        <w:t>Además:</w:t>
      </w:r>
    </w:p>
    <w:p>
      <w:pPr>
        <w:pStyle w:val="ListBullet"/>
      </w:pPr>
      <w:r>
        <w:t xml:space="preserve">Ningún proyecto de </w:t>
      </w:r>
      <w:r>
        <w:rPr>
          <w:rFonts w:ascii="Consolas" w:hAnsi="Consolas"/>
          <w:sz w:val="18"/>
        </w:rPr>
        <w:t>BuildingBlocks</w:t>
      </w:r>
      <w:r>
        <w:t xml:space="preserve"> puede referenciar a un módulo.</w:t>
      </w:r>
    </w:p>
    <w:p>
      <w:pPr>
        <w:pStyle w:val="ListBullet"/>
      </w:pPr>
      <w:r>
        <w:t xml:space="preserve">El Domain de cada módulo puede usar </w:t>
      </w:r>
      <w:r>
        <w:rPr>
          <w:rFonts w:ascii="Consolas" w:hAnsi="Consolas"/>
          <w:sz w:val="18"/>
        </w:rPr>
        <w:t>SharedKernel</w:t>
      </w:r>
      <w:r>
        <w:t xml:space="preserve">, pero no </w:t>
      </w:r>
      <w:r>
        <w:rPr>
          <w:rFonts w:ascii="Consolas" w:hAnsi="Consolas"/>
          <w:sz w:val="18"/>
        </w:rPr>
        <w:t>BuildingBlocks.Infrastructure</w:t>
      </w:r>
      <w:r>
        <w:t xml:space="preserve"> (ya cubierto por la regla existente: Domain no depende de Entity Framework Core).</w:t>
      </w:r>
    </w:p>
    <w:p>
      <w:pPr>
        <w:pStyle w:val="Heading2"/>
      </w:pPr>
      <w:r>
        <w:t>2.5 Criterio de admisión</w:t>
      </w:r>
    </w:p>
    <w:p>
      <w:r>
        <w:t xml:space="preserve">Para evitar que el código compartido se transforme en un depósito de clases sin dueño, sólo se incorpora un tipo a </w:t>
      </w:r>
      <w:r>
        <w:rPr>
          <w:rFonts w:ascii="Consolas" w:hAnsi="Consolas"/>
          <w:sz w:val="18"/>
        </w:rPr>
        <w:t>BuildingBlocks</w:t>
      </w:r>
      <w:r>
        <w:t xml:space="preserve"> si cumple </w:t>
      </w:r>
      <w:r>
        <w:rPr>
          <w:b/>
        </w:rPr>
        <w:t>todas</w:t>
      </w:r>
      <w:r>
        <w:t xml:space="preserve"> estas condiciones:</w:t>
      </w:r>
    </w:p>
    <w:p>
      <w:pPr>
        <w:pStyle w:val="ListNumber"/>
      </w:pPr>
      <w:r>
        <w:t>Es necesario en dos o más módulos.</w:t>
      </w:r>
    </w:p>
    <w:p>
      <w:pPr>
        <w:pStyle w:val="ListNumber"/>
      </w:pPr>
      <w:r>
        <w:t>Es puramente técnico: no contiene reglas de negocio ni conceptos del dominio logístico.</w:t>
      </w:r>
    </w:p>
    <w:p>
      <w:pPr>
        <w:pStyle w:val="ListNumber"/>
      </w:pPr>
      <w:r>
        <w:t>Su comportamiento debe ser idéntico en todos los módulos que lo usan.</w:t>
      </w:r>
    </w:p>
    <w:p>
      <w:r>
        <w:t xml:space="preserve">Regla práctica: si una clase del código compartido menciona envíos, rutas, comercios, operadores como entidad de negocio, tarifas o cualquier otro concepto del modelo de dominio, está mal ubicada. </w:t>
      </w:r>
      <w:r>
        <w:rPr>
          <w:rFonts w:ascii="Consolas" w:hAnsi="Consolas"/>
          <w:sz w:val="18"/>
        </w:rPr>
        <w:t>Operador</w:t>
      </w:r>
      <w:r>
        <w:t xml:space="preserve">, </w:t>
      </w:r>
      <w:r>
        <w:rPr>
          <w:rFonts w:ascii="Consolas" w:hAnsi="Consolas"/>
          <w:sz w:val="18"/>
        </w:rPr>
        <w:t>Comercio</w:t>
      </w:r>
      <w:r>
        <w:t xml:space="preserve"> y </w:t>
      </w:r>
      <w:r>
        <w:rPr>
          <w:rFonts w:ascii="Consolas" w:hAnsi="Consolas"/>
          <w:sz w:val="18"/>
        </w:rPr>
        <w:t>RelacionComercial</w:t>
      </w:r>
      <w:r>
        <w:t xml:space="preserve"> permanecen en el módulo de Administración y configuración.</w:t>
      </w:r>
    </w:p>
    <w:p>
      <w:pPr>
        <w:pStyle w:val="Heading1"/>
      </w:pPr>
      <w:r>
        <w:t>3. Alternativas consideradas</w:t>
      </w:r>
    </w:p>
    <w:p>
      <w:pPr>
        <w:pStyle w:val="Heading2"/>
      </w:pPr>
      <w:r>
        <w:t>3.1 Un único proyecto SharedKernel con todo el código compartido</w:t>
      </w:r>
    </w:p>
    <w:p>
      <w:r>
        <w:rPr>
          <w:b/>
        </w:rPr>
        <w:t>Motivo de descarte:</w:t>
      </w:r>
      <w:r>
        <w:t xml:space="preserve"> obligaría a que </w:t>
      </w:r>
      <w:r>
        <w:rPr>
          <w:rFonts w:ascii="Consolas" w:hAnsi="Consolas"/>
          <w:sz w:val="18"/>
        </w:rPr>
        <w:t>SharedKernel</w:t>
      </w:r>
      <w:r>
        <w:t xml:space="preserve"> dependa de Entity Framework Core, y esa dependencia llegaría de forma transitiva a los proyectos </w:t>
      </w:r>
      <w:r>
        <w:rPr>
          <w:rFonts w:ascii="Consolas" w:hAnsi="Consolas"/>
          <w:sz w:val="18"/>
        </w:rPr>
        <w:t>Contracts</w:t>
      </w:r>
      <w:r>
        <w:t xml:space="preserve"> y quedaría disponible para el código de dominio. Aunque la prueba de arquitectura seguiría detectando el uso indebido, se elimina la barrera física que hoy impide usar EF Core desde el dominio sin agregar una referencia.</w:t>
      </w:r>
    </w:p>
    <w:p>
      <w:pPr>
        <w:pStyle w:val="Heading2"/>
      </w:pPr>
      <w:r>
        <w:t>3.2 Tres proyectos (BuildingBlocks.Domain, .Application e .Infrastructure)</w:t>
      </w:r>
    </w:p>
    <w:p>
      <w:r>
        <w:rPr>
          <w:b/>
        </w:rPr>
        <w:t>Motivo de descarte:</w:t>
      </w:r>
      <w:r>
        <w:t xml:space="preserve"> replica las capas de Clean Architecture en el código compartido sin un beneficio concreto para el alcance actual. Agrega ceremonia, contra lo indicado en el ADR-0001, sección 4.2. Si en el futuro aparecieran abstracciones de aplicación compartidas con dependencias propias, se podrá separar un tercer proyecto mediante un nuevo addendum.</w:t>
      </w:r>
    </w:p>
    <w:p>
      <w:pPr>
        <w:pStyle w:val="Heading2"/>
      </w:pPr>
      <w:r>
        <w:t>3.3 Ubicar el código compartido dentro del módulo de Administración</w:t>
      </w:r>
    </w:p>
    <w:p>
      <w:r>
        <w:rPr>
          <w:b/>
        </w:rPr>
        <w:t>Motivo de descarte:</w:t>
      </w:r>
      <w:r>
        <w:t xml:space="preserve"> todos los módulos pasarían a depender de la implementación interna de Administración, lo que contradice la regla del ADR-0001 según la cual un módulo sólo puede referenciar el proyecto </w:t>
      </w:r>
      <w:r>
        <w:rPr>
          <w:rFonts w:ascii="Consolas" w:hAnsi="Consolas"/>
          <w:sz w:val="18"/>
        </w:rPr>
        <w:t>Contracts</w:t>
      </w:r>
      <w:r>
        <w:t xml:space="preserve"> de otro.</w:t>
      </w:r>
    </w:p>
    <w:p>
      <w:pPr>
        <w:pStyle w:val="Heading2"/>
      </w:pPr>
      <w:r>
        <w:t>3.4 Implementar los mecanismos en cada módulo</w:t>
      </w:r>
    </w:p>
    <w:p>
      <w:r>
        <w:rPr>
          <w:b/>
        </w:rPr>
        <w:t>Motivo de descarte:</w:t>
      </w:r>
      <w:r>
        <w:t xml:space="preserve"> seis copias del mecanismo de aislamiento entre inquilinos. Cualquier divergencia entre ellas es una filtración de datos entre operadores, exactamente lo que el ADR-0002 y la letra (sección 6.5) exigen demostrar que no ocurre.</w:t>
      </w:r>
    </w:p>
    <w:p>
      <w:pPr>
        <w:pStyle w:val="Heading1"/>
      </w:pPr>
      <w:r>
        <w:t>4. Consecuencias</w:t>
      </w:r>
    </w:p>
    <w:p>
      <w:pPr>
        <w:pStyle w:val="Heading2"/>
      </w:pPr>
      <w:r>
        <w:t>4.1 Positivas</w:t>
      </w:r>
    </w:p>
    <w:p>
      <w:pPr>
        <w:pStyle w:val="ListBullet"/>
      </w:pPr>
      <w:r>
        <w:t>El aislamiento entre inquilinos se implementa y se prueba una sola vez.</w:t>
      </w:r>
    </w:p>
    <w:p>
      <w:pPr>
        <w:pStyle w:val="ListBullet"/>
      </w:pPr>
      <w:r>
        <w:t xml:space="preserve">Una entidad queda protegida con sólo implementar </w:t>
      </w:r>
      <w:r>
        <w:rPr>
          <w:rFonts w:ascii="Consolas" w:hAnsi="Consolas"/>
          <w:sz w:val="18"/>
        </w:rPr>
        <w:t>IOperadorOwned</w:t>
      </w:r>
      <w:r>
        <w:t>: quien desarrolla un módulo no escribe filtros ni validaciones de inquilino, y no puede olvidarse de hacerlo.</w:t>
      </w:r>
    </w:p>
    <w:p>
      <w:pPr>
        <w:pStyle w:val="ListBullet"/>
      </w:pPr>
      <w:r>
        <w:t xml:space="preserve">La prueba estructural exigida por el ADR-0002, sección 4, se simplifica: basta con verificar que cada </w:t>
      </w:r>
      <w:r>
        <w:rPr>
          <w:rFonts w:ascii="Consolas" w:hAnsi="Consolas"/>
          <w:sz w:val="18"/>
        </w:rPr>
        <w:t>DbContext</w:t>
      </w:r>
      <w:r>
        <w:t xml:space="preserve"> hereda de </w:t>
      </w:r>
      <w:r>
        <w:rPr>
          <w:rFonts w:ascii="Consolas" w:hAnsi="Consolas"/>
          <w:sz w:val="18"/>
        </w:rPr>
        <w:t>ModuleDbContext</w:t>
      </w:r>
      <w:r>
        <w:t xml:space="preserve"> y que toda entidad con </w:t>
      </w:r>
      <w:r>
        <w:rPr>
          <w:rFonts w:ascii="Consolas" w:hAnsi="Consolas"/>
          <w:sz w:val="18"/>
        </w:rPr>
        <w:t>OperadorId</w:t>
      </w:r>
      <w:r>
        <w:t xml:space="preserve"> implementa </w:t>
      </w:r>
      <w:r>
        <w:rPr>
          <w:rFonts w:ascii="Consolas" w:hAnsi="Consolas"/>
          <w:sz w:val="18"/>
        </w:rPr>
        <w:t>IOperadorOwned</w:t>
      </w:r>
      <w:r>
        <w:t>.</w:t>
      </w:r>
    </w:p>
    <w:p>
      <w:pPr>
        <w:pStyle w:val="ListBullet"/>
      </w:pPr>
      <w:r>
        <w:t xml:space="preserve">El dominio sigue libre de frameworks: </w:t>
      </w:r>
      <w:r>
        <w:rPr>
          <w:rFonts w:ascii="Consolas" w:hAnsi="Consolas"/>
          <w:sz w:val="18"/>
        </w:rPr>
        <w:t>SharedKernel</w:t>
      </w:r>
      <w:r>
        <w:t xml:space="preserve"> no tiene dependencias externas.</w:t>
      </w:r>
    </w:p>
    <w:p>
      <w:pPr>
        <w:pStyle w:val="Heading2"/>
      </w:pPr>
      <w:r>
        <w:t>4.2 Negativas y riesgos</w:t>
      </w:r>
    </w:p>
    <w:p>
      <w:pPr>
        <w:pStyle w:val="ListBullet"/>
      </w:pPr>
      <w:r>
        <w:t xml:space="preserve">Un cambio en </w:t>
      </w:r>
      <w:r>
        <w:rPr>
          <w:rFonts w:ascii="Consolas" w:hAnsi="Consolas"/>
          <w:sz w:val="18"/>
        </w:rPr>
        <w:t>BuildingBlocks</w:t>
      </w:r>
      <w:r>
        <w:t xml:space="preserve"> impacta a todos los módulos a la vez. Los cambios en estos proyectos deben revisarse con especial cuidado y estar cubiertos por pruebas.</w:t>
      </w:r>
    </w:p>
    <w:p>
      <w:pPr>
        <w:pStyle w:val="ListBullet"/>
      </w:pPr>
      <w:r>
        <w:t>Riesgo de crecimiento desordenado del código compartido. Se mitiga con el criterio de admisión de la sección 2.5 y con la revisión de código.</w:t>
      </w:r>
    </w:p>
    <w:p>
      <w:pPr>
        <w:pStyle w:val="Heading1"/>
      </w:pPr>
      <w:r>
        <w:t>5. Verificación</w:t>
      </w:r>
    </w:p>
    <w:p>
      <w:r>
        <w:t>La decisión se considera verificada cuando:</w:t>
      </w:r>
    </w:p>
    <w:p>
      <w:pPr>
        <w:pStyle w:val="ListNumber"/>
      </w:pPr>
      <w:r>
        <w:t xml:space="preserve">Existen los proyectos </w:t>
      </w:r>
      <w:r>
        <w:rPr>
          <w:rFonts w:ascii="Consolas" w:hAnsi="Consolas"/>
          <w:sz w:val="18"/>
        </w:rPr>
        <w:t>Logistica.SharedKernel</w:t>
      </w:r>
      <w:r>
        <w:t xml:space="preserve"> y </w:t>
      </w:r>
      <w:r>
        <w:rPr>
          <w:rFonts w:ascii="Consolas" w:hAnsi="Consolas"/>
          <w:sz w:val="18"/>
        </w:rPr>
        <w:t>Logistica.BuildingBlocks.Infrastructure</w:t>
      </w:r>
      <w:r>
        <w:t xml:space="preserve"> con las referencias de la sección 2.4.</w:t>
      </w:r>
    </w:p>
    <w:p>
      <w:pPr>
        <w:pStyle w:val="ListNumber"/>
      </w:pPr>
      <w:r>
        <w:t xml:space="preserve">Existe una prueba automatizada que falla si </w:t>
      </w:r>
      <w:r>
        <w:rPr>
          <w:rFonts w:ascii="Consolas" w:hAnsi="Consolas"/>
          <w:sz w:val="18"/>
        </w:rPr>
        <w:t>SharedKernel</w:t>
      </w:r>
      <w:r>
        <w:t xml:space="preserve"> depende de Entity Framework Core, ASP.NET Core, </w:t>
      </w:r>
      <w:r>
        <w:rPr>
          <w:rFonts w:ascii="Consolas" w:hAnsi="Consolas"/>
          <w:sz w:val="18"/>
        </w:rPr>
        <w:t>Microsoft.Extensions</w:t>
      </w:r>
      <w:r>
        <w:t xml:space="preserve">, Npgsql o </w:t>
      </w:r>
      <w:r>
        <w:rPr>
          <w:rFonts w:ascii="Consolas" w:hAnsi="Consolas"/>
          <w:sz w:val="18"/>
        </w:rPr>
        <w:t>BuildingBlocks.Infrastructure</w:t>
      </w:r>
      <w:r>
        <w:t>.</w:t>
      </w:r>
    </w:p>
    <w:p>
      <w:pPr>
        <w:pStyle w:val="ListNumber"/>
      </w:pPr>
      <w:r>
        <w:t xml:space="preserve">Existe una prueba automatizada que falla si algún proyecto de </w:t>
      </w:r>
      <w:r>
        <w:rPr>
          <w:rFonts w:ascii="Consolas" w:hAnsi="Consolas"/>
          <w:sz w:val="18"/>
        </w:rPr>
        <w:t>BuildingBlocks</w:t>
      </w:r>
      <w:r>
        <w:t xml:space="preserve"> depende de un módulo.</w:t>
      </w:r>
    </w:p>
    <w:p>
      <w:pPr>
        <w:pStyle w:val="ListNumber"/>
      </w:pPr>
      <w:r>
        <w:t>Ambas pruebas se ejecutan en el pipeline de integración continua.</w:t>
      </w:r>
    </w:p>
    <w:p>
      <w:r>
        <w:t>Los puntos 1 a 4 ya están implementados en el esqueleto de la solución (</w:t>
      </w:r>
      <w:r>
        <w:rPr>
          <w:rFonts w:ascii="Consolas" w:hAnsi="Consolas"/>
          <w:sz w:val="18"/>
        </w:rPr>
        <w:t>tests/Logistica.ArchitectureTests/BuildingBlocksDependencyTests.cs</w:t>
      </w:r>
      <w:r>
        <w:t>). La implementación del interceptor, los filtros y el Outbox corresponde al hito del 15 de octubre.</w:t>
      </w:r>
    </w:p>
    <w:p>
      <w:pPr>
        <w:pStyle w:val="Heading1"/>
      </w:pPr>
      <w:r>
        <w:t>6. Historial de versiones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90" w:type="dxa"/>
              <w:start w:w="110" w:type="dxa"/>
              <w:bottom w:w="90" w:type="dxa"/>
              <w:end w:w="110" w:type="dxa"/>
            </w:tcMar>
            <w:shd w:fill="1F4E78"/>
          </w:tcPr>
          <w:p>
            <w:pPr>
              <w:spacing w:after="0" w:line="252" w:lineRule="auto"/>
            </w:pPr>
            <w:r>
              <w:rPr>
                <w:b/>
                <w:color w:val="FFFFFF"/>
                <w:sz w:val="19"/>
              </w:rPr>
              <w:t>Versión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Fecha</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Descripción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Responsable</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0.1</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Propuesta inicial del addendum.</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02/10/2026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Revisado y aceptado por el responsable del ADR-0001.</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Lucas Ottonello</w:t>
            </w:r>
          </w:p>
        </w:tc>
      </w:tr>
    </w:tbl>
    <w:p>
      <w:pPr>
        <w:spacing w:after="0"/>
      </w:pPr>
    </w:p>
    <w:p>
      <w:r>
        <w:br w:type="page"/>
      </w:r>
    </w:p>
    <w:p>
      <w:pPr>
        <w:pStyle w:val="Heading1"/>
      </w:pPr>
      <w:r>
        <w:t>ADR-0001 · Addendum 2 · Ubicación de los endpoints, los casos de uso y los contratos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30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Autor</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Responsable del ADR-0001</w:t>
            </w:r>
          </w:p>
        </w:tc>
        <w:tc>
          <w:tcPr>
            <w:tcW w:type="dxa" w:w="4997"/>
            <w:vAlign w:val="center"/>
            <w:tcMar>
              <w:top w:w="90" w:type="dxa"/>
              <w:start w:w="110" w:type="dxa"/>
              <w:bottom w:w="90" w:type="dxa"/>
              <w:end w:w="110" w:type="dxa"/>
            </w:tcMar>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Equipo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Modifica</w:t>
            </w:r>
          </w:p>
        </w:tc>
        <w:tc>
          <w:tcPr>
            <w:tcW w:type="dxa" w:w="4997"/>
            <w:vAlign w:val="center"/>
            <w:tcMar>
              <w:top w:w="90" w:type="dxa"/>
              <w:start w:w="110" w:type="dxa"/>
              <w:bottom w:w="90" w:type="dxa"/>
              <w:end w:w="110" w:type="dxa"/>
            </w:tcMar>
          </w:tcPr>
          <w:p>
            <w:pPr>
              <w:spacing w:after="0" w:line="252" w:lineRule="auto"/>
            </w:pPr>
            <w:r>
              <w:rPr>
                <w:color w:val="000000"/>
                <w:sz w:val="19"/>
              </w:rPr>
              <w:t>ADR-0001, sección 2.2 (Organización interna y estructura de Contracts), sección 2.3 (Vertical slices) y sección 2.4 (Regla de dependencias)</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Relacionado con</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ADR-0001 · Addendum 1 · Código compartido; ADR-0001 · Addendum 3 · Comunicación entre módulos; Guía de decisiones tecnológicas, secciones 2.3 y 3.2</w:t>
            </w:r>
          </w:p>
        </w:tc>
      </w:tr>
    </w:tbl>
    <w:p>
      <w:pPr>
        <w:spacing w:after="0"/>
      </w:pPr>
    </w:p>
    <w:p>
      <w:r>
        <w:rPr>
          <w:b/>
        </w:rPr>
        <w:t>Este addendum resuelve tres inconsistencias de estructura: los endpoints de cada caso de uso se ubican dentro del módulo, en una capa `Presentation`; los casos de uso se agrupan bajo una carpeta `Features`; y los proyectos `Contracts` se organizan según los mecanismos de comunicación del addendum 3. El proyecto `Logistica.Api` queda como anfitrión que compone los módulos.</w:t>
      </w:r>
    </w:p>
    <w:p>
      <w:pPr>
        <w:pStyle w:val="Heading1"/>
      </w:pPr>
      <w:r>
        <w:t>1. Contexto</w:t>
      </w:r>
    </w:p>
    <w:p>
      <w:r>
        <w:t>Al crear el esqueleto de la solución se detectaron tres diferencias entre documentos aceptados, o entre ellos y las decisiones posteriores:</w:t>
      </w:r>
    </w:p>
    <w:p>
      <w:pPr>
        <w:pStyle w:val="ListBullet"/>
      </w:pPr>
      <w:r>
        <w:rPr>
          <w:b/>
        </w:rPr>
        <w:t>Ubicación de los endpoints.</w:t>
      </w:r>
      <w:r>
        <w:t xml:space="preserve"> El ADR-0001, sección 2.2, establece que los endpoints se ubican </w:t>
      </w:r>
      <w:r>
        <w:rPr>
          <w:i/>
        </w:rPr>
        <w:t>"en el proyecto anfitrión y organizados por módulo"</w:t>
      </w:r>
      <w:r>
        <w:t>. La Guía de decisiones tecnológicas, sección 2.3, muestra en cambio el endpoint dentro de la carpeta del caso de uso (</w:t>
      </w:r>
      <w:r>
        <w:rPr>
          <w:rFonts w:ascii="Consolas" w:hAnsi="Consolas"/>
          <w:sz w:val="18"/>
        </w:rPr>
        <w:t>CrearEnvio/CrearEnvioEndpoint.cs</w:t>
      </w:r>
      <w:r>
        <w:t>), junto al command y el handler.</w:t>
      </w:r>
    </w:p>
    <w:p>
      <w:pPr>
        <w:pStyle w:val="ListBullet"/>
      </w:pPr>
      <w:r>
        <w:rPr>
          <w:b/>
        </w:rPr>
        <w:t>Carpeta de los casos de uso.</w:t>
      </w:r>
      <w:r>
        <w:t xml:space="preserve"> El ADR-0001, sección 2.3, ubica los casos de uso directamente bajo </w:t>
      </w:r>
      <w:r>
        <w:rPr>
          <w:rFonts w:ascii="Consolas" w:hAnsi="Consolas"/>
          <w:sz w:val="18"/>
        </w:rPr>
        <w:t>Application/</w:t>
      </w:r>
      <w:r>
        <w:t xml:space="preserve"> (</w:t>
      </w:r>
      <w:r>
        <w:rPr>
          <w:rFonts w:ascii="Consolas" w:hAnsi="Consolas"/>
          <w:sz w:val="18"/>
        </w:rPr>
        <w:t>Application/CrearEnvio/</w:t>
      </w:r>
      <w:r>
        <w:t xml:space="preserve">), mientras que la estructura creada por el equipo usa </w:t>
      </w:r>
      <w:r>
        <w:rPr>
          <w:rFonts w:ascii="Consolas" w:hAnsi="Consolas"/>
          <w:sz w:val="18"/>
        </w:rPr>
        <w:t>Application/Features/</w:t>
      </w:r>
      <w:r>
        <w:t>.</w:t>
      </w:r>
    </w:p>
    <w:p>
      <w:pPr>
        <w:pStyle w:val="ListBullet"/>
      </w:pPr>
      <w:r>
        <w:rPr>
          <w:b/>
        </w:rPr>
        <w:t>Estructura de Contracts.</w:t>
      </w:r>
      <w:r>
        <w:t xml:space="preserve"> El ADR-0001, sección 2.2, organiza cada proyecto </w:t>
      </w:r>
      <w:r>
        <w:rPr>
          <w:rFonts w:ascii="Consolas" w:hAnsi="Consolas"/>
          <w:sz w:val="18"/>
        </w:rPr>
        <w:t>Contracts</w:t>
      </w:r>
      <w:r>
        <w:t xml:space="preserve"> en </w:t>
      </w:r>
      <w:r>
        <w:rPr>
          <w:rFonts w:ascii="Consolas" w:hAnsi="Consolas"/>
          <w:sz w:val="18"/>
        </w:rPr>
        <w:t>Commands/</w:t>
      </w:r>
      <w:r>
        <w:t xml:space="preserve">, </w:t>
      </w:r>
      <w:r>
        <w:rPr>
          <w:rFonts w:ascii="Consolas" w:hAnsi="Consolas"/>
          <w:sz w:val="18"/>
        </w:rPr>
        <w:t>Queries/</w:t>
      </w:r>
      <w:r>
        <w:t xml:space="preserve">, </w:t>
      </w:r>
      <w:r>
        <w:rPr>
          <w:rFonts w:ascii="Consolas" w:hAnsi="Consolas"/>
          <w:sz w:val="18"/>
        </w:rPr>
        <w:t>Results/</w:t>
      </w:r>
      <w:r>
        <w:t xml:space="preserve"> y </w:t>
      </w:r>
      <w:r>
        <w:rPr>
          <w:rFonts w:ascii="Consolas" w:hAnsi="Consolas"/>
          <w:sz w:val="18"/>
        </w:rPr>
        <w:t>Events/</w:t>
      </w:r>
      <w:r>
        <w:t>. Esa estructura supone que los módulos se envían commands y queries a través de un mediador, algo que no se decidió, y no prevé un lugar para las interfaces de comunicación síncrona que define el addendum 3.</w:t>
      </w:r>
    </w:p>
    <w:p>
      <w:r>
        <w:t xml:space="preserve">La primera diferencia no se puede resolver adoptando literalmente la Guía: colocar el endpoint dentro de </w:t>
      </w:r>
      <w:r>
        <w:rPr>
          <w:rFonts w:ascii="Consolas" w:hAnsi="Consolas"/>
          <w:sz w:val="18"/>
        </w:rPr>
        <w:t>Application/</w:t>
      </w:r>
      <w:r>
        <w:t xml:space="preserve"> haría que la capa Application dependa de ASP.NET Core, lo que viola la regla de dependencias del ADR-0001, sección 2.4.</w:t>
      </w:r>
    </w:p>
    <w:p>
      <w:pPr>
        <w:pStyle w:val="Heading1"/>
      </w:pPr>
      <w:r>
        <w:t>2. Decisión</w:t>
      </w:r>
    </w:p>
    <w:p>
      <w:pPr>
        <w:pStyle w:val="Heading2"/>
      </w:pPr>
      <w:r>
        <w:t>2.1 Los endpoints viven en el módulo, en la capa Presentation</w:t>
      </w:r>
    </w:p>
    <w:p>
      <w:r>
        <w:t xml:space="preserve">Cada proyecto de módulo incorpora una carpeta </w:t>
      </w:r>
      <w:r>
        <w:rPr>
          <w:rFonts w:ascii="Consolas" w:hAnsi="Consolas"/>
          <w:sz w:val="18"/>
        </w:rPr>
        <w:t>Presentation/</w:t>
      </w:r>
      <w:r>
        <w:t xml:space="preserve">, que refleja la estructura de </w:t>
      </w:r>
      <w:r>
        <w:rPr>
          <w:rFonts w:ascii="Consolas" w:hAnsi="Consolas"/>
          <w:sz w:val="18"/>
        </w:rPr>
        <w:t>Application/Features/</w:t>
      </w:r>
      <w:r>
        <w:t>:</w:t>
      </w:r>
    </w:p>
    <w:p>
      <w:r>
        <w:t>Logistica.Modules.Envios/</w:t>
      </w:r>
    </w:p>
    <w:p>
      <w:r>
        <w:t>Domain/</w:t>
      </w:r>
    </w:p>
    <w:p>
      <w:r>
        <w:t>Application/</w:t>
      </w:r>
    </w:p>
    <w:p>
      <w:r>
        <w:t>Features/</w:t>
      </w:r>
    </w:p>
    <w:p>
      <w:r>
        <w:t>CrearEnvio/</w:t>
      </w:r>
    </w:p>
    <w:p>
      <w:r>
        <w:t>CrearEnvioCommand.cs</w:t>
      </w:r>
    </w:p>
    <w:p>
      <w:r>
        <w:t>CrearEnvioHandler.cs</w:t>
      </w:r>
    </w:p>
    <w:p>
      <w:r>
        <w:t>Infrastructure/</w:t>
      </w:r>
    </w:p>
    <w:p>
      <w:r>
        <w:t>Presentation/</w:t>
      </w:r>
    </w:p>
    <w:p>
      <w:r>
        <w:t>Features/</w:t>
      </w:r>
    </w:p>
    <w:p>
      <w:r>
        <w:t>CrearEnvio/</w:t>
      </w:r>
    </w:p>
    <w:p>
      <w:r>
        <w:t>CrearEnvioEndpoint.cs</w:t>
      </w:r>
    </w:p>
    <w:p>
      <w:r>
        <w:t>CrearEnvioRequest.cs</w:t>
      </w:r>
    </w:p>
    <w:p>
      <w:r>
        <w:t>EnviosModule.cs</w:t>
      </w:r>
    </w:p>
    <w:p>
      <w:r>
        <w:t>El endpoint traduce la petición HTTP a un command o query, invoca al handler y convierte el resultado en una respuesta HTTP, tal como establece la Propuesta de stack, sección 3.3. No contiene reglas de negocio ni acceso a datos.</w:t>
      </w:r>
    </w:p>
    <w:p>
      <w:pPr>
        <w:pStyle w:val="Heading2"/>
      </w:pPr>
      <w:r>
        <w:t>2.2 Clase de entrada del módulo</w:t>
      </w:r>
    </w:p>
    <w:p>
      <w:r>
        <w:t xml:space="preserve">Cada módulo expone una única clase pública de entrada, </w:t>
      </w:r>
      <w:r>
        <w:rPr>
          <w:rFonts w:ascii="Consolas" w:hAnsi="Consolas"/>
          <w:sz w:val="18"/>
        </w:rPr>
        <w:t>&lt;Modulo&gt;Module</w:t>
      </w:r>
      <w:r>
        <w:t>, con dos métodos de extensión:</w:t>
      </w:r>
    </w:p>
    <w:p>
      <w:pPr>
        <w:pStyle w:val="ListBullet"/>
      </w:pPr>
      <w:r>
        <w:rPr>
          <w:rFonts w:ascii="Consolas" w:hAnsi="Consolas"/>
          <w:sz w:val="18"/>
        </w:rPr>
        <w:t>Add&lt;Modulo&gt;Module(IServiceCollection, IConfiguration)</w:t>
      </w:r>
      <w:r>
        <w:t xml:space="preserve">: registra los handlers, el </w:t>
      </w:r>
      <w:r>
        <w:rPr>
          <w:rFonts w:ascii="Consolas" w:hAnsi="Consolas"/>
          <w:sz w:val="18"/>
        </w:rPr>
        <w:t>DbContext</w:t>
      </w:r>
      <w:r>
        <w:t xml:space="preserve"> y los adaptadores del módulo.</w:t>
      </w:r>
    </w:p>
    <w:p>
      <w:pPr>
        <w:pStyle w:val="ListBullet"/>
      </w:pPr>
      <w:r>
        <w:rPr>
          <w:rFonts w:ascii="Consolas" w:hAnsi="Consolas"/>
          <w:sz w:val="18"/>
        </w:rPr>
        <w:t>Map&lt;Modulo&gt;Endpoints(IEndpointRouteBuilder)</w:t>
      </w:r>
      <w:r>
        <w:t>: registra los endpoints del módulo bajo un grupo de rutas propio (</w:t>
      </w:r>
      <w:r>
        <w:rPr>
          <w:rFonts w:ascii="Consolas" w:hAnsi="Consolas"/>
          <w:sz w:val="18"/>
        </w:rPr>
        <w:t>/api/envios</w:t>
      </w:r>
      <w:r>
        <w:t xml:space="preserve">, </w:t>
      </w:r>
      <w:r>
        <w:rPr>
          <w:rFonts w:ascii="Consolas" w:hAnsi="Consolas"/>
          <w:sz w:val="18"/>
        </w:rPr>
        <w:t>/api/planificacion</w:t>
      </w:r>
      <w:r>
        <w:t>, etc.).</w:t>
      </w:r>
    </w:p>
    <w:p>
      <w:r>
        <w:rPr>
          <w:rFonts w:ascii="Consolas" w:hAnsi="Consolas"/>
          <w:sz w:val="18"/>
        </w:rPr>
        <w:t>Logistica.Api</w:t>
      </w:r>
      <w:r>
        <w:t xml:space="preserve"> se limita a invocar estos métodos y a configurar lo transversal: autenticación, resolución del inquilino (ADR-0002), logging, telemetría y health checks. No contiene endpoints de casos de uso.</w:t>
      </w:r>
    </w:p>
    <w:p>
      <w:pPr>
        <w:pStyle w:val="Heading2"/>
      </w:pPr>
      <w:r>
        <w:t>2.3 Encapsulamiento</w:t>
      </w:r>
    </w:p>
    <w:p>
      <w:r>
        <w:t xml:space="preserve">Como el endpoint y el handler están en el mismo proyecto, los commands, queries, handlers y entidades internas del módulo pueden declararse </w:t>
      </w:r>
      <w:r>
        <w:rPr>
          <w:rFonts w:ascii="Consolas" w:hAnsi="Consolas"/>
          <w:sz w:val="18"/>
        </w:rPr>
        <w:t>internal</w:t>
      </w:r>
      <w:r>
        <w:t xml:space="preserve">. Lo único público del proyecto del módulo es la clase de entrada </w:t>
      </w:r>
      <w:r>
        <w:rPr>
          <w:rFonts w:ascii="Consolas" w:hAnsi="Consolas"/>
          <w:sz w:val="18"/>
        </w:rPr>
        <w:t>&lt;Modulo&gt;Module</w:t>
      </w:r>
      <w:r>
        <w:t xml:space="preserve">; los tipos que otros módulos necesiten se publican, como hasta ahora, en el proyecto </w:t>
      </w:r>
      <w:r>
        <w:rPr>
          <w:rFonts w:ascii="Consolas" w:hAnsi="Consolas"/>
          <w:sz w:val="18"/>
        </w:rPr>
        <w:t>Contracts</w:t>
      </w:r>
      <w:r>
        <w:t>.</w:t>
      </w:r>
    </w:p>
    <w:p>
      <w:r>
        <w:t xml:space="preserve">Para que las pruebas unitarias puedan ejercitar los tipos internos, cada módulo declara </w:t>
      </w:r>
      <w:r>
        <w:rPr>
          <w:rFonts w:ascii="Consolas" w:hAnsi="Consolas"/>
          <w:sz w:val="18"/>
        </w:rPr>
        <w:t>InternalsVisibleTo</w:t>
      </w:r>
      <w:r>
        <w:t xml:space="preserve"> hacia </w:t>
      </w:r>
      <w:r>
        <w:rPr>
          <w:rFonts w:ascii="Consolas" w:hAnsi="Consolas"/>
          <w:sz w:val="18"/>
        </w:rPr>
        <w:t>Logistica.UnitTests</w:t>
      </w:r>
      <w:r>
        <w:t>.</w:t>
      </w:r>
    </w:p>
    <w:p>
      <w:pPr>
        <w:pStyle w:val="Heading2"/>
      </w:pPr>
      <w:r>
        <w:t>2.4 Casos de uso bajo Features</w:t>
      </w:r>
    </w:p>
    <w:p>
      <w:r>
        <w:t xml:space="preserve">Los casos de uso se agrupan bajo </w:t>
      </w:r>
      <w:r>
        <w:rPr>
          <w:rFonts w:ascii="Consolas" w:hAnsi="Consolas"/>
          <w:sz w:val="18"/>
        </w:rPr>
        <w:t>Application/Features/&lt;CasoDeUso&gt;/</w:t>
      </w:r>
      <w:r>
        <w:t xml:space="preserve">, y sus endpoints bajo </w:t>
      </w:r>
      <w:r>
        <w:rPr>
          <w:rFonts w:ascii="Consolas" w:hAnsi="Consolas"/>
          <w:sz w:val="18"/>
        </w:rPr>
        <w:t>Presentation/Features/&lt;CasoDeUso&gt;/</w:t>
      </w:r>
      <w:r>
        <w:t xml:space="preserve">. Esto reemplaza el ejemplo de la sección 2.3 del ADR-0001, que los ubicaba directamente bajo </w:t>
      </w:r>
      <w:r>
        <w:rPr>
          <w:rFonts w:ascii="Consolas" w:hAnsi="Consolas"/>
          <w:sz w:val="18"/>
        </w:rPr>
        <w:t>Application/</w:t>
      </w:r>
      <w:r>
        <w:t>.</w:t>
      </w:r>
    </w:p>
    <w:p>
      <w:pPr>
        <w:pStyle w:val="Heading2"/>
      </w:pPr>
      <w:r>
        <w:t>2.5 Regla de dependencias (agrega a la sección 2.4 del ADR-0001)</w:t>
      </w:r>
    </w:p>
    <w:p>
      <w:r>
        <w:t>El proyecto de cada módulo incorpora una referencia al framework ASP.NET Core (</w:t>
      </w:r>
      <w:r>
        <w:rPr>
          <w:rFonts w:ascii="Consolas" w:hAnsi="Consolas"/>
          <w:sz w:val="18"/>
        </w:rPr>
        <w:t>Microsoft.AspNetCore.App</w:t>
      </w:r>
      <w:r>
        <w:t>). Para que esa referencia no se filtre a las demás capas:</w:t>
      </w:r>
    </w:p>
    <w:p>
      <w:pPr>
        <w:pStyle w:val="ListBullet"/>
      </w:pPr>
      <w:r>
        <w:t>Domain no depende de Application, Infrastructure, Presentation, Entity Framework Core ni ASP.NET Core.</w:t>
      </w:r>
    </w:p>
    <w:p>
      <w:pPr>
        <w:pStyle w:val="ListBullet"/>
      </w:pPr>
      <w:r>
        <w:t>Application no depende de Infrastructure, Presentation, Entity Framework Core ni ASP.NET Core.</w:t>
      </w:r>
    </w:p>
    <w:p>
      <w:pPr>
        <w:pStyle w:val="ListBullet"/>
      </w:pPr>
      <w:r>
        <w:t>Infrastructure no depende de Presentation ni de ASP.NET Core.</w:t>
      </w:r>
    </w:p>
    <w:p>
      <w:pPr>
        <w:pStyle w:val="ListBullet"/>
      </w:pPr>
      <w:r>
        <w:t>Presentation puede depender de Application y de Contracts, pero no de Infrastructure.</w:t>
      </w:r>
    </w:p>
    <w:p>
      <w:pPr>
        <w:pStyle w:val="ListBullet"/>
      </w:pPr>
      <w:r>
        <w:t xml:space="preserve">Sólo </w:t>
      </w:r>
      <w:r>
        <w:rPr>
          <w:rFonts w:ascii="Consolas" w:hAnsi="Consolas"/>
          <w:sz w:val="18"/>
        </w:rPr>
        <w:t>Presentation</w:t>
      </w:r>
      <w:r>
        <w:t xml:space="preserve"> y la clase de entrada </w:t>
      </w:r>
      <w:r>
        <w:rPr>
          <w:rFonts w:ascii="Consolas" w:hAnsi="Consolas"/>
          <w:sz w:val="18"/>
        </w:rPr>
        <w:t>&lt;Modulo&gt;Module</w:t>
      </w:r>
      <w:r>
        <w:t xml:space="preserve"> pueden usar ASP.NET Core.</w:t>
      </w:r>
    </w:p>
    <w:p>
      <w:pPr>
        <w:pStyle w:val="ListBullet"/>
      </w:pPr>
      <w:r>
        <w:t>Un módulo no puede depender de Domain, Application, Infrastructure ni Presentation de otro módulo.</w:t>
      </w:r>
    </w:p>
    <w:p>
      <w:pPr>
        <w:pStyle w:val="Heading2"/>
      </w:pPr>
      <w:r>
        <w:t>2.6 Estructura de los proyectos Contracts (reemplaza la estructura de Contracts de la sección 2.2 del ADR-0001)</w:t>
      </w:r>
    </w:p>
    <w:p>
      <w:r>
        <w:t xml:space="preserve">El proyecto </w:t>
      </w:r>
      <w:r>
        <w:rPr>
          <w:rFonts w:ascii="Consolas" w:hAnsi="Consolas"/>
          <w:sz w:val="18"/>
        </w:rPr>
        <w:t>Contracts</w:t>
      </w:r>
      <w:r>
        <w:t xml:space="preserve"> es la única parte de un módulo que los demás módulos pueden usar. Su contenido se corresponde con los mecanismos de comunicación del addendum 3:</w:t>
      </w:r>
    </w:p>
    <w:p>
      <w:r>
        <w:t>Logistica.Modules.Envios.Contracts/</w:t>
      </w:r>
    </w:p>
    <w:p>
      <w:r>
        <w:t>IEnviosModuleApi.cs</w:t>
      </w:r>
    </w:p>
    <w:p>
      <w:r>
        <w:t>Results/</w:t>
      </w:r>
    </w:p>
    <w:p>
      <w:r>
        <w:t>EnvioResumen.cs</w:t>
      </w:r>
    </w:p>
    <w:p>
      <w:r>
        <w:t>Events/</w:t>
      </w:r>
    </w:p>
    <w:p>
      <w:r>
        <w:t>EnvioEntregado.cs</w:t>
      </w:r>
    </w:p>
    <w:p>
      <w:pPr>
        <w:pStyle w:val="ListBullet"/>
      </w:pPr>
      <w:r>
        <w:rPr>
          <w:b/>
        </w:rPr>
        <w:t>`I&lt;Modulo&gt;ModuleApi`</w:t>
      </w:r>
      <w:r>
        <w:t xml:space="preserve">: interfaz con las consultas y acciones que otros módulos pueden invocar de forma síncrona y en memoria. La implementa una clase </w:t>
      </w:r>
      <w:r>
        <w:rPr>
          <w:rFonts w:ascii="Consolas" w:hAnsi="Consolas"/>
          <w:sz w:val="18"/>
        </w:rPr>
        <w:t>internal</w:t>
      </w:r>
      <w:r>
        <w:t xml:space="preserve"> de la capa Application del módulo, registrada en </w:t>
      </w:r>
      <w:r>
        <w:rPr>
          <w:rFonts w:ascii="Consolas" w:hAnsi="Consolas"/>
          <w:sz w:val="18"/>
        </w:rPr>
        <w:t>Add&lt;Modulo&gt;Module()</w:t>
      </w:r>
      <w:r>
        <w:t xml:space="preserve">. Se evita el nombre </w:t>
      </w:r>
      <w:r>
        <w:rPr>
          <w:rFonts w:ascii="Consolas" w:hAnsi="Consolas"/>
          <w:sz w:val="18"/>
        </w:rPr>
        <w:t>I&lt;Modulo&gt;Module</w:t>
      </w:r>
      <w:r>
        <w:t xml:space="preserve"> para no confundirla con la clase de entrada </w:t>
      </w:r>
      <w:r>
        <w:rPr>
          <w:rFonts w:ascii="Consolas" w:hAnsi="Consolas"/>
          <w:sz w:val="18"/>
        </w:rPr>
        <w:t>&lt;Modulo&gt;Module</w:t>
      </w:r>
      <w:r>
        <w:t xml:space="preserve"> de la sección 2.2.</w:t>
      </w:r>
    </w:p>
    <w:p>
      <w:pPr>
        <w:pStyle w:val="ListBullet"/>
      </w:pPr>
      <w:r>
        <w:rPr>
          <w:b/>
        </w:rPr>
        <w:t>`Results/`</w:t>
      </w:r>
      <w:r>
        <w:t xml:space="preserve">: tipos de datos, preferentemente </w:t>
      </w:r>
      <w:r>
        <w:rPr>
          <w:rFonts w:ascii="Consolas" w:hAnsi="Consolas"/>
          <w:sz w:val="18"/>
        </w:rPr>
        <w:t>record</w:t>
      </w:r>
      <w:r>
        <w:t xml:space="preserve"> inmutables, que la interfaz recibe o devuelve. Nunca se exponen entidades del dominio.</w:t>
      </w:r>
    </w:p>
    <w:p>
      <w:pPr>
        <w:pStyle w:val="ListBullet"/>
      </w:pPr>
      <w:r>
        <w:rPr>
          <w:b/>
        </w:rPr>
        <w:t>`Events/`</w:t>
      </w:r>
      <w:r>
        <w:t xml:space="preserve">: eventos de integración que el módulo publica para que otros reaccionen. Derivan del tipo base definido en </w:t>
      </w:r>
      <w:r>
        <w:rPr>
          <w:rFonts w:ascii="Consolas" w:hAnsi="Consolas"/>
          <w:sz w:val="18"/>
        </w:rPr>
        <w:t>Logistica.SharedKernel</w:t>
      </w:r>
      <w:r>
        <w:t xml:space="preserve"> (addendum 1).</w:t>
      </w:r>
    </w:p>
    <w:p>
      <w:r>
        <w:t xml:space="preserve">No se crean las carpetas </w:t>
      </w:r>
      <w:r>
        <w:rPr>
          <w:rFonts w:ascii="Consolas" w:hAnsi="Consolas"/>
          <w:sz w:val="18"/>
        </w:rPr>
        <w:t>Commands/</w:t>
      </w:r>
      <w:r>
        <w:t xml:space="preserve"> ni </w:t>
      </w:r>
      <w:r>
        <w:rPr>
          <w:rFonts w:ascii="Consolas" w:hAnsi="Consolas"/>
          <w:sz w:val="18"/>
        </w:rPr>
        <w:t>Queries/</w:t>
      </w:r>
      <w:r>
        <w:t xml:space="preserve">: los módulos no se envían commands ni queries entre sí, sino que invocan los métodos de </w:t>
      </w:r>
      <w:r>
        <w:rPr>
          <w:rFonts w:ascii="Consolas" w:hAnsi="Consolas"/>
          <w:sz w:val="18"/>
        </w:rPr>
        <w:t>I&lt;Modulo&gt;ModuleApi</w:t>
      </w:r>
      <w:r>
        <w:t>. Los commands y queries de cada caso de uso siguen existiendo, pero son internos al módulo (</w:t>
      </w:r>
      <w:r>
        <w:rPr>
          <w:rFonts w:ascii="Consolas" w:hAnsi="Consolas"/>
          <w:sz w:val="18"/>
        </w:rPr>
        <w:t>Application/Features/</w:t>
      </w:r>
      <w:r>
        <w:t>).</w:t>
      </w:r>
    </w:p>
    <w:p>
      <w:r>
        <w:t>Las carpetas se crean cuando se agrega el primer archivo que las necesita; no se versionan carpetas vacías.</w:t>
      </w:r>
    </w:p>
    <w:p>
      <w:pPr>
        <w:pStyle w:val="Heading1"/>
      </w:pPr>
      <w:r>
        <w:t>3. Alternativas consideradas</w:t>
      </w:r>
    </w:p>
    <w:p>
      <w:pPr>
        <w:pStyle w:val="Heading2"/>
      </w:pPr>
      <w:r>
        <w:t>3.1 Endpoints en el proyecto Logistica.Api (texto original del ADR-0001)</w:t>
      </w:r>
    </w:p>
    <w:p>
      <w:r>
        <w:t xml:space="preserve">Los endpoints se organizarían en </w:t>
      </w:r>
      <w:r>
        <w:rPr>
          <w:rFonts w:ascii="Consolas" w:hAnsi="Consolas"/>
          <w:sz w:val="18"/>
        </w:rPr>
        <w:t>Logistica.Api/Endpoints/&lt;Modulo&gt;/&lt;CasoDeUso&gt;/</w:t>
      </w:r>
      <w:r>
        <w:t>.</w:t>
      </w:r>
    </w:p>
    <w:p>
      <w:r>
        <w:rPr>
          <w:b/>
        </w:rPr>
        <w:t>Motivo de descarte:</w:t>
      </w:r>
    </w:p>
    <w:p>
      <w:pPr>
        <w:pStyle w:val="ListBullet"/>
      </w:pPr>
      <w:r>
        <w:t>Cada caso de uso quedaría repartido en dos proyectos: el endpoint en la API y el command y el handler en el módulo. Agregar o modificar un caso de uso, incluido el cambio de requerimientos del 29 de octubre, obligaría a tocar ambos.</w:t>
      </w:r>
    </w:p>
    <w:p>
      <w:pPr>
        <w:pStyle w:val="ListBullet"/>
      </w:pPr>
      <w:r>
        <w:t>Los commands, queries y handlers deberían ser públicos para que la API pueda usarlos, con lo cual el compilador deja de proteger el interior del módulo y esa protección queda sólo en manos de las pruebas de arquitectura.</w:t>
      </w:r>
    </w:p>
    <w:p>
      <w:pPr>
        <w:pStyle w:val="ListBullet"/>
      </w:pPr>
      <w:r>
        <w:t>El proyecto de la API acumularía las carpetas de endpoints de los seis módulos, en lugar de limitarse a su rol de anfitrión.</w:t>
      </w:r>
    </w:p>
    <w:p>
      <w:r>
        <w:t>Es una alternativa válida y funcional; se descarta por menor cohesión y menor encapsulamiento, no por ser incorrecta.</w:t>
      </w:r>
    </w:p>
    <w:p>
      <w:pPr>
        <w:pStyle w:val="Heading2"/>
      </w:pPr>
      <w:r>
        <w:t>3.2 Endpoint dentro de la carpeta del caso de uso en Application (Guía, sección 2.3)</w:t>
      </w:r>
    </w:p>
    <w:p>
      <w:r>
        <w:rPr>
          <w:b/>
        </w:rPr>
        <w:t>Motivo de descarte:</w:t>
      </w:r>
      <w:r>
        <w:t xml:space="preserve"> Application pasaría a depender de ASP.NET Core, lo que viola la regla de dependencias del ADR-0001 y haría fallar la prueba de arquitectura existente.</w:t>
      </w:r>
    </w:p>
    <w:p>
      <w:pPr>
        <w:pStyle w:val="Heading2"/>
      </w:pPr>
      <w:r>
        <w:t>3.3 Un proyecto de presentación separado por módulo (Logistica.Modules.X.Presentation)</w:t>
      </w:r>
    </w:p>
    <w:p>
      <w:r>
        <w:rPr>
          <w:b/>
        </w:rPr>
        <w:t>Motivo de descarte:</w:t>
      </w:r>
      <w:r>
        <w:t xml:space="preserve"> separaría físicamente ASP.NET Core del resto del módulo, pero agrega seis proyectos más a la solución y obliga a volver públicos los handlers para que el proyecto de presentación pueda invocarlos, con lo que se pierde el beneficio de la sección 2.3. La separación entre capas ya queda garantizada por las pruebas de arquitectura.</w:t>
      </w:r>
    </w:p>
    <w:p>
      <w:pPr>
        <w:pStyle w:val="Heading2"/>
      </w:pPr>
      <w:r>
        <w:t>3.4 Mantener Commands/, Queries/, Results/ y Events/ en Contracts (estructura original del ADR-0001)</w:t>
      </w:r>
    </w:p>
    <w:p>
      <w:r>
        <w:rPr>
          <w:b/>
        </w:rPr>
        <w:t>Motivo de descarte:</w:t>
      </w:r>
      <w:r>
        <w:t xml:space="preserve"> las carpetas </w:t>
      </w:r>
      <w:r>
        <w:rPr>
          <w:rFonts w:ascii="Consolas" w:hAnsi="Consolas"/>
          <w:sz w:val="18"/>
        </w:rPr>
        <w:t>Commands/</w:t>
      </w:r>
      <w:r>
        <w:t xml:space="preserve"> y </w:t>
      </w:r>
      <w:r>
        <w:rPr>
          <w:rFonts w:ascii="Consolas" w:hAnsi="Consolas"/>
          <w:sz w:val="18"/>
        </w:rPr>
        <w:t>Queries/</w:t>
      </w:r>
      <w:r>
        <w:t xml:space="preserve"> sólo tienen sentido si los módulos se comunican enviándose commands y queries a través de un mediador, lo que obligaría a incorporar una biblioteca adicional o a construir ese mecanismo. Una interfaz por módulo resuelve la comunicación síncrona con código más simple, más fácil de explicar y con el mismo aislamiento.</w:t>
      </w:r>
    </w:p>
    <w:p>
      <w:pPr>
        <w:pStyle w:val="Heading1"/>
      </w:pPr>
      <w:r>
        <w:t>4. Consecuencias</w:t>
      </w:r>
    </w:p>
    <w:p>
      <w:pPr>
        <w:pStyle w:val="Heading2"/>
      </w:pPr>
      <w:r>
        <w:t>4.1 Positivas</w:t>
      </w:r>
    </w:p>
    <w:p>
      <w:pPr>
        <w:pStyle w:val="ListBullet"/>
      </w:pPr>
      <w:r>
        <w:t>Un caso de uso queda completo dentro de un único módulo: endpoint, command, handler y reglas de dominio.</w:t>
      </w:r>
    </w:p>
    <w:p>
      <w:pPr>
        <w:pStyle w:val="ListBullet"/>
      </w:pPr>
      <w:r>
        <w:t xml:space="preserve">El interior del módulo puede ser </w:t>
      </w:r>
      <w:r>
        <w:rPr>
          <w:rFonts w:ascii="Consolas" w:hAnsi="Consolas"/>
          <w:sz w:val="18"/>
        </w:rPr>
        <w:t>internal</w:t>
      </w:r>
      <w:r>
        <w:t>, y el compilador impide usarlo desde fuera.</w:t>
      </w:r>
    </w:p>
    <w:p>
      <w:pPr>
        <w:pStyle w:val="ListBullet"/>
      </w:pPr>
      <w:r>
        <w:rPr>
          <w:rFonts w:ascii="Consolas" w:hAnsi="Consolas"/>
          <w:sz w:val="18"/>
        </w:rPr>
        <w:t>Logistica.Api</w:t>
      </w:r>
      <w:r>
        <w:t xml:space="preserve"> se mantiene pequeño y enfocado en aspectos transversales.</w:t>
      </w:r>
    </w:p>
    <w:p>
      <w:pPr>
        <w:pStyle w:val="ListBullet"/>
      </w:pPr>
      <w:r>
        <w:t>El ADR-0001 y la Guía quedan alineados.</w:t>
      </w:r>
    </w:p>
    <w:p>
      <w:pPr>
        <w:pStyle w:val="Heading2"/>
      </w:pPr>
      <w:r>
        <w:t>4.2 Negativas y riesgos</w:t>
      </w:r>
    </w:p>
    <w:p>
      <w:pPr>
        <w:pStyle w:val="ListBullet"/>
      </w:pPr>
      <w:r>
        <w:t>El proyecto de cada módulo tiene disponible ASP.NET Core, por lo que la separación entre Presentation y las demás capas depende de las pruebas de arquitectura y no de las referencias entre proyectos.</w:t>
      </w:r>
    </w:p>
    <w:p>
      <w:pPr>
        <w:pStyle w:val="ListBullet"/>
      </w:pPr>
      <w:r>
        <w:t xml:space="preserve">Las páginas del Backoffice siguen el mismo criterio: viven en la capa </w:t>
      </w:r>
      <w:r>
        <w:rPr>
          <w:rFonts w:ascii="Consolas" w:hAnsi="Consolas"/>
          <w:sz w:val="18"/>
        </w:rPr>
        <w:t>Presentation</w:t>
      </w:r>
      <w:r>
        <w:t xml:space="preserve"> de cada módulo (ver addendum 4).</w:t>
      </w:r>
    </w:p>
    <w:p>
      <w:pPr>
        <w:pStyle w:val="Heading1"/>
      </w:pPr>
      <w:r>
        <w:t>5. Verificación</w:t>
      </w:r>
    </w:p>
    <w:p>
      <w:r>
        <w:t>La decisión se considera verificada cuando:</w:t>
      </w:r>
    </w:p>
    <w:p>
      <w:pPr>
        <w:pStyle w:val="ListNumber"/>
      </w:pPr>
      <w:r>
        <w:t xml:space="preserve">Cada módulo tiene las carpetas </w:t>
      </w:r>
      <w:r>
        <w:rPr>
          <w:rFonts w:ascii="Consolas" w:hAnsi="Consolas"/>
          <w:sz w:val="18"/>
        </w:rPr>
        <w:t>Application/Features/</w:t>
      </w:r>
      <w:r>
        <w:t xml:space="preserve"> y </w:t>
      </w:r>
      <w:r>
        <w:rPr>
          <w:rFonts w:ascii="Consolas" w:hAnsi="Consolas"/>
          <w:sz w:val="18"/>
        </w:rPr>
        <w:t>Presentation/Features/</w:t>
      </w:r>
      <w:r>
        <w:t xml:space="preserve"> y una clase </w:t>
      </w:r>
      <w:r>
        <w:rPr>
          <w:rFonts w:ascii="Consolas" w:hAnsi="Consolas"/>
          <w:sz w:val="18"/>
        </w:rPr>
        <w:t>&lt;Modulo&gt;Module</w:t>
      </w:r>
      <w:r>
        <w:t>.</w:t>
      </w:r>
    </w:p>
    <w:p>
      <w:pPr>
        <w:pStyle w:val="ListNumber"/>
      </w:pPr>
      <w:r>
        <w:rPr>
          <w:rFonts w:ascii="Consolas" w:hAnsi="Consolas"/>
          <w:sz w:val="18"/>
        </w:rPr>
        <w:t>Logistica.Api</w:t>
      </w:r>
      <w:r>
        <w:t xml:space="preserve"> registra los seis módulos mediante </w:t>
      </w:r>
      <w:r>
        <w:rPr>
          <w:rFonts w:ascii="Consolas" w:hAnsi="Consolas"/>
          <w:sz w:val="18"/>
        </w:rPr>
        <w:t>Add&lt;Modulo&gt;Module()</w:t>
      </w:r>
      <w:r>
        <w:t xml:space="preserve"> y </w:t>
      </w:r>
      <w:r>
        <w:rPr>
          <w:rFonts w:ascii="Consolas" w:hAnsi="Consolas"/>
          <w:sz w:val="18"/>
        </w:rPr>
        <w:t>Map&lt;Modulo&gt;Endpoints()</w:t>
      </w:r>
      <w:r>
        <w:t>.</w:t>
      </w:r>
    </w:p>
    <w:p>
      <w:pPr>
        <w:pStyle w:val="ListNumber"/>
      </w:pPr>
      <w:r>
        <w:t>Existen pruebas automatizadas que fallan si Domain, Application o Infrastructure dependen de ASP.NET Core o de Presentation, o si Presentation depende de Infrastructure.</w:t>
      </w:r>
    </w:p>
    <w:p>
      <w:pPr>
        <w:pStyle w:val="ListNumber"/>
      </w:pPr>
      <w:r>
        <w:t>Las pruebas se ejecutan en el pipeline de integración continua.</w:t>
      </w:r>
    </w:p>
    <w:p>
      <w:pPr>
        <w:pStyle w:val="ListNumber"/>
      </w:pPr>
      <w:r>
        <w:t xml:space="preserve">Los proyectos </w:t>
      </w:r>
      <w:r>
        <w:rPr>
          <w:rFonts w:ascii="Consolas" w:hAnsi="Consolas"/>
          <w:sz w:val="18"/>
        </w:rPr>
        <w:t>Contracts</w:t>
      </w:r>
      <w:r>
        <w:t xml:space="preserve"> sólo contienen la interfaz </w:t>
      </w:r>
      <w:r>
        <w:rPr>
          <w:rFonts w:ascii="Consolas" w:hAnsi="Consolas"/>
          <w:sz w:val="18"/>
        </w:rPr>
        <w:t>I&lt;Modulo&gt;ModuleApi</w:t>
      </w:r>
      <w:r>
        <w:t xml:space="preserve"> y las carpetas </w:t>
      </w:r>
      <w:r>
        <w:rPr>
          <w:rFonts w:ascii="Consolas" w:hAnsi="Consolas"/>
          <w:sz w:val="18"/>
        </w:rPr>
        <w:t>Results/</w:t>
      </w:r>
      <w:r>
        <w:t xml:space="preserve"> y </w:t>
      </w:r>
      <w:r>
        <w:rPr>
          <w:rFonts w:ascii="Consolas" w:hAnsi="Consolas"/>
          <w:sz w:val="18"/>
        </w:rPr>
        <w:t>Events/</w:t>
      </w:r>
      <w:r>
        <w:t>, a medida que se necesitan.</w:t>
      </w:r>
    </w:p>
    <w:p>
      <w:r>
        <w:t>Los puntos 1 a 4 ya están implementados en el esqueleto de la solución (</w:t>
      </w:r>
      <w:r>
        <w:rPr>
          <w:rFonts w:ascii="Consolas" w:hAnsi="Consolas"/>
          <w:sz w:val="18"/>
        </w:rPr>
        <w:t>tests/Logistica.ArchitectureTests/ModuleDependencyTests.cs</w:t>
      </w:r>
      <w:r>
        <w:t>). El punto 5 se verifica en la revisión de código al agregar el primer contrato de cada módulo.</w:t>
      </w:r>
    </w:p>
    <w:p>
      <w:pPr>
        <w:pStyle w:val="Heading1"/>
      </w:pPr>
      <w:r>
        <w:t>6. Decisiones abiertas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Tema</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Por qué importa</w:t>
            </w:r>
          </w:p>
        </w:tc>
      </w:tr>
      <w:tr>
        <w:trPr>
          <w:cantSplit/>
        </w:trPr>
        <w:tc>
          <w:tcPr>
            <w:tcW w:type="dxa" w:w="4997"/>
            <w:vAlign w:val="center"/>
            <w:tcMar>
              <w:top w:w="90" w:type="dxa"/>
              <w:start w:w="110" w:type="dxa"/>
              <w:bottom w:w="90" w:type="dxa"/>
              <w:end w:w="110" w:type="dxa"/>
            </w:tcMar>
          </w:tcPr>
          <w:p>
            <w:pPr>
              <w:spacing w:after="0" w:line="252" w:lineRule="auto"/>
            </w:pPr>
            <w:r>
              <w:rPr>
                <w:strike/>
                <w:color w:val="000000"/>
                <w:sz w:val="19"/>
              </w:rPr>
              <w:t>Cómo invoca el Backoffice los casos de uso</w:t>
            </w:r>
          </w:p>
        </w:tc>
        <w:tc>
          <w:tcPr>
            <w:tcW w:type="dxa" w:w="4997"/>
            <w:vAlign w:val="center"/>
            <w:tcMar>
              <w:top w:w="90" w:type="dxa"/>
              <w:start w:w="110" w:type="dxa"/>
              <w:bottom w:w="90" w:type="dxa"/>
              <w:end w:w="110" w:type="dxa"/>
            </w:tcMar>
          </w:tcPr>
          <w:p>
            <w:pPr>
              <w:spacing w:after="0" w:line="252" w:lineRule="auto"/>
            </w:pPr>
            <w:r>
              <w:rPr>
                <w:color w:val="000000"/>
                <w:sz w:val="19"/>
              </w:rPr>
              <w:t xml:space="preserve">Resuelta en el addendum 4: el Backoffice se ejecuta en el mismo proceso que la API y sus páginas viven en la capa </w:t>
            </w:r>
            <w:r>
              <w:rPr>
                <w:rFonts w:ascii="Consolas" w:hAnsi="Consolas"/>
                <w:color w:val="000000"/>
                <w:sz w:val="18"/>
              </w:rPr>
              <w:t>Presentation</w:t>
            </w:r>
            <w:r>
              <w:rPr>
                <w:color w:val="000000"/>
                <w:sz w:val="19"/>
              </w:rPr>
              <w:t xml:space="preserve"> de cada módulo.</w:t>
            </w:r>
          </w:p>
        </w:tc>
      </w:tr>
    </w:tbl>
    <w:p>
      <w:pPr>
        <w:spacing w:after="0"/>
      </w:pPr>
    </w:p>
    <w:p>
      <w:pPr>
        <w:pStyle w:val="Heading1"/>
      </w:pPr>
      <w:r>
        <w:t>7. Historial de versiones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90" w:type="dxa"/>
              <w:start w:w="110" w:type="dxa"/>
              <w:bottom w:w="90" w:type="dxa"/>
              <w:end w:w="110" w:type="dxa"/>
            </w:tcMar>
            <w:shd w:fill="1F4E78"/>
          </w:tcPr>
          <w:p>
            <w:pPr>
              <w:spacing w:after="0" w:line="252" w:lineRule="auto"/>
            </w:pPr>
            <w:r>
              <w:rPr>
                <w:b/>
                <w:color w:val="FFFFFF"/>
                <w:sz w:val="19"/>
              </w:rPr>
              <w:t>Versión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Fecha</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Descripción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Responsable</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0.1</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Propuesta inicial del addendum.</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30/09/2026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Se incorpora la estructura de los proyectos Contracts (sección 2.6 y alternativa 3.4).</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0.3</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Se da por resuelta la decisión abierta sobre el Backoffice (addendum 4).</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0.4</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02/10/2026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Revisado y aceptado por el responsable del ADR-0001.</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Lucas Ottonello</w:t>
            </w:r>
          </w:p>
        </w:tc>
      </w:tr>
    </w:tbl>
    <w:p>
      <w:pPr>
        <w:spacing w:after="0"/>
      </w:pPr>
    </w:p>
    <w:p>
      <w:r>
        <w:br w:type="page"/>
      </w:r>
    </w:p>
    <w:p>
      <w:pPr>
        <w:pStyle w:val="Heading1"/>
      </w:pPr>
      <w:r>
        <w:t>ADR-0001 · Addendum 3 · Comunicación entre módulos y biblioteca de pruebas de arquitectura</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30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Autor</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Responsable del ADR-0001</w:t>
            </w:r>
          </w:p>
        </w:tc>
        <w:tc>
          <w:tcPr>
            <w:tcW w:type="dxa" w:w="4997"/>
            <w:vAlign w:val="center"/>
            <w:tcMar>
              <w:top w:w="90" w:type="dxa"/>
              <w:start w:w="110" w:type="dxa"/>
              <w:bottom w:w="90" w:type="dxa"/>
              <w:end w:w="110" w:type="dxa"/>
            </w:tcMar>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Equipo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Modifica</w:t>
            </w:r>
          </w:p>
        </w:tc>
        <w:tc>
          <w:tcPr>
            <w:tcW w:type="dxa" w:w="4997"/>
            <w:vAlign w:val="center"/>
            <w:tcMar>
              <w:top w:w="90" w:type="dxa"/>
              <w:start w:w="110" w:type="dxa"/>
              <w:bottom w:w="90" w:type="dxa"/>
              <w:end w:w="110" w:type="dxa"/>
            </w:tcMar>
          </w:tcPr>
          <w:p>
            <w:pPr>
              <w:spacing w:after="0" w:line="252" w:lineRule="auto"/>
            </w:pPr>
            <w:r>
              <w:rPr>
                <w:color w:val="000000"/>
                <w:sz w:val="19"/>
              </w:rPr>
              <w:t>ADR-0001, sección 2.4 (Regla de dependencias) y sección 6 (Compromisos de implementación)</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Relacionado con</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Guía de decisiones tecnológicas, secciones 2.4 y 8; Propuesta de stack, sección 2</w:t>
            </w:r>
          </w:p>
        </w:tc>
      </w:tr>
    </w:tbl>
    <w:p>
      <w:pPr>
        <w:spacing w:after="0"/>
      </w:pPr>
    </w:p>
    <w:p>
      <w:r>
        <w:rPr>
          <w:b/>
        </w:rPr>
        <w:t>Este addendum precisa cuándo se usa cada mecanismo de comunicación entre módulos -contratos síncronos, eventos en memoria u Outbox con RabbitMQ- y reemplaza NetArchTest.Rules por ArchUnitNET como biblioteca de pruebas de arquitectura.</w:t>
      </w:r>
    </w:p>
    <w:p>
      <w:pPr>
        <w:pStyle w:val="Heading1"/>
      </w:pPr>
      <w:r>
        <w:t>1. Contexto</w:t>
      </w:r>
    </w:p>
    <w:p>
      <w:pPr>
        <w:pStyle w:val="Heading2"/>
      </w:pPr>
      <w:r>
        <w:t>1.1 Comunicación entre módulos</w:t>
      </w:r>
    </w:p>
    <w:p>
      <w:r>
        <w:t>El ADR-0001, sección 2.4, establece que las reacciones posteriores entre módulos se resuelven con eventos internos y que la cola durable se reserva para el worker y para trabajos que requieran persistencia o reintentos. La Guía de decisiones tecnológicas, en cambio, indicaba que las reacciones posteriores entre módulos se resuelven con eventos por RabbitMQ.</w:t>
      </w:r>
    </w:p>
    <w:p>
      <w:r>
        <w:t>Ninguna de las dos redacciones responde con precisión cuándo un evento puede despacharse en memoria y cuándo debe ser durable. Usar RabbitMQ para toda interacción interna agregaría serialización, reintentos, mensajes duplicados y consistencia eventual incluso entre módulos que se ejecutan en el mismo proceso. Pero despachar en memoria una reacción imprescindible tiene el riesgo opuesto: si el módulo que reacciona falla, la reacción se pierde y los datos quedan inconsistentes.</w:t>
      </w:r>
    </w:p>
    <w:p>
      <w:r>
        <w:t>La documentación de Microsoft sobre arquitectura de microservicios y DDD en .NET hace la misma distinción: los eventos de dominio son normalmente internos al proceso, y los eventos de integración, asíncronos, se propagan a otros subsistemas. También advierte que usar mensajería real para eventos internos puede ser excesivo.</w:t>
      </w:r>
    </w:p>
    <w:p>
      <w:pPr>
        <w:pStyle w:val="Heading2"/>
      </w:pPr>
      <w:r>
        <w:t>1.2 Biblioteca de pruebas de arquitectura</w:t>
      </w:r>
    </w:p>
    <w:p>
      <w:r>
        <w:t>El ADR-0001 eligió NetArchTest.Rules. Al revisar el estado de ambas bibliotecas en NuGet el 30 de septiembre de 2026:</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90" w:type="dxa"/>
              <w:start w:w="110" w:type="dxa"/>
              <w:bottom w:w="90" w:type="dxa"/>
              <w:end w:w="110" w:type="dxa"/>
            </w:tcMar>
            <w:shd w:fill="1F4E78"/>
          </w:tcPr>
          <w:p>
            <w:pPr>
              <w:spacing w:after="0" w:line="252" w:lineRule="auto"/>
            </w:pPr>
            <w:r>
              <w:rPr>
                <w:b/>
                <w:color w:val="FFFFFF"/>
                <w:sz w:val="19"/>
              </w:rPr>
              <w:t>Biblioteca</w:t>
            </w:r>
          </w:p>
        </w:tc>
        <w:tc>
          <w:tcPr>
            <w:tcW w:type="dxa" w:w="3331"/>
            <w:vAlign w:val="center"/>
            <w:tcMar>
              <w:top w:w="90" w:type="dxa"/>
              <w:start w:w="110" w:type="dxa"/>
              <w:bottom w:w="90" w:type="dxa"/>
              <w:end w:w="110" w:type="dxa"/>
            </w:tcMar>
            <w:shd w:fill="1F4E78"/>
          </w:tcPr>
          <w:p>
            <w:pPr>
              <w:spacing w:after="0" w:line="252" w:lineRule="auto"/>
            </w:pPr>
            <w:r>
              <w:rPr>
                <w:b/>
                <w:color w:val="FFFFFF"/>
                <w:sz w:val="19"/>
              </w:rPr>
              <w:t>Última versión</w:t>
            </w:r>
          </w:p>
        </w:tc>
        <w:tc>
          <w:tcPr>
            <w:tcW w:type="dxa" w:w="3331"/>
            <w:vAlign w:val="center"/>
            <w:tcMar>
              <w:top w:w="90" w:type="dxa"/>
              <w:start w:w="110" w:type="dxa"/>
              <w:bottom w:w="90" w:type="dxa"/>
              <w:end w:w="110" w:type="dxa"/>
            </w:tcMar>
            <w:shd w:fill="1F4E78"/>
          </w:tcPr>
          <w:p>
            <w:pPr>
              <w:spacing w:after="0" w:line="252" w:lineRule="auto"/>
            </w:pPr>
            <w:r>
              <w:rPr>
                <w:b/>
                <w:color w:val="FFFFFF"/>
                <w:sz w:val="19"/>
              </w:rPr>
              <w:t>Fecha de publicación</w:t>
            </w:r>
          </w:p>
        </w:tc>
      </w:tr>
      <w:tr>
        <w:trPr>
          <w:cantSplit/>
        </w:trPr>
        <w:tc>
          <w:tcPr>
            <w:tcW w:type="dxa" w:w="3331"/>
            <w:vAlign w:val="center"/>
            <w:tcMar>
              <w:top w:w="90" w:type="dxa"/>
              <w:start w:w="110" w:type="dxa"/>
              <w:bottom w:w="90" w:type="dxa"/>
              <w:end w:w="110" w:type="dxa"/>
            </w:tcMar>
          </w:tcPr>
          <w:p>
            <w:pPr>
              <w:spacing w:after="0" w:line="252" w:lineRule="auto"/>
            </w:pPr>
            <w:r>
              <w:rPr>
                <w:color w:val="000000"/>
                <w:sz w:val="19"/>
              </w:rPr>
              <w:t>NetArchTest.Rules</w:t>
            </w:r>
          </w:p>
        </w:tc>
        <w:tc>
          <w:tcPr>
            <w:tcW w:type="dxa" w:w="3331"/>
            <w:vAlign w:val="center"/>
            <w:tcMar>
              <w:top w:w="90" w:type="dxa"/>
              <w:start w:w="110" w:type="dxa"/>
              <w:bottom w:w="90" w:type="dxa"/>
              <w:end w:w="110" w:type="dxa"/>
            </w:tcMar>
          </w:tcPr>
          <w:p>
            <w:pPr>
              <w:spacing w:after="0" w:line="252" w:lineRule="auto"/>
            </w:pPr>
            <w:r>
              <w:rPr>
                <w:color w:val="000000"/>
                <w:sz w:val="19"/>
              </w:rPr>
              <w:t>1.3.2</w:t>
            </w:r>
          </w:p>
        </w:tc>
        <w:tc>
          <w:tcPr>
            <w:tcW w:type="dxa" w:w="3331"/>
            <w:vAlign w:val="center"/>
            <w:tcMar>
              <w:top w:w="90" w:type="dxa"/>
              <w:start w:w="110" w:type="dxa"/>
              <w:bottom w:w="90" w:type="dxa"/>
              <w:end w:w="110" w:type="dxa"/>
            </w:tcMar>
          </w:tcPr>
          <w:p>
            <w:pPr>
              <w:spacing w:after="0" w:line="252" w:lineRule="auto"/>
            </w:pPr>
            <w:r>
              <w:rPr>
                <w:color w:val="000000"/>
                <w:sz w:val="19"/>
              </w:rPr>
              <w:t>23 de mayo de 2021</w:t>
            </w:r>
          </w:p>
        </w:tc>
      </w:tr>
      <w:tr>
        <w:trPr>
          <w:cantSplit/>
        </w:trPr>
        <w:tc>
          <w:tcPr>
            <w:tcW w:type="dxa" w:w="3331"/>
            <w:vAlign w:val="center"/>
            <w:tcMar>
              <w:top w:w="90" w:type="dxa"/>
              <w:start w:w="110" w:type="dxa"/>
              <w:bottom w:w="90" w:type="dxa"/>
              <w:end w:w="110" w:type="dxa"/>
            </w:tcMar>
            <w:shd w:fill="EAF2F8"/>
          </w:tcPr>
          <w:p>
            <w:pPr>
              <w:spacing w:after="0" w:line="252" w:lineRule="auto"/>
            </w:pPr>
            <w:r>
              <w:rPr>
                <w:color w:val="000000"/>
                <w:sz w:val="19"/>
              </w:rPr>
              <w:t>TngTech.ArchUnitNET y TngTech.ArchUnitNET.xUnit</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0.13.4</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20 de agosto de 2026</w:t>
            </w:r>
          </w:p>
        </w:tc>
      </w:tr>
    </w:tbl>
    <w:p>
      <w:pPr>
        <w:spacing w:after="0"/>
      </w:pPr>
    </w:p>
    <w:p>
      <w:r>
        <w:t>NetArchTest.Rules no publica versiones desde hace más de cinco años. ArchUnitNET se mantiene activamente y ofrece reglas más expresivas sobre tipos, namespaces, ensamblados y miembros.</w:t>
      </w:r>
    </w:p>
    <w:p>
      <w:r>
        <w:t>Las pruebas de arquitectura estaban implementadas con NetArchTest.Rules desde el esqueleto de la solución, pero los módulos todavía no tienen código, por lo que el costo del cambio se limita a reescribir dos archivos de pruebas.</w:t>
      </w:r>
    </w:p>
    <w:p>
      <w:pPr>
        <w:pStyle w:val="Heading1"/>
      </w:pPr>
      <w:r>
        <w:t>2. Decisión</w:t>
      </w:r>
    </w:p>
    <w:p>
      <w:pPr>
        <w:pStyle w:val="Heading2"/>
      </w:pPr>
      <w:r>
        <w:t>2.1 Comunicación entre módulos (reemplaza las viñetas correspondientes de la sección 2.4 del ADR-0001)</w:t>
      </w:r>
    </w:p>
    <w:p>
      <w:r>
        <w:t>Los eventos de dominio internos se despacharán en memoria. La comunicación síncrona entre módulos se realizará mediante contratos públicos. Los eventos de integración que requieran procesamiento durable, ejecución en el Worker o comunicación con sistemas externos se registrarán mediante el patrón Outbox y se publicarán en RabbitMQ. RabbitMQ no se utilizará para todas las interacciones internas del monolito.</w:t>
      </w:r>
    </w:p>
    <w:p>
      <w:r>
        <w:t>Para decidir entre un evento en memoria y uno durable se aplica esta regla:</w:t>
      </w:r>
    </w:p>
    <w:p>
      <w:r>
        <w:rPr>
          <w:b/>
        </w:rPr>
        <w:t>Si perder la reacción deja datos inconsistentes, la reacción se publica mediante Outbox. Si la reacción puede perderse sin consecuencias, puede despacharse en memoria.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90" w:type="dxa"/>
              <w:start w:w="110" w:type="dxa"/>
              <w:bottom w:w="90" w:type="dxa"/>
              <w:end w:w="110" w:type="dxa"/>
            </w:tcMar>
            <w:shd w:fill="1F4E78"/>
          </w:tcPr>
          <w:p>
            <w:pPr>
              <w:spacing w:after="0" w:line="252" w:lineRule="auto"/>
            </w:pPr>
            <w:r>
              <w:rPr>
                <w:b/>
                <w:color w:val="FFFFFF"/>
                <w:sz w:val="19"/>
              </w:rPr>
              <w:t>Necesidad</w:t>
            </w:r>
          </w:p>
        </w:tc>
        <w:tc>
          <w:tcPr>
            <w:tcW w:type="dxa" w:w="3331"/>
            <w:vAlign w:val="center"/>
            <w:tcMar>
              <w:top w:w="90" w:type="dxa"/>
              <w:start w:w="110" w:type="dxa"/>
              <w:bottom w:w="90" w:type="dxa"/>
              <w:end w:w="110" w:type="dxa"/>
            </w:tcMar>
            <w:shd w:fill="1F4E78"/>
          </w:tcPr>
          <w:p>
            <w:pPr>
              <w:spacing w:after="0" w:line="252" w:lineRule="auto"/>
            </w:pPr>
            <w:r>
              <w:rPr>
                <w:b/>
                <w:color w:val="FFFFFF"/>
                <w:sz w:val="19"/>
              </w:rPr>
              <w:t>Mecanismo</w:t>
            </w:r>
          </w:p>
        </w:tc>
        <w:tc>
          <w:tcPr>
            <w:tcW w:type="dxa" w:w="3331"/>
            <w:vAlign w:val="center"/>
            <w:tcMar>
              <w:top w:w="90" w:type="dxa"/>
              <w:start w:w="110" w:type="dxa"/>
              <w:bottom w:w="90" w:type="dxa"/>
              <w:end w:w="110" w:type="dxa"/>
            </w:tcMar>
            <w:shd w:fill="1F4E78"/>
          </w:tcPr>
          <w:p>
            <w:pPr>
              <w:spacing w:after="0" w:line="252" w:lineRule="auto"/>
            </w:pPr>
            <w:r>
              <w:rPr>
                <w:b/>
                <w:color w:val="FFFFFF"/>
                <w:sz w:val="19"/>
              </w:rPr>
              <w:t>Ejemplo</w:t>
            </w:r>
          </w:p>
        </w:tc>
      </w:tr>
      <w:tr>
        <w:trPr>
          <w:cantSplit/>
        </w:trPr>
        <w:tc>
          <w:tcPr>
            <w:tcW w:type="dxa" w:w="3331"/>
            <w:vAlign w:val="center"/>
            <w:tcMar>
              <w:top w:w="90" w:type="dxa"/>
              <w:start w:w="110" w:type="dxa"/>
              <w:bottom w:w="90" w:type="dxa"/>
              <w:end w:w="110" w:type="dxa"/>
            </w:tcMar>
          </w:tcPr>
          <w:p>
            <w:pPr>
              <w:spacing w:after="0" w:line="252" w:lineRule="auto"/>
            </w:pPr>
            <w:r>
              <w:rPr>
                <w:color w:val="000000"/>
                <w:sz w:val="19"/>
              </w:rPr>
              <w:t>Consulta o respuesta inmediata</w:t>
            </w:r>
          </w:p>
        </w:tc>
        <w:tc>
          <w:tcPr>
            <w:tcW w:type="dxa" w:w="3331"/>
            <w:vAlign w:val="center"/>
            <w:tcMar>
              <w:top w:w="90" w:type="dxa"/>
              <w:start w:w="110" w:type="dxa"/>
              <w:bottom w:w="90" w:type="dxa"/>
              <w:end w:w="110" w:type="dxa"/>
            </w:tcMar>
          </w:tcPr>
          <w:p>
            <w:pPr>
              <w:spacing w:after="0" w:line="252" w:lineRule="auto"/>
            </w:pPr>
            <w:r>
              <w:rPr>
                <w:color w:val="000000"/>
                <w:sz w:val="19"/>
              </w:rPr>
              <w:t xml:space="preserve">Contrato síncrono en memoria, publicado en </w:t>
            </w:r>
            <w:r>
              <w:rPr>
                <w:rFonts w:ascii="Consolas" w:hAnsi="Consolas"/>
                <w:color w:val="000000"/>
                <w:sz w:val="18"/>
              </w:rPr>
              <w:t>Contracts</w:t>
            </w:r>
          </w:p>
        </w:tc>
        <w:tc>
          <w:tcPr>
            <w:tcW w:type="dxa" w:w="3331"/>
            <w:vAlign w:val="center"/>
            <w:tcMar>
              <w:top w:w="90" w:type="dxa"/>
              <w:start w:w="110" w:type="dxa"/>
              <w:bottom w:w="90" w:type="dxa"/>
              <w:end w:w="110" w:type="dxa"/>
            </w:tcMar>
          </w:tcPr>
          <w:p>
            <w:pPr>
              <w:spacing w:after="0" w:line="252" w:lineRule="auto"/>
            </w:pPr>
            <w:r>
              <w:rPr>
                <w:color w:val="000000"/>
                <w:sz w:val="19"/>
              </w:rPr>
              <w:t>Planificación consulta si un envío puede asignarse a una ruta.</w:t>
            </w:r>
          </w:p>
        </w:tc>
      </w:tr>
      <w:tr>
        <w:trPr>
          <w:cantSplit/>
        </w:trPr>
        <w:tc>
          <w:tcPr>
            <w:tcW w:type="dxa" w:w="3331"/>
            <w:vAlign w:val="center"/>
            <w:tcMar>
              <w:top w:w="90" w:type="dxa"/>
              <w:start w:w="110" w:type="dxa"/>
              <w:bottom w:w="90" w:type="dxa"/>
              <w:end w:w="110" w:type="dxa"/>
            </w:tcMar>
            <w:shd w:fill="EAF2F8"/>
          </w:tcPr>
          <w:p>
            <w:pPr>
              <w:spacing w:after="0" w:line="252" w:lineRule="auto"/>
            </w:pPr>
            <w:r>
              <w:rPr>
                <w:color w:val="000000"/>
                <w:sz w:val="19"/>
              </w:rPr>
              <w:t>Reacción que puede perderse sin dejar datos inconsistentes</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Evento de dominio en memoria</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Al cambiar el estado de un envío se invalida la caché del seguimiento público; si falla, la caché expira sola.</w:t>
            </w:r>
          </w:p>
        </w:tc>
      </w:tr>
      <w:tr>
        <w:trPr>
          <w:cantSplit/>
        </w:trPr>
        <w:tc>
          <w:tcPr>
            <w:tcW w:type="dxa" w:w="3331"/>
            <w:vAlign w:val="center"/>
            <w:tcMar>
              <w:top w:w="90" w:type="dxa"/>
              <w:start w:w="110" w:type="dxa"/>
              <w:bottom w:w="90" w:type="dxa"/>
              <w:end w:w="110" w:type="dxa"/>
            </w:tcMar>
          </w:tcPr>
          <w:p>
            <w:pPr>
              <w:spacing w:after="0" w:line="252" w:lineRule="auto"/>
            </w:pPr>
            <w:r>
              <w:rPr>
                <w:color w:val="000000"/>
                <w:sz w:val="19"/>
              </w:rPr>
              <w:t>Reacción que no puede perderse</w:t>
            </w:r>
          </w:p>
        </w:tc>
        <w:tc>
          <w:tcPr>
            <w:tcW w:type="dxa" w:w="3331"/>
            <w:vAlign w:val="center"/>
            <w:tcMar>
              <w:top w:w="90" w:type="dxa"/>
              <w:start w:w="110" w:type="dxa"/>
              <w:bottom w:w="90" w:type="dxa"/>
              <w:end w:w="110" w:type="dxa"/>
            </w:tcMar>
          </w:tcPr>
          <w:p>
            <w:pPr>
              <w:spacing w:after="0" w:line="252" w:lineRule="auto"/>
            </w:pPr>
            <w:r>
              <w:rPr>
                <w:color w:val="000000"/>
                <w:sz w:val="19"/>
              </w:rPr>
              <w:t>Outbox y RabbitMQ</w:t>
            </w:r>
          </w:p>
        </w:tc>
        <w:tc>
          <w:tcPr>
            <w:tcW w:type="dxa" w:w="3331"/>
            <w:vAlign w:val="center"/>
            <w:tcMar>
              <w:top w:w="90" w:type="dxa"/>
              <w:start w:w="110" w:type="dxa"/>
              <w:bottom w:w="90" w:type="dxa"/>
              <w:end w:w="110" w:type="dxa"/>
            </w:tcMar>
          </w:tcPr>
          <w:p>
            <w:pPr>
              <w:spacing w:after="0" w:line="252" w:lineRule="auto"/>
            </w:pPr>
            <w:r>
              <w:rPr>
                <w:color w:val="000000"/>
                <w:sz w:val="19"/>
              </w:rPr>
              <w:t>Cuando Envíos registra una entrega, Depósito y liquidaciones incorpora el envío a la liquidación del comercio.</w:t>
            </w:r>
          </w:p>
        </w:tc>
      </w:tr>
      <w:tr>
        <w:trPr>
          <w:cantSplit/>
        </w:trPr>
        <w:tc>
          <w:tcPr>
            <w:tcW w:type="dxa" w:w="3331"/>
            <w:vAlign w:val="center"/>
            <w:tcMar>
              <w:top w:w="90" w:type="dxa"/>
              <w:start w:w="110" w:type="dxa"/>
              <w:bottom w:w="90" w:type="dxa"/>
              <w:end w:w="110" w:type="dxa"/>
            </w:tcMar>
            <w:shd w:fill="EAF2F8"/>
          </w:tcPr>
          <w:p>
            <w:pPr>
              <w:spacing w:after="0" w:line="252" w:lineRule="auto"/>
            </w:pPr>
            <w:r>
              <w:rPr>
                <w:color w:val="000000"/>
                <w:sz w:val="19"/>
              </w:rPr>
              <w:t>Trabajo en el Worker o con sistemas externos</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Outbox, RabbitMQ y Worker</w:t>
            </w:r>
          </w:p>
        </w:tc>
        <w:tc>
          <w:tcPr>
            <w:tcW w:type="dxa" w:w="3331"/>
            <w:vAlign w:val="center"/>
            <w:tcMar>
              <w:top w:w="90" w:type="dxa"/>
              <w:start w:w="110" w:type="dxa"/>
              <w:bottom w:w="90" w:type="dxa"/>
              <w:end w:w="110" w:type="dxa"/>
            </w:tcMar>
            <w:shd w:fill="EAF2F8"/>
          </w:tcPr>
          <w:p>
            <w:pPr>
              <w:spacing w:after="0" w:line="252" w:lineRule="auto"/>
            </w:pPr>
            <w:r>
              <w:rPr>
                <w:color w:val="000000"/>
                <w:sz w:val="19"/>
              </w:rPr>
              <w:t>Notificaciones al destinatario y webhooks a los comercios.</w:t>
            </w:r>
          </w:p>
        </w:tc>
      </w:tr>
    </w:tbl>
    <w:p>
      <w:pPr>
        <w:spacing w:after="0"/>
      </w:pPr>
    </w:p>
    <w:p>
      <w:r>
        <w:rPr>
          <w:b/>
        </w:rPr>
        <w:t>Transacción única en las llamadas síncronas.</w:t>
      </w:r>
      <w:r>
        <w:t xml:space="preserve"> Cuando un caso de uso invoca a otro módulo mediante su contrato síncrono y ambos modifican datos, los dos cambios se guardan en una sola transacción: los </w:t>
      </w:r>
      <w:r>
        <w:rPr>
          <w:rFonts w:ascii="Consolas" w:hAnsi="Consolas"/>
          <w:sz w:val="18"/>
        </w:rPr>
        <w:t>DbContext</w:t>
      </w:r>
      <w:r>
        <w:t xml:space="preserve"> de los módulos comparten la conexión a la misma base PostgreSQL. Si cualquiera de los dos falla, se revierten ambos.</w:t>
      </w:r>
    </w:p>
    <w:p>
      <w:r>
        <w:t xml:space="preserve">Se mantienen sin cambios las demás reglas de la sección 2.4: no se usan llamadas HTTP entre módulos, y un módulo sólo puede usar el proyecto </w:t>
      </w:r>
      <w:r>
        <w:rPr>
          <w:rFonts w:ascii="Consolas" w:hAnsi="Consolas"/>
          <w:sz w:val="18"/>
        </w:rPr>
        <w:t>Contracts</w:t>
      </w:r>
      <w:r>
        <w:t xml:space="preserve"> de otro.</w:t>
      </w:r>
    </w:p>
    <w:p>
      <w:pPr>
        <w:pStyle w:val="Heading2"/>
      </w:pPr>
      <w:r>
        <w:t>2.2 Biblioteca de pruebas de arquitectura (reemplaza la mención a NetArchTest.Rules en las secciones 2.4 y 6 del ADR-0001)</w:t>
      </w:r>
    </w:p>
    <w:p>
      <w:r>
        <w:t xml:space="preserve">Las reglas de dependencias se verificarán mediante un proyecto de pruebas con </w:t>
      </w:r>
      <w:r>
        <w:rPr>
          <w:b/>
        </w:rPr>
        <w:t>xUnit y ArchUnitNET</w:t>
      </w:r>
      <w:r>
        <w:t xml:space="preserve"> (</w:t>
      </w:r>
      <w:r>
        <w:rPr>
          <w:rFonts w:ascii="Consolas" w:hAnsi="Consolas"/>
          <w:sz w:val="18"/>
        </w:rPr>
        <w:t>TngTech.ArchUnitNET.xUnit</w:t>
      </w:r>
      <w:r>
        <w:t xml:space="preserve">), ejecutado con </w:t>
      </w:r>
      <w:r>
        <w:rPr>
          <w:rFonts w:ascii="Consolas" w:hAnsi="Consolas"/>
          <w:sz w:val="18"/>
        </w:rPr>
        <w:t>dotnet test</w:t>
      </w:r>
      <w:r>
        <w:t xml:space="preserve"> en el pipeline de integración continua.</w:t>
      </w:r>
    </w:p>
    <w:p>
      <w:r>
        <w:t xml:space="preserve">El aislamiento entre módulos se verifica con una regla por módulo: los tipos de </w:t>
      </w:r>
      <w:r>
        <w:rPr>
          <w:rFonts w:ascii="Consolas" w:hAnsi="Consolas"/>
          <w:sz w:val="18"/>
        </w:rPr>
        <w:t>Logistica.Modules.&lt;Modulo&gt;</w:t>
      </w:r>
      <w:r>
        <w:t xml:space="preserve"> no pueden depender de los namespaces </w:t>
      </w:r>
      <w:r>
        <w:rPr>
          <w:rFonts w:ascii="Consolas" w:hAnsi="Consolas"/>
          <w:sz w:val="18"/>
        </w:rPr>
        <w:t>Domain</w:t>
      </w:r>
      <w:r>
        <w:t xml:space="preserve">, </w:t>
      </w:r>
      <w:r>
        <w:rPr>
          <w:rFonts w:ascii="Consolas" w:hAnsi="Consolas"/>
          <w:sz w:val="18"/>
        </w:rPr>
        <w:t>Application</w:t>
      </w:r>
      <w:r>
        <w:t xml:space="preserve">, </w:t>
      </w:r>
      <w:r>
        <w:rPr>
          <w:rFonts w:ascii="Consolas" w:hAnsi="Consolas"/>
          <w:sz w:val="18"/>
        </w:rPr>
        <w:t>Infrastructure</w:t>
      </w:r>
      <w:r>
        <w:t xml:space="preserve"> ni </w:t>
      </w:r>
      <w:r>
        <w:rPr>
          <w:rFonts w:ascii="Consolas" w:hAnsi="Consolas"/>
          <w:sz w:val="18"/>
        </w:rPr>
        <w:t>Presentation</w:t>
      </w:r>
      <w:r>
        <w:t xml:space="preserve"> de ningún otro módulo. Los proyectos </w:t>
      </w:r>
      <w:r>
        <w:rPr>
          <w:rFonts w:ascii="Consolas" w:hAnsi="Consolas"/>
          <w:sz w:val="18"/>
        </w:rPr>
        <w:t>Contracts</w:t>
      </w:r>
      <w:r>
        <w:t xml:space="preserve"> no se cargan en la arquitectura analizada, de modo que usar el </w:t>
      </w:r>
      <w:r>
        <w:rPr>
          <w:rFonts w:ascii="Consolas" w:hAnsi="Consolas"/>
          <w:sz w:val="18"/>
        </w:rPr>
        <w:t>Contracts</w:t>
      </w:r>
      <w:r>
        <w:t xml:space="preserve"> de otro módulo está permitido y usar cualquier otra parte de ese módulo hace fallar la prueba.</w:t>
      </w:r>
    </w:p>
    <w:p>
      <w:r>
        <w:t xml:space="preserve">Se evaluó expresar esta regla con las reglas de </w:t>
      </w:r>
      <w:r>
        <w:rPr>
          <w:i/>
        </w:rPr>
        <w:t>slices</w:t>
      </w:r>
      <w:r>
        <w:t xml:space="preserve"> de ArchUnitNET (</w:t>
      </w:r>
      <w:r>
        <w:rPr>
          <w:rFonts w:ascii="Consolas" w:hAnsi="Consolas"/>
          <w:sz w:val="18"/>
        </w:rPr>
        <w:t>Slices().Matching("Logistica.Modules.(*)..")</w:t>
      </w:r>
      <w:r>
        <w:t xml:space="preserve">), pero en la versión 0.13.4 el patrón agrupa cada sub-namespace como un slice distinto: una página de </w:t>
      </w:r>
      <w:r>
        <w:rPr>
          <w:rFonts w:ascii="Consolas" w:hAnsi="Consolas"/>
          <w:sz w:val="18"/>
        </w:rPr>
        <w:t>Presentation</w:t>
      </w:r>
      <w:r>
        <w:t xml:space="preserve"> que usa un handler de </w:t>
      </w:r>
      <w:r>
        <w:rPr>
          <w:rFonts w:ascii="Consolas" w:hAnsi="Consolas"/>
          <w:sz w:val="18"/>
        </w:rPr>
        <w:t>Application</w:t>
      </w:r>
      <w:r>
        <w:t xml:space="preserve"> del mismo módulo se reportaba como dependencia entre módulos. Se detectó al verificar el Backoffice (addendum 4) y se reemplazó por la regla explícita por módulo.</w:t>
      </w:r>
    </w:p>
    <w:p>
      <w:pPr>
        <w:pStyle w:val="Heading1"/>
      </w:pPr>
      <w:r>
        <w:t>3. Alternativas consideradas</w:t>
      </w:r>
    </w:p>
    <w:p>
      <w:pPr>
        <w:pStyle w:val="Heading2"/>
      </w:pPr>
      <w:r>
        <w:t>3.1 RabbitMQ para toda la comunicación entre módulos</w:t>
      </w:r>
    </w:p>
    <w:p>
      <w:r>
        <w:rPr>
          <w:b/>
        </w:rPr>
        <w:t>Motivo de descarte:</w:t>
      </w:r>
      <w:r>
        <w:t xml:space="preserve"> agrega serialización, reintentos, duplicados y consistencia eventual a interacciones que ocurren dentro del mismo proceso, sin beneficio para el alcance del laboratorio.</w:t>
      </w:r>
    </w:p>
    <w:p>
      <w:pPr>
        <w:pStyle w:val="Heading2"/>
      </w:pPr>
      <w:r>
        <w:t>3.2 Todos los eventos entre módulos en memoria</w:t>
      </w:r>
    </w:p>
    <w:p>
      <w:r>
        <w:rPr>
          <w:b/>
        </w:rPr>
        <w:t>Motivo de descarte:</w:t>
      </w:r>
      <w:r>
        <w:t xml:space="preserve"> una reacción imprescindible, como la incorporación de un envío entregado a la liquidación, se perdería si el módulo que reacciona falla después de que el primer módulo confirmó su transacción.</w:t>
      </w:r>
    </w:p>
    <w:p>
      <w:pPr>
        <w:pStyle w:val="Heading2"/>
      </w:pPr>
      <w:r>
        <w:t>3.3 Mantener NetArchTest.Rules</w:t>
      </w:r>
    </w:p>
    <w:p>
      <w:r>
        <w:rPr>
          <w:b/>
        </w:rPr>
        <w:t>Motivo de descarte:</w:t>
      </w:r>
      <w:r>
        <w:t xml:space="preserve"> cubre las reglas básicas, pero no publica versiones desde 2021. Siendo bajo el costo del cambio en este momento, se prefiere una biblioteca mantenida activamente.</w:t>
      </w:r>
    </w:p>
    <w:p>
      <w:pPr>
        <w:pStyle w:val="Heading1"/>
      </w:pPr>
      <w:r>
        <w:t>4. Consecuencias</w:t>
      </w:r>
    </w:p>
    <w:p>
      <w:pPr>
        <w:pStyle w:val="Heading2"/>
      </w:pPr>
      <w:r>
        <w:t>4.1 Positivas</w:t>
      </w:r>
    </w:p>
    <w:p>
      <w:pPr>
        <w:pStyle w:val="ListBullet"/>
      </w:pPr>
      <w:r>
        <w:t>Cada interacción entre módulos tiene un criterio explícito para elegir su mecanismo.</w:t>
      </w:r>
    </w:p>
    <w:p>
      <w:pPr>
        <w:pStyle w:val="ListBullet"/>
      </w:pPr>
      <w:r>
        <w:t>Las reacciones imprescindibles no se pierden ante fallos.</w:t>
      </w:r>
    </w:p>
    <w:p>
      <w:pPr>
        <w:pStyle w:val="ListBullet"/>
      </w:pPr>
      <w:r>
        <w:t>RabbitMQ se usa donde aporta durabilidad, no por defecto.</w:t>
      </w:r>
    </w:p>
    <w:p>
      <w:pPr>
        <w:pStyle w:val="ListBullet"/>
      </w:pPr>
      <w:r>
        <w:t>La biblioteca de pruebas de arquitectura está mantenida activamente.</w:t>
      </w:r>
    </w:p>
    <w:p>
      <w:pPr>
        <w:pStyle w:val="Heading2"/>
      </w:pPr>
      <w:r>
        <w:t>4.2 Negativas y riesgos</w:t>
      </w:r>
    </w:p>
    <w:p>
      <w:pPr>
        <w:pStyle w:val="ListBullet"/>
      </w:pPr>
      <w:r>
        <w:t>Las reacciones por Outbox son eventualmente consistentes: entre el cambio original y la reacción puede pasar un tiempo, y el consumidor debe ser idempotente.</w:t>
      </w:r>
    </w:p>
    <w:p>
      <w:pPr>
        <w:pStyle w:val="ListBullet"/>
      </w:pPr>
      <w:r>
        <w:t>Clasificar una reacción como descartable cuando no lo es produce inconsistencias difíciles de detectar. Ante la duda, se usa Outbox.</w:t>
      </w:r>
    </w:p>
    <w:p>
      <w:pPr>
        <w:pStyle w:val="ListBullet"/>
      </w:pPr>
      <w:r>
        <w:t xml:space="preserve">ArchUnitNET todavía está en versiones 0.x y su API puede cambiar entre versiones. Se mitiga fijando la versión en </w:t>
      </w:r>
      <w:r>
        <w:rPr>
          <w:rFonts w:ascii="Consolas" w:hAnsi="Consolas"/>
          <w:sz w:val="18"/>
        </w:rPr>
        <w:t>Directory.Packages.props</w:t>
      </w:r>
      <w:r>
        <w:t>.</w:t>
      </w:r>
    </w:p>
    <w:p>
      <w:pPr>
        <w:pStyle w:val="Heading1"/>
      </w:pPr>
      <w:r>
        <w:t>5. Verificación</w:t>
      </w:r>
    </w:p>
    <w:p>
      <w:pPr>
        <w:pStyle w:val="ListNumber"/>
      </w:pPr>
      <w:r>
        <w:t>La Guía de decisiones tecnológicas (sección 2.4) y la Propuesta de stack (sección 2) reflejan este addendum.</w:t>
      </w:r>
    </w:p>
    <w:p>
      <w:pPr>
        <w:pStyle w:val="ListNumber"/>
      </w:pPr>
      <w:r>
        <w:t>Las pruebas de arquitectura usan ArchUnitNET (</w:t>
      </w:r>
      <w:r>
        <w:rPr>
          <w:rFonts w:ascii="Consolas" w:hAnsi="Consolas"/>
          <w:sz w:val="18"/>
        </w:rPr>
        <w:t>tests/Logistica.ArchitectureTests</w:t>
      </w:r>
      <w:r>
        <w:t>).</w:t>
      </w:r>
    </w:p>
    <w:p>
      <w:pPr>
        <w:pStyle w:val="ListNumber"/>
      </w:pPr>
      <w:r>
        <w:t xml:space="preserve">Existe una prueba que falla si un módulo depende de algo distinto del </w:t>
      </w:r>
      <w:r>
        <w:rPr>
          <w:rFonts w:ascii="Consolas" w:hAnsi="Consolas"/>
          <w:sz w:val="18"/>
        </w:rPr>
        <w:t>Contracts</w:t>
      </w:r>
      <w:r>
        <w:t xml:space="preserve"> de otro módulo, y que no falla si usa ese </w:t>
      </w:r>
      <w:r>
        <w:rPr>
          <w:rFonts w:ascii="Consolas" w:hAnsi="Consolas"/>
          <w:sz w:val="18"/>
        </w:rPr>
        <w:t>Contracts</w:t>
      </w:r>
      <w:r>
        <w:t>.</w:t>
      </w:r>
    </w:p>
    <w:p>
      <w:r>
        <w:t xml:space="preserve">Los puntos 1 a 3 ya están implementados. Se verificó con pruebas de mutación que las reglas detectan un Domain que usa ASP.NET Core y un módulo que usa el Domain de otro, y que no marcan como error el uso del </w:t>
      </w:r>
      <w:r>
        <w:rPr>
          <w:rFonts w:ascii="Consolas" w:hAnsi="Consolas"/>
          <w:sz w:val="18"/>
        </w:rPr>
        <w:t>Contracts</w:t>
      </w:r>
      <w:r>
        <w:t xml:space="preserve"> de otro módulo.</w:t>
      </w:r>
    </w:p>
    <w:p>
      <w:pPr>
        <w:pStyle w:val="Heading1"/>
      </w:pPr>
      <w:r>
        <w:t>6. Referencias</w:t>
      </w:r>
    </w:p>
    <w:p>
      <w:pPr>
        <w:pStyle w:val="ListBullet"/>
      </w:pPr>
      <w:r>
        <w:t xml:space="preserve">Microsoft Learn. </w:t>
      </w:r>
      <w:r>
        <w:rPr>
          <w:i/>
        </w:rPr>
        <w:t>Domain events: design and implementation</w:t>
      </w:r>
      <w:r>
        <w:t xml:space="preserve"> (.NET Microservices: Architecture for Containerized .NET Applications).</w:t>
      </w:r>
    </w:p>
    <w:p>
      <w:pPr>
        <w:pStyle w:val="ListBullet"/>
      </w:pPr>
      <w:r>
        <w:t>Repositorio y paquetes NuGet de ArchUnitNET (TNG Technology Consulting).</w:t>
      </w:r>
    </w:p>
    <w:p>
      <w:pPr>
        <w:pStyle w:val="ListBullet"/>
      </w:pPr>
      <w:r>
        <w:t>Repositorio y paquete NuGet de NetArchTest.Rules.</w:t>
      </w:r>
    </w:p>
    <w:p>
      <w:pPr>
        <w:pStyle w:val="Heading1"/>
      </w:pPr>
      <w:r>
        <w:t>7. Historial de versiones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90" w:type="dxa"/>
              <w:start w:w="110" w:type="dxa"/>
              <w:bottom w:w="90" w:type="dxa"/>
              <w:end w:w="110" w:type="dxa"/>
            </w:tcMar>
            <w:shd w:fill="1F4E78"/>
          </w:tcPr>
          <w:p>
            <w:pPr>
              <w:spacing w:after="0" w:line="252" w:lineRule="auto"/>
            </w:pPr>
            <w:r>
              <w:rPr>
                <w:b/>
                <w:color w:val="FFFFFF"/>
                <w:sz w:val="19"/>
              </w:rPr>
              <w:t>Versión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Fecha</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Descripción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Responsable</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0.1</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Propuesta inicial del addendum.</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30/09/2026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La regla de aislamiento entre módulos pasa de slices a una regla explícita por módulo (sección 2.2).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0.3</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Se agrega la transacción única en las llamadas síncronas entre módulos (sección 2.1).</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0.4</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02/10/2026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Revisado y aceptado por el responsable del ADR-0001.</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Lucas Ottonello</w:t>
            </w:r>
          </w:p>
        </w:tc>
      </w:tr>
    </w:tbl>
    <w:p>
      <w:pPr>
        <w:spacing w:after="0"/>
      </w:pPr>
    </w:p>
    <w:p>
      <w:r>
        <w:br w:type="page"/>
      </w:r>
    </w:p>
    <w:p>
      <w:pPr>
        <w:pStyle w:val="Heading1"/>
      </w:pPr>
      <w:r>
        <w:t>ADR-0001 · Addendum 4 · Ejecución del Backoffice y ubicación de sus páginas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30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Autor</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Responsable del ADR-0001</w:t>
            </w:r>
          </w:p>
        </w:tc>
        <w:tc>
          <w:tcPr>
            <w:tcW w:type="dxa" w:w="4997"/>
            <w:vAlign w:val="center"/>
            <w:tcMar>
              <w:top w:w="90" w:type="dxa"/>
              <w:start w:w="110" w:type="dxa"/>
              <w:bottom w:w="90" w:type="dxa"/>
              <w:end w:w="110" w:type="dxa"/>
            </w:tcMar>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Equipo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Modifica</w:t>
            </w:r>
          </w:p>
        </w:tc>
        <w:tc>
          <w:tcPr>
            <w:tcW w:type="dxa" w:w="4997"/>
            <w:vAlign w:val="center"/>
            <w:tcMar>
              <w:top w:w="90" w:type="dxa"/>
              <w:start w:w="110" w:type="dxa"/>
              <w:bottom w:w="90" w:type="dxa"/>
              <w:end w:w="110" w:type="dxa"/>
            </w:tcMar>
          </w:tcPr>
          <w:p>
            <w:pPr>
              <w:spacing w:after="0" w:line="252" w:lineRule="auto"/>
            </w:pPr>
            <w:r>
              <w:rPr>
                <w:color w:val="000000"/>
                <w:sz w:val="19"/>
              </w:rPr>
              <w:t>ADR-0001, sección 2.2 (Organización interna)</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Relacionado con</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ADR-0001 · Addendum 2 · Ubicación de los endpoints, los casos de uso y los contratos; ADR-0002 · Estrategia de multitenancy; Guía de decisiones tecnológicas, sección 4.1</w:t>
            </w:r>
          </w:p>
        </w:tc>
      </w:tr>
    </w:tbl>
    <w:p>
      <w:pPr>
        <w:spacing w:after="0"/>
      </w:pPr>
    </w:p>
    <w:p>
      <w:r>
        <w:rPr>
          <w:b/>
        </w:rPr>
        <w:t>Este addendum resuelve la decisión abierta del addendum 2: el Backoffice se ejecuta en el mismo proceso que la API, como una biblioteca Razor cargada por `Logistica.Api`, y las páginas de cada caso de uso viven en la capa `Presentation` del módulo correspondiente, junto a sus endpoints.</w:t>
      </w:r>
    </w:p>
    <w:p>
      <w:pPr>
        <w:pStyle w:val="Heading1"/>
      </w:pPr>
      <w:r>
        <w:t>1. Contexto</w:t>
      </w:r>
    </w:p>
    <w:p>
      <w:r>
        <w:t>El Backoffice se implementa con Razor Pages, por exigencia de la letra. A diferencia del portal del comercio, el seguimiento público y la aplicación del repartidor, que son aplicaciones Blazor WebAssembly ejecutadas en el navegador y llaman a la API por HTTP, las páginas del Backoffice se generan en el servidor. Cada página necesita ejecutar casos de uso de los módulos.</w:t>
      </w:r>
    </w:p>
    <w:p>
      <w:r>
        <w:t xml:space="preserve">El addendum 2 estableció que los commands, queries y handlers de cada módulo son </w:t>
      </w:r>
      <w:r>
        <w:rPr>
          <w:rFonts w:ascii="Consolas" w:hAnsi="Consolas"/>
          <w:sz w:val="18"/>
        </w:rPr>
        <w:t>internal</w:t>
      </w:r>
      <w:r>
        <w:t xml:space="preserve">, y que un caso de uso queda completo dentro de su módulo. Con esa regla, una página ubicada en el proyecto </w:t>
      </w:r>
      <w:r>
        <w:rPr>
          <w:rFonts w:ascii="Consolas" w:hAnsi="Consolas"/>
          <w:sz w:val="18"/>
        </w:rPr>
        <w:t>Logistica.Backoffice</w:t>
      </w:r>
      <w:r>
        <w:t xml:space="preserve"> no puede invocar los handlers. Hay que decidir:</w:t>
      </w:r>
    </w:p>
    <w:p>
      <w:pPr>
        <w:pStyle w:val="ListNumber"/>
      </w:pPr>
      <w:r>
        <w:t>En qué proceso se ejecuta el Backoffice.</w:t>
      </w:r>
    </w:p>
    <w:p>
      <w:pPr>
        <w:pStyle w:val="ListNumber"/>
      </w:pPr>
      <w:r>
        <w:t>Cómo llegan sus páginas a los casos de uso.</w:t>
      </w:r>
    </w:p>
    <w:p>
      <w:pPr>
        <w:pStyle w:val="Heading1"/>
      </w:pPr>
      <w:r>
        <w:t>2. Decisión</w:t>
      </w:r>
    </w:p>
    <w:p>
      <w:pPr>
        <w:pStyle w:val="Heading2"/>
      </w:pPr>
      <w:r>
        <w:t>2.1 El Backoffice se ejecuta en el mismo proceso que la API</w:t>
      </w:r>
    </w:p>
    <w:p>
      <w:r>
        <w:rPr>
          <w:rFonts w:ascii="Consolas" w:hAnsi="Consolas"/>
          <w:sz w:val="18"/>
        </w:rPr>
        <w:t>Logistica.Backoffice</w:t>
      </w:r>
      <w:r>
        <w:t xml:space="preserve"> deja de ser una aplicación web independiente y pasa a ser una </w:t>
      </w:r>
      <w:r>
        <w:rPr>
          <w:b/>
        </w:rPr>
        <w:t>biblioteca Razor</w:t>
      </w:r>
      <w:r>
        <w:t xml:space="preserve"> (Razor Class Library) referenciada y servida por </w:t>
      </w:r>
      <w:r>
        <w:rPr>
          <w:rFonts w:ascii="Consolas" w:hAnsi="Consolas"/>
          <w:sz w:val="18"/>
        </w:rPr>
        <w:t>Logistica.Api</w:t>
      </w:r>
      <w:r>
        <w:t>. La API y el Backoffice forman un único host web:</w:t>
      </w:r>
    </w:p>
    <w:p>
      <w:pPr>
        <w:pStyle w:val="ListBullet"/>
      </w:pPr>
      <w:r>
        <w:t>Una única autenticación con cookie de Identity y un único middleware de resolución del inquilino (ADR-0002).</w:t>
      </w:r>
    </w:p>
    <w:p>
      <w:pPr>
        <w:pStyle w:val="ListBullet"/>
      </w:pPr>
      <w:r>
        <w:t>El hub de SignalR del tablero operativo vive en el mismo proceso que las páginas que lo usan.</w:t>
      </w:r>
    </w:p>
    <w:p>
      <w:pPr>
        <w:pStyle w:val="ListBullet"/>
      </w:pPr>
      <w:r>
        <w:t>Un servicio menos para desplegar en App Platform.</w:t>
      </w:r>
    </w:p>
    <w:p>
      <w:r>
        <w:t>Esto es coherente con la restricción de la letra, recogida en el ADR-0001, según la cual la API y las aplicaciones web forman un monolito modular.</w:t>
      </w:r>
    </w:p>
    <w:p>
      <w:pPr>
        <w:pStyle w:val="Heading2"/>
      </w:pPr>
      <w:r>
        <w:t>2.2 Las páginas viven en la capa Presentation de cada módulo</w:t>
      </w:r>
    </w:p>
    <w:p>
      <w:r>
        <w:t xml:space="preserve">Las páginas del Backoffice de un caso de uso se ubican junto a su endpoint, en </w:t>
      </w:r>
      <w:r>
        <w:rPr>
          <w:rFonts w:ascii="Consolas" w:hAnsi="Consolas"/>
          <w:sz w:val="18"/>
        </w:rPr>
        <w:t>Presentation/Features/&lt;CasoDeUso&gt;/</w:t>
      </w:r>
      <w:r>
        <w:t>:</w:t>
      </w:r>
    </w:p>
    <w:p>
      <w:r>
        <w:t>Logistica.Modules.Administracion/</w:t>
      </w:r>
    </w:p>
    <w:p>
      <w:r>
        <w:t>Application/</w:t>
      </w:r>
    </w:p>
    <w:p>
      <w:r>
        <w:t>Features/</w:t>
      </w:r>
    </w:p>
    <w:p>
      <w:r>
        <w:t>AltaZona/</w:t>
      </w:r>
    </w:p>
    <w:p>
      <w:r>
        <w:t>AltaZonaCommand.cs</w:t>
      </w:r>
    </w:p>
    <w:p>
      <w:r>
        <w:t>AltaZonaHandler.cs</w:t>
      </w:r>
    </w:p>
    <w:p>
      <w:r>
        <w:t>Presentation/</w:t>
      </w:r>
    </w:p>
    <w:p>
      <w:r>
        <w:t>_ViewImports.cshtml</w:t>
      </w:r>
    </w:p>
    <w:p>
      <w:r>
        <w:t>Features/</w:t>
      </w:r>
    </w:p>
    <w:p>
      <w:r>
        <w:t>AltaZona/</w:t>
      </w:r>
    </w:p>
    <w:p>
      <w:r>
        <w:t>AltaZonaEndpoint.cs</w:t>
      </w:r>
    </w:p>
    <w:p>
      <w:r>
        <w:t>AltaZona.cshtml</w:t>
      </w:r>
    </w:p>
    <w:p>
      <w:r>
        <w:t>AltaZona.cshtml.cs</w:t>
      </w:r>
    </w:p>
    <w:p>
      <w:pPr>
        <w:pStyle w:val="ListBullet"/>
      </w:pPr>
      <w:r>
        <w:t xml:space="preserve">El </w:t>
      </w:r>
      <w:r>
        <w:rPr>
          <w:rFonts w:ascii="Consolas" w:hAnsi="Consolas"/>
          <w:sz w:val="18"/>
        </w:rPr>
        <w:t>PageModel</w:t>
      </w:r>
      <w:r>
        <w:t xml:space="preserve"> puede ser </w:t>
      </w:r>
      <w:r>
        <w:rPr>
          <w:rFonts w:ascii="Consolas" w:hAnsi="Consolas"/>
          <w:sz w:val="18"/>
        </w:rPr>
        <w:t>internal</w:t>
      </w:r>
      <w:r>
        <w:t xml:space="preserve"> e invocar directamente los handlers </w:t>
      </w:r>
      <w:r>
        <w:rPr>
          <w:rFonts w:ascii="Consolas" w:hAnsi="Consolas"/>
          <w:sz w:val="18"/>
        </w:rPr>
        <w:t>internal</w:t>
      </w:r>
      <w:r>
        <w:t xml:space="preserve"> del módulo.</w:t>
      </w:r>
    </w:p>
    <w:p>
      <w:pPr>
        <w:pStyle w:val="ListBullet"/>
      </w:pPr>
      <w:r>
        <w:t>Cada proyecto de módulo usa el SDK de Razor (</w:t>
      </w:r>
      <w:r>
        <w:rPr>
          <w:rFonts w:ascii="Consolas" w:hAnsi="Consolas"/>
          <w:sz w:val="18"/>
        </w:rPr>
        <w:t>Microsoft.NET.Sdk.Razor</w:t>
      </w:r>
      <w:r>
        <w:t xml:space="preserve"> con </w:t>
      </w:r>
      <w:r>
        <w:rPr>
          <w:rFonts w:ascii="Consolas" w:hAnsi="Consolas"/>
          <w:sz w:val="18"/>
        </w:rPr>
        <w:t>AddRazorSupportForMvc</w:t>
      </w:r>
      <w:r>
        <w:t>).</w:t>
      </w:r>
    </w:p>
    <w:p>
      <w:pPr>
        <w:pStyle w:val="ListBullet"/>
      </w:pPr>
      <w:r>
        <w:t xml:space="preserve">El </w:t>
      </w:r>
      <w:r>
        <w:rPr>
          <w:rFonts w:ascii="Consolas" w:hAnsi="Consolas"/>
          <w:sz w:val="18"/>
        </w:rPr>
        <w:t>_ViewImports.cshtml</w:t>
      </w:r>
      <w:r>
        <w:t xml:space="preserve"> de </w:t>
      </w:r>
      <w:r>
        <w:rPr>
          <w:rFonts w:ascii="Consolas" w:hAnsi="Consolas"/>
          <w:sz w:val="18"/>
        </w:rPr>
        <w:t>Presentation/</w:t>
      </w:r>
      <w:r>
        <w:t xml:space="preserve"> registra los tag helpers para las páginas del módulo.</w:t>
      </w:r>
    </w:p>
    <w:p>
      <w:pPr>
        <w:pStyle w:val="Heading2"/>
      </w:pPr>
      <w:r>
        <w:t>2.3 Contenido de Logistica.Backoffice</w:t>
      </w:r>
    </w:p>
    <w:p>
      <w:r>
        <w:t xml:space="preserve">La biblioteca </w:t>
      </w:r>
      <w:r>
        <w:rPr>
          <w:rFonts w:ascii="Consolas" w:hAnsi="Consolas"/>
          <w:sz w:val="18"/>
        </w:rPr>
        <w:t>Logistica.Backoffice</w:t>
      </w:r>
      <w:r>
        <w:t xml:space="preserve"> contiene sólo lo común a todas las pantallas:</w:t>
      </w:r>
    </w:p>
    <w:p>
      <w:pPr>
        <w:pStyle w:val="ListBullet"/>
      </w:pPr>
      <w:r>
        <w:t>El layout (</w:t>
      </w:r>
      <w:r>
        <w:rPr>
          <w:rFonts w:ascii="Consolas" w:hAnsi="Consolas"/>
          <w:sz w:val="18"/>
        </w:rPr>
        <w:t>Pages/Shared/_Layout.cshtml</w:t>
      </w:r>
      <w:r>
        <w:t>), el menú y los parciales compartidos.</w:t>
      </w:r>
    </w:p>
    <w:p>
      <w:pPr>
        <w:pStyle w:val="ListBullet"/>
      </w:pPr>
      <w:r>
        <w:t xml:space="preserve">Un </w:t>
      </w:r>
      <w:r>
        <w:rPr>
          <w:rFonts w:ascii="Consolas" w:hAnsi="Consolas"/>
          <w:sz w:val="18"/>
        </w:rPr>
        <w:t>_ViewStart.cshtml</w:t>
      </w:r>
      <w:r>
        <w:t xml:space="preserve"> en la raíz de la biblioteca, que asigna el layout a todas las páginas, incluidas las de los módulos.</w:t>
      </w:r>
    </w:p>
    <w:p>
      <w:pPr>
        <w:pStyle w:val="ListBullet"/>
      </w:pPr>
      <w:r>
        <w:t>Las páginas que no pertenecen a ningún módulo, como la página de inicio (</w:t>
      </w:r>
      <w:r>
        <w:rPr>
          <w:rFonts w:ascii="Consolas" w:hAnsi="Consolas"/>
          <w:sz w:val="18"/>
        </w:rPr>
        <w:t>/backoffice</w:t>
      </w:r>
      <w:r>
        <w:t>).</w:t>
      </w:r>
    </w:p>
    <w:p>
      <w:pPr>
        <w:pStyle w:val="ListBullet"/>
      </w:pPr>
      <w:r>
        <w:t xml:space="preserve">Los archivos estáticos (Bootstrap, estilos y scripts), servidos bajo </w:t>
      </w:r>
      <w:r>
        <w:rPr>
          <w:rFonts w:ascii="Consolas" w:hAnsi="Consolas"/>
          <w:sz w:val="18"/>
        </w:rPr>
        <w:t>/_content/Logistica.Backoffice/</w:t>
      </w:r>
      <w:r>
        <w:t>.</w:t>
      </w:r>
    </w:p>
    <w:p>
      <w:r>
        <w:t>El Backoffice no referencia a ningún módulo.</w:t>
      </w:r>
    </w:p>
    <w:p>
      <w:pPr>
        <w:pStyle w:val="Heading2"/>
      </w:pPr>
      <w:r>
        <w:t>2.4 Descubrimiento y rutas de las páginas</w:t>
      </w:r>
    </w:p>
    <w:p>
      <w:r>
        <w:t xml:space="preserve">Por defecto, ASP.NET Core sólo descubre páginas dentro de la carpeta </w:t>
      </w:r>
      <w:r>
        <w:rPr>
          <w:rFonts w:ascii="Consolas" w:hAnsi="Consolas"/>
          <w:sz w:val="18"/>
        </w:rPr>
        <w:t>Pages/</w:t>
      </w:r>
      <w:r>
        <w:t xml:space="preserve">. Para descubrir las páginas ubicadas en </w:t>
      </w:r>
      <w:r>
        <w:rPr>
          <w:rFonts w:ascii="Consolas" w:hAnsi="Consolas"/>
          <w:sz w:val="18"/>
        </w:rPr>
        <w:t>Presentation/Features/</w:t>
      </w:r>
      <w:r>
        <w:t xml:space="preserve">, </w:t>
      </w:r>
      <w:r>
        <w:rPr>
          <w:rFonts w:ascii="Consolas" w:hAnsi="Consolas"/>
          <w:sz w:val="18"/>
        </w:rPr>
        <w:t>Logistica.Api</w:t>
      </w:r>
      <w:r>
        <w:t xml:space="preserve"> configura la raíz de Razor Pages en </w:t>
      </w:r>
      <w:r>
        <w:rPr>
          <w:rFonts w:ascii="Consolas" w:hAnsi="Consolas"/>
          <w:sz w:val="18"/>
        </w:rPr>
        <w:t>/</w:t>
      </w:r>
      <w:r>
        <w:t>:</w:t>
      </w:r>
    </w:p>
    <w:p>
      <w:r>
        <w:t>builder.Services.AddRazorPages(options =&gt; options.RootDirectory = "/");</w:t>
      </w:r>
    </w:p>
    <w:p>
      <w:r>
        <w:t xml:space="preserve">Como consecuencia, </w:t>
      </w:r>
      <w:r>
        <w:rPr>
          <w:b/>
        </w:rPr>
        <w:t>toda página declara su ruta absoluta</w:t>
      </w:r>
      <w:r>
        <w:t xml:space="preserve"> en la directiva </w:t>
      </w:r>
      <w:r>
        <w:rPr>
          <w:rFonts w:ascii="Consolas" w:hAnsi="Consolas"/>
          <w:sz w:val="18"/>
        </w:rPr>
        <w:t>@page</w:t>
      </w:r>
      <w:r>
        <w:t xml:space="preserve">, siempre bajo el prefijo </w:t>
      </w:r>
      <w:r>
        <w:rPr>
          <w:rFonts w:ascii="Consolas" w:hAnsi="Consolas"/>
          <w:sz w:val="18"/>
        </w:rPr>
        <w:t>/backoffice</w:t>
      </w:r>
      <w:r>
        <w:t>:</w:t>
      </w:r>
    </w:p>
    <w:p>
      <w:r>
        <w:t>@page "/backoffice/zonas/alta"</w:t>
      </w:r>
    </w:p>
    <w:p>
      <w:r>
        <w:t>Así las rutas quedan explícitas en cada página, del mismo modo que los endpoints declaran las suyas.</w:t>
      </w:r>
    </w:p>
    <w:p>
      <w:pPr>
        <w:pStyle w:val="Heading2"/>
      </w:pPr>
      <w:r>
        <w:t>2.5 Regla de dependencias (agrega a la sección 2.4 del ADR-0001)</w:t>
      </w:r>
    </w:p>
    <w:p>
      <w:r>
        <w:t xml:space="preserve">Razor compila cada archivo </w:t>
      </w:r>
      <w:r>
        <w:rPr>
          <w:rFonts w:ascii="Consolas" w:hAnsi="Consolas"/>
          <w:sz w:val="18"/>
        </w:rPr>
        <w:t>.cshtml</w:t>
      </w:r>
      <w:r>
        <w:t xml:space="preserve"> en una clase del namespace </w:t>
      </w:r>
      <w:r>
        <w:rPr>
          <w:rFonts w:ascii="Consolas" w:hAnsi="Consolas"/>
          <w:sz w:val="18"/>
        </w:rPr>
        <w:t>AspNetCoreGeneratedDocument</w:t>
      </w:r>
      <w:r>
        <w:t>, fuera del namespace del módulo, por lo que las reglas por namespace no alcanzan a las vistas. Se agregan dos reglas:</w:t>
      </w:r>
    </w:p>
    <w:p>
      <w:pPr>
        <w:pStyle w:val="ListBullet"/>
      </w:pPr>
      <w:r>
        <w:t>Las vistas compiladas de un módulo no pueden depender de la capa Infrastructure de ese módulo ni de los namespaces internos de otros módulos.</w:t>
      </w:r>
    </w:p>
    <w:p>
      <w:pPr>
        <w:pStyle w:val="ListBullet"/>
      </w:pPr>
      <w:r>
        <w:rPr>
          <w:rFonts w:ascii="Consolas" w:hAnsi="Consolas"/>
          <w:sz w:val="18"/>
        </w:rPr>
        <w:t>Logistica.Backoffice</w:t>
      </w:r>
      <w:r>
        <w:t xml:space="preserve"> no puede depender de ningún módulo.</w:t>
      </w:r>
    </w:p>
    <w:p>
      <w:pPr>
        <w:pStyle w:val="Heading1"/>
      </w:pPr>
      <w:r>
        <w:t>3. Alternativas consideradas</w:t>
      </w:r>
    </w:p>
    <w:p>
      <w:pPr>
        <w:pStyle w:val="Heading2"/>
      </w:pPr>
      <w:r>
        <w:t>3.1 Backoffice como proceso separado que llama a la API por HTTP</w:t>
      </w:r>
    </w:p>
    <w:p>
      <w:r>
        <w:rPr>
          <w:b/>
        </w:rPr>
        <w:t>Motivo de descarte:</w:t>
      </w:r>
      <w:r>
        <w:t xml:space="preserve"> obliga a reenviar la identidad del usuario en cada llamada, a resolver el inquilino en dos procesos, a mantener un cliente HTTP y DTOs duplicados por caso de uso, y a desplegar un servicio más. Su única ventaja, desplegar y escalar el Backoffice de forma independiente, no es necesaria: el equipo está exento del requisito de escalado horizontal.</w:t>
      </w:r>
    </w:p>
    <w:p>
      <w:pPr>
        <w:pStyle w:val="Heading2"/>
      </w:pPr>
      <w:r>
        <w:t>3.2 Backoffice como proceso separado que referencia directamente los módulos</w:t>
      </w:r>
    </w:p>
    <w:p>
      <w:r>
        <w:rPr>
          <w:b/>
        </w:rPr>
        <w:t>Motivo de descarte:</w:t>
      </w:r>
      <w:r>
        <w:t xml:space="preserve"> dos procesos tendrían sus propios </w:t>
      </w:r>
      <w:r>
        <w:rPr>
          <w:rFonts w:ascii="Consolas" w:hAnsi="Consolas"/>
          <w:sz w:val="18"/>
        </w:rPr>
        <w:t>DbContext</w:t>
      </w:r>
      <w:r>
        <w:t>, Outbox y caché sobre la misma base de datos, con riesgos de consistencia y el doble de configuración.</w:t>
      </w:r>
    </w:p>
    <w:p>
      <w:pPr>
        <w:pStyle w:val="Heading2"/>
      </w:pPr>
      <w:r>
        <w:t>3.3 Todas las páginas en Logistica.Backoffice, con acceso a los tipos internos de los módulos</w:t>
      </w:r>
    </w:p>
    <w:p>
      <w:r>
        <w:t xml:space="preserve">Las páginas se ubicarían en el proyecto del Backoffice, y cada módulo declararía </w:t>
      </w:r>
      <w:r>
        <w:rPr>
          <w:rFonts w:ascii="Consolas" w:hAnsi="Consolas"/>
          <w:sz w:val="18"/>
        </w:rPr>
        <w:t>InternalsVisibleTo</w:t>
      </w:r>
      <w:r>
        <w:t xml:space="preserve"> hacia él.</w:t>
      </w:r>
    </w:p>
    <w:p>
      <w:r>
        <w:rPr>
          <w:b/>
        </w:rPr>
        <w:t>Motivo de descarte:</w:t>
      </w:r>
      <w:r>
        <w:t xml:space="preserve"> abre los tipos internos de los seis módulos a otro proyecto de producción, y cada caso de uso vuelve a quedar repartido en dos proyectos, que es lo que el addendum 2 buscó evitar. Es más simple de entender, pero debilita el encapsulamiento.</w:t>
      </w:r>
    </w:p>
    <w:p>
      <w:pPr>
        <w:pStyle w:val="Heading2"/>
      </w:pPr>
      <w:r>
        <w:t>3.4 Páginas en un Área de Razor Pages por módulo</w:t>
      </w:r>
    </w:p>
    <w:p>
      <w:r>
        <w:t xml:space="preserve">Cada módulo ubicaría sus páginas en </w:t>
      </w:r>
      <w:r>
        <w:rPr>
          <w:rFonts w:ascii="Consolas" w:hAnsi="Consolas"/>
          <w:sz w:val="18"/>
        </w:rPr>
        <w:t>Areas/&lt;Modulo&gt;/Pages/</w:t>
      </w:r>
      <w:r>
        <w:t>, el mecanismo estándar de ASP.NET Core para separar páginas por sección.</w:t>
      </w:r>
    </w:p>
    <w:p>
      <w:r>
        <w:rPr>
          <w:b/>
        </w:rPr>
        <w:t>Motivo de descarte:</w:t>
      </w:r>
      <w:r>
        <w:t xml:space="preserve"> no requiere cambiar la raíz de Razor Pages, pero separa la página de su endpoint y de su handler dentro del módulo. Se prefiere mantener todo el caso de uso en </w:t>
      </w:r>
      <w:r>
        <w:rPr>
          <w:rFonts w:ascii="Consolas" w:hAnsi="Consolas"/>
          <w:sz w:val="18"/>
        </w:rPr>
        <w:t>Presentation/Features/&lt;CasoDeUso&gt;/</w:t>
      </w:r>
      <w:r>
        <w:t>, al costo de declarar rutas absolutas.</w:t>
      </w:r>
    </w:p>
    <w:p>
      <w:pPr>
        <w:pStyle w:val="Heading1"/>
      </w:pPr>
      <w:r>
        <w:t>4. Consecuencias</w:t>
      </w:r>
    </w:p>
    <w:p>
      <w:pPr>
        <w:pStyle w:val="Heading2"/>
      </w:pPr>
      <w:r>
        <w:t>4.1 Positivas</w:t>
      </w:r>
    </w:p>
    <w:p>
      <w:pPr>
        <w:pStyle w:val="ListBullet"/>
      </w:pPr>
      <w:r>
        <w:t>Un caso de uso queda completo en su módulo: handler, endpoint y página.</w:t>
      </w:r>
    </w:p>
    <w:p>
      <w:pPr>
        <w:pStyle w:val="ListBullet"/>
      </w:pPr>
      <w:r>
        <w:t xml:space="preserve">Los handlers siguen siendo </w:t>
      </w:r>
      <w:r>
        <w:rPr>
          <w:rFonts w:ascii="Consolas" w:hAnsi="Consolas"/>
          <w:sz w:val="18"/>
        </w:rPr>
        <w:t>internal</w:t>
      </w:r>
      <w:r>
        <w:t>.</w:t>
      </w:r>
    </w:p>
    <w:p>
      <w:pPr>
        <w:pStyle w:val="ListBullet"/>
      </w:pPr>
      <w:r>
        <w:t>Una sola autenticación, un solo middleware de inquilino y un solo despliegue.</w:t>
      </w:r>
    </w:p>
    <w:p>
      <w:pPr>
        <w:pStyle w:val="ListBullet"/>
      </w:pPr>
      <w:r>
        <w:t>Las rutas del Backoffice quedan explícitas en cada página.</w:t>
      </w:r>
    </w:p>
    <w:p>
      <w:pPr>
        <w:pStyle w:val="Heading2"/>
      </w:pPr>
      <w:r>
        <w:t>4.2 Negativas y riesgos</w:t>
      </w:r>
    </w:p>
    <w:p>
      <w:pPr>
        <w:pStyle w:val="ListBullet"/>
      </w:pPr>
      <w:r>
        <w:t>Los módulos usan el SDK de Razor, y las páginas del Backoffice quedan repartidas en seis proyectos.</w:t>
      </w:r>
    </w:p>
    <w:p>
      <w:pPr>
        <w:pStyle w:val="ListBullet"/>
      </w:pPr>
      <w:r>
        <w:t xml:space="preserve">Con la raíz de Razor Pages en </w:t>
      </w:r>
      <w:r>
        <w:rPr>
          <w:rFonts w:ascii="Consolas" w:hAnsi="Consolas"/>
          <w:sz w:val="18"/>
        </w:rPr>
        <w:t>/</w:t>
      </w:r>
      <w:r>
        <w:t xml:space="preserve">, cualquier </w:t>
      </w:r>
      <w:r>
        <w:rPr>
          <w:rFonts w:ascii="Consolas" w:hAnsi="Consolas"/>
          <w:sz w:val="18"/>
        </w:rPr>
        <w:t>.cshtml</w:t>
      </w:r>
      <w:r>
        <w:t xml:space="preserve"> con </w:t>
      </w:r>
      <w:r>
        <w:rPr>
          <w:rFonts w:ascii="Consolas" w:hAnsi="Consolas"/>
          <w:sz w:val="18"/>
        </w:rPr>
        <w:t>@page</w:t>
      </w:r>
      <w:r>
        <w:t xml:space="preserve"> de cualquier proyecto referenciado por la API se convierte en una página. Toda página debe declarar su ruta absoluta bajo </w:t>
      </w:r>
      <w:r>
        <w:rPr>
          <w:rFonts w:ascii="Consolas" w:hAnsi="Consolas"/>
          <w:sz w:val="18"/>
        </w:rPr>
        <w:t>/backoffice</w:t>
      </w:r>
      <w:r>
        <w:t>; se controla en la revisión de código.</w:t>
      </w:r>
    </w:p>
    <w:p>
      <w:pPr>
        <w:pStyle w:val="ListBullet"/>
      </w:pPr>
      <w:r>
        <w:t>El Backoffice no puede desplegarse ni escalarse por separado de la API.</w:t>
      </w:r>
    </w:p>
    <w:p>
      <w:pPr>
        <w:pStyle w:val="Heading1"/>
      </w:pPr>
      <w:r>
        <w:t>5. Verificación</w:t>
      </w:r>
    </w:p>
    <w:p>
      <w:pPr>
        <w:pStyle w:val="ListNumber"/>
      </w:pPr>
      <w:r>
        <w:rPr>
          <w:rFonts w:ascii="Consolas" w:hAnsi="Consolas"/>
          <w:sz w:val="18"/>
        </w:rPr>
        <w:t>Logistica.Backoffice</w:t>
      </w:r>
      <w:r>
        <w:t xml:space="preserve"> es una biblioteca Razor sin </w:t>
      </w:r>
      <w:r>
        <w:rPr>
          <w:rFonts w:ascii="Consolas" w:hAnsi="Consolas"/>
          <w:sz w:val="18"/>
        </w:rPr>
        <w:t>Program.cs</w:t>
      </w:r>
      <w:r>
        <w:t xml:space="preserve">, referenciada por </w:t>
      </w:r>
      <w:r>
        <w:rPr>
          <w:rFonts w:ascii="Consolas" w:hAnsi="Consolas"/>
          <w:sz w:val="18"/>
        </w:rPr>
        <w:t>Logistica.Api</w:t>
      </w:r>
      <w:r>
        <w:t>.</w:t>
      </w:r>
    </w:p>
    <w:p>
      <w:pPr>
        <w:pStyle w:val="ListNumber"/>
      </w:pPr>
      <w:r>
        <w:rPr>
          <w:rFonts w:ascii="Consolas" w:hAnsi="Consolas"/>
          <w:sz w:val="18"/>
        </w:rPr>
        <w:t>GET /backoffice</w:t>
      </w:r>
      <w:r>
        <w:t xml:space="preserve"> responde con el layout del Backoffice (</w:t>
      </w:r>
      <w:r>
        <w:rPr>
          <w:rFonts w:ascii="Consolas" w:hAnsi="Consolas"/>
          <w:sz w:val="18"/>
        </w:rPr>
        <w:t>tests/Logistica.IntegrationTests/BackofficeTests.cs</w:t>
      </w:r>
      <w:r>
        <w:t>).</w:t>
      </w:r>
    </w:p>
    <w:p>
      <w:pPr>
        <w:pStyle w:val="ListNumber"/>
      </w:pPr>
      <w:r>
        <w:t>Existen pruebas de arquitectura para las vistas compiladas de los módulos y para el Backoffice (</w:t>
      </w:r>
      <w:r>
        <w:rPr>
          <w:rFonts w:ascii="Consolas" w:hAnsi="Consolas"/>
          <w:sz w:val="18"/>
        </w:rPr>
        <w:t>tests/Logistica.ArchitectureTests/BackofficeDependencyTests.cs</w:t>
      </w:r>
      <w:r>
        <w:t>).</w:t>
      </w:r>
    </w:p>
    <w:p>
      <w:r>
        <w:t>Los puntos 1 a 3 ya están implementados. Además se verificó, en una copia temporal de la solución, que:</w:t>
      </w:r>
    </w:p>
    <w:p>
      <w:pPr>
        <w:pStyle w:val="ListBullet"/>
      </w:pPr>
      <w:r>
        <w:t xml:space="preserve">Una página en </w:t>
      </w:r>
      <w:r>
        <w:rPr>
          <w:rFonts w:ascii="Consolas" w:hAnsi="Consolas"/>
          <w:sz w:val="18"/>
        </w:rPr>
        <w:t>Administracion/Presentation/Features/AltaZona/</w:t>
      </w:r>
      <w:r>
        <w:t xml:space="preserve">, con un </w:t>
      </w:r>
      <w:r>
        <w:rPr>
          <w:rFonts w:ascii="Consolas" w:hAnsi="Consolas"/>
          <w:sz w:val="18"/>
        </w:rPr>
        <w:t>PageModel</w:t>
      </w:r>
      <w:r>
        <w:t xml:space="preserve"> </w:t>
      </w:r>
      <w:r>
        <w:rPr>
          <w:rFonts w:ascii="Consolas" w:hAnsi="Consolas"/>
          <w:sz w:val="18"/>
        </w:rPr>
        <w:t>internal</w:t>
      </w:r>
      <w:r>
        <w:t xml:space="preserve"> que invoca un handler </w:t>
      </w:r>
      <w:r>
        <w:rPr>
          <w:rFonts w:ascii="Consolas" w:hAnsi="Consolas"/>
          <w:sz w:val="18"/>
        </w:rPr>
        <w:t>internal</w:t>
      </w:r>
      <w:r>
        <w:t xml:space="preserve">, se sirve en </w:t>
      </w:r>
      <w:r>
        <w:rPr>
          <w:rFonts w:ascii="Consolas" w:hAnsi="Consolas"/>
          <w:sz w:val="18"/>
        </w:rPr>
        <w:t>/backoffice/zonas/alta</w:t>
      </w:r>
      <w:r>
        <w:t xml:space="preserve"> con el layout del Backoffice y el token antiforgery.</w:t>
      </w:r>
    </w:p>
    <w:p>
      <w:pPr>
        <w:pStyle w:val="ListBullet"/>
      </w:pPr>
      <w:r>
        <w:t xml:space="preserve">Si esa página inyecta un tipo de </w:t>
      </w:r>
      <w:r>
        <w:rPr>
          <w:rFonts w:ascii="Consolas" w:hAnsi="Consolas"/>
          <w:sz w:val="18"/>
        </w:rPr>
        <w:t>Infrastructure</w:t>
      </w:r>
      <w:r>
        <w:t>, la prueba de arquitectura falla.</w:t>
      </w:r>
    </w:p>
    <w:p>
      <w:pPr>
        <w:pStyle w:val="Heading1"/>
      </w:pPr>
      <w:r>
        <w:t>6. Decisiones relacionadas pendientes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Tema</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Por qué importa</w:t>
            </w:r>
          </w:p>
        </w:tc>
      </w:tr>
      <w:tr>
        <w:trPr>
          <w:cantSplit/>
        </w:trPr>
        <w:tc>
          <w:tcPr>
            <w:tcW w:type="dxa" w:w="4997"/>
            <w:vAlign w:val="center"/>
            <w:tcMar>
              <w:top w:w="90" w:type="dxa"/>
              <w:start w:w="110" w:type="dxa"/>
              <w:bottom w:w="90" w:type="dxa"/>
              <w:end w:w="110" w:type="dxa"/>
            </w:tcMar>
          </w:tcPr>
          <w:p>
            <w:pPr>
              <w:spacing w:after="0" w:line="252" w:lineRule="auto"/>
            </w:pPr>
            <w:r>
              <w:rPr>
                <w:strike/>
                <w:color w:val="000000"/>
                <w:sz w:val="19"/>
              </w:rPr>
              <w:t>Servir las aplicaciones Blazor WebAssembly desde el mismo host</w:t>
            </w:r>
          </w:p>
        </w:tc>
        <w:tc>
          <w:tcPr>
            <w:tcW w:type="dxa" w:w="4997"/>
            <w:vAlign w:val="center"/>
            <w:tcMar>
              <w:top w:w="90" w:type="dxa"/>
              <w:start w:w="110" w:type="dxa"/>
              <w:bottom w:w="90" w:type="dxa"/>
              <w:end w:w="110" w:type="dxa"/>
            </w:tcMar>
          </w:tcPr>
          <w:p>
            <w:pPr>
              <w:spacing w:after="0" w:line="252" w:lineRule="auto"/>
            </w:pPr>
            <w:r>
              <w:rPr>
                <w:color w:val="000000"/>
                <w:sz w:val="19"/>
              </w:rPr>
              <w:t xml:space="preserve">Resuelta en el addendum 5: </w:t>
            </w:r>
            <w:r>
              <w:rPr>
                <w:rFonts w:ascii="Consolas" w:hAnsi="Consolas"/>
                <w:color w:val="000000"/>
                <w:sz w:val="18"/>
              </w:rPr>
              <w:t>Logistica.Api</w:t>
            </w:r>
            <w:r>
              <w:rPr>
                <w:color w:val="000000"/>
                <w:sz w:val="19"/>
              </w:rPr>
              <w:t xml:space="preserve"> sirve las tres aplicaciones bajo </w:t>
            </w:r>
            <w:r>
              <w:rPr>
                <w:rFonts w:ascii="Consolas" w:hAnsi="Consolas"/>
                <w:color w:val="000000"/>
                <w:sz w:val="18"/>
              </w:rPr>
              <w:t>/portal</w:t>
            </w:r>
            <w:r>
              <w:rPr>
                <w:color w:val="000000"/>
                <w:sz w:val="19"/>
              </w:rPr>
              <w:t xml:space="preserve">, </w:t>
            </w:r>
            <w:r>
              <w:rPr>
                <w:rFonts w:ascii="Consolas" w:hAnsi="Consolas"/>
                <w:color w:val="000000"/>
                <w:sz w:val="18"/>
              </w:rPr>
              <w:t>/seguimiento</w:t>
            </w:r>
            <w:r>
              <w:rPr>
                <w:color w:val="000000"/>
                <w:sz w:val="19"/>
              </w:rPr>
              <w:t xml:space="preserve"> y </w:t>
            </w:r>
            <w:r>
              <w:rPr>
                <w:rFonts w:ascii="Consolas" w:hAnsi="Consolas"/>
                <w:color w:val="000000"/>
                <w:sz w:val="18"/>
              </w:rPr>
              <w:t>/repartidor</w:t>
            </w:r>
            <w:r>
              <w:rPr>
                <w:color w:val="000000"/>
                <w:sz w:val="19"/>
              </w:rPr>
              <w:t>.</w:t>
            </w:r>
          </w:p>
        </w:tc>
      </w:tr>
    </w:tbl>
    <w:p>
      <w:pPr>
        <w:spacing w:after="0"/>
      </w:pPr>
    </w:p>
    <w:p>
      <w:pPr>
        <w:pStyle w:val="Heading1"/>
      </w:pPr>
      <w:r>
        <w:t>7. Historial de versiones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90" w:type="dxa"/>
              <w:start w:w="110" w:type="dxa"/>
              <w:bottom w:w="90" w:type="dxa"/>
              <w:end w:w="110" w:type="dxa"/>
            </w:tcMar>
            <w:shd w:fill="1F4E78"/>
          </w:tcPr>
          <w:p>
            <w:pPr>
              <w:spacing w:after="0" w:line="252" w:lineRule="auto"/>
            </w:pPr>
            <w:r>
              <w:rPr>
                <w:b/>
                <w:color w:val="FFFFFF"/>
                <w:sz w:val="19"/>
              </w:rPr>
              <w:t>Versión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Fecha</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Descripción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Responsable</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0.1</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Propuesta inicial del addendum.</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30/09/2026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Se da por resuelta la decisión pendiente sobre las aplicaciones WebAssembly (addendum 5).</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0.3</w:t>
            </w:r>
          </w:p>
        </w:tc>
        <w:tc>
          <w:tcPr>
            <w:tcW w:type="dxa" w:w="2498"/>
            <w:vAlign w:val="center"/>
            <w:tcMar>
              <w:top w:w="90" w:type="dxa"/>
              <w:start w:w="110" w:type="dxa"/>
              <w:bottom w:w="90" w:type="dxa"/>
              <w:end w:w="110" w:type="dxa"/>
            </w:tcMar>
          </w:tcPr>
          <w:p>
            <w:pPr>
              <w:spacing w:after="0" w:line="252" w:lineRule="auto"/>
            </w:pPr>
            <w:r>
              <w:rPr>
                <w:color w:val="000000"/>
                <w:sz w:val="19"/>
              </w:rPr>
              <w:t>02/10/2026</w:t>
            </w:r>
          </w:p>
        </w:tc>
        <w:tc>
          <w:tcPr>
            <w:tcW w:type="dxa" w:w="2498"/>
            <w:vAlign w:val="center"/>
            <w:tcMar>
              <w:top w:w="90" w:type="dxa"/>
              <w:start w:w="110" w:type="dxa"/>
              <w:bottom w:w="90" w:type="dxa"/>
              <w:end w:w="110" w:type="dxa"/>
            </w:tcMar>
          </w:tcPr>
          <w:p>
            <w:pPr>
              <w:spacing w:after="0" w:line="252" w:lineRule="auto"/>
            </w:pPr>
            <w:r>
              <w:rPr>
                <w:color w:val="000000"/>
                <w:sz w:val="19"/>
              </w:rPr>
              <w:t>Revisado y aceptado por el responsable del ADR-0001.</w:t>
            </w:r>
          </w:p>
        </w:tc>
        <w:tc>
          <w:tcPr>
            <w:tcW w:type="dxa" w:w="2498"/>
            <w:vAlign w:val="center"/>
            <w:tcMar>
              <w:top w:w="90" w:type="dxa"/>
              <w:start w:w="110" w:type="dxa"/>
              <w:bottom w:w="90" w:type="dxa"/>
              <w:end w:w="110" w:type="dxa"/>
            </w:tcMar>
          </w:tcPr>
          <w:p>
            <w:pPr>
              <w:spacing w:after="0" w:line="252" w:lineRule="auto"/>
            </w:pPr>
            <w:r>
              <w:rPr>
                <w:color w:val="000000"/>
                <w:sz w:val="19"/>
              </w:rPr>
              <w:t>Lucas Ottonello</w:t>
            </w:r>
          </w:p>
        </w:tc>
      </w:tr>
    </w:tbl>
    <w:p>
      <w:pPr>
        <w:spacing w:after="0"/>
      </w:pPr>
    </w:p>
    <w:p>
      <w:r>
        <w:br w:type="page"/>
      </w:r>
    </w:p>
    <w:p>
      <w:pPr>
        <w:pStyle w:val="Heading1"/>
      </w:pPr>
      <w:r>
        <w:t>ADR-0001 · Addendum 5 · Aplicaciones Blazor WebAssembly en el mismo host y DTOs HTTP compartidos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Estado</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Aceptado</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Fecha</w:t>
            </w:r>
          </w:p>
        </w:tc>
        <w:tc>
          <w:tcPr>
            <w:tcW w:type="dxa" w:w="4997"/>
            <w:vAlign w:val="center"/>
            <w:tcMar>
              <w:top w:w="90" w:type="dxa"/>
              <w:start w:w="110" w:type="dxa"/>
              <w:bottom w:w="90" w:type="dxa"/>
              <w:end w:w="110" w:type="dxa"/>
            </w:tcMar>
          </w:tcPr>
          <w:p>
            <w:pPr>
              <w:spacing w:after="0" w:line="252" w:lineRule="auto"/>
            </w:pPr>
            <w:r>
              <w:rPr>
                <w:color w:val="000000"/>
                <w:sz w:val="19"/>
              </w:rPr>
              <w:t>30 de septiembre de 2026</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Autor</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Ezequiel Marcenal</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Responsable del ADR-0001</w:t>
            </w:r>
          </w:p>
        </w:tc>
        <w:tc>
          <w:tcPr>
            <w:tcW w:type="dxa" w:w="4997"/>
            <w:vAlign w:val="center"/>
            <w:tcMar>
              <w:top w:w="90" w:type="dxa"/>
              <w:start w:w="110" w:type="dxa"/>
              <w:bottom w:w="90" w:type="dxa"/>
              <w:end w:w="110" w:type="dxa"/>
            </w:tcMar>
          </w:tcPr>
          <w:p>
            <w:pPr>
              <w:spacing w:after="0" w:line="252" w:lineRule="auto"/>
            </w:pPr>
            <w:r>
              <w:rPr>
                <w:color w:val="000000"/>
                <w:sz w:val="19"/>
              </w:rPr>
              <w:t>Lucas Ottonello</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Equipo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Equipo 1 \- Lucas Ottonello, Ezequiel Marcenal y Cristian Reyes</w:t>
            </w:r>
          </w:p>
        </w:tc>
      </w:tr>
      <w:tr>
        <w:trPr>
          <w:cantSplit/>
        </w:trPr>
        <w:tc>
          <w:tcPr>
            <w:tcW w:type="dxa" w:w="4997"/>
            <w:vAlign w:val="center"/>
            <w:tcMar>
              <w:top w:w="90" w:type="dxa"/>
              <w:start w:w="110" w:type="dxa"/>
              <w:bottom w:w="90" w:type="dxa"/>
              <w:end w:w="110" w:type="dxa"/>
            </w:tcMar>
          </w:tcPr>
          <w:p>
            <w:pPr>
              <w:spacing w:after="0" w:line="252" w:lineRule="auto"/>
            </w:pPr>
            <w:r>
              <w:rPr>
                <w:b/>
                <w:color w:val="000000"/>
                <w:sz w:val="19"/>
              </w:rPr>
              <w:t>Modifica</w:t>
            </w:r>
          </w:p>
        </w:tc>
        <w:tc>
          <w:tcPr>
            <w:tcW w:type="dxa" w:w="4997"/>
            <w:vAlign w:val="center"/>
            <w:tcMar>
              <w:top w:w="90" w:type="dxa"/>
              <w:start w:w="110" w:type="dxa"/>
              <w:bottom w:w="90" w:type="dxa"/>
              <w:end w:w="110" w:type="dxa"/>
            </w:tcMar>
          </w:tcPr>
          <w:p>
            <w:pPr>
              <w:spacing w:after="0" w:line="252" w:lineRule="auto"/>
            </w:pPr>
            <w:r>
              <w:rPr>
                <w:color w:val="000000"/>
                <w:sz w:val="19"/>
              </w:rPr>
              <w:t>ADR-0001, sección 2.2 (Organización interna); addendum 2, sección 2.1 (ubicación de los DTOs de request)</w:t>
            </w:r>
          </w:p>
        </w:tc>
      </w:tr>
      <w:tr>
        <w:trPr>
          <w:cantSplit/>
        </w:trPr>
        <w:tc>
          <w:tcPr>
            <w:tcW w:type="dxa" w:w="4997"/>
            <w:vAlign w:val="center"/>
            <w:tcMar>
              <w:top w:w="90" w:type="dxa"/>
              <w:start w:w="110" w:type="dxa"/>
              <w:bottom w:w="90" w:type="dxa"/>
              <w:end w:w="110" w:type="dxa"/>
            </w:tcMar>
            <w:shd w:fill="EAF2F8"/>
          </w:tcPr>
          <w:p>
            <w:pPr>
              <w:spacing w:after="0" w:line="252" w:lineRule="auto"/>
            </w:pPr>
            <w:r>
              <w:rPr>
                <w:b/>
                <w:color w:val="000000"/>
                <w:sz w:val="19"/>
              </w:rPr>
              <w:t>Relacionado con</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ADR-0001 · Addendum 4 · Backoffice; Guía de decisiones tecnológicas, secciones 3.1 y 4.1; Propuesta de stack, sección 3.4</w:t>
            </w:r>
          </w:p>
        </w:tc>
      </w:tr>
    </w:tbl>
    <w:p>
      <w:pPr>
        <w:spacing w:after="0"/>
      </w:pPr>
    </w:p>
    <w:p>
      <w:r>
        <w:rPr>
          <w:b/>
        </w:rPr>
        <w:t>Este addendum resuelve la decisión pendiente del addendum 4: las tres aplicaciones Blazor WebAssembly se sirven desde `Logistica.Api`, cada una bajo su propia ruta, en el mismo origen que la API y el Backoffice. Los DTOs de request y response de la API HTTP se ubican en un proyecto compartido, `Logistica.Http.Contracts`.</w:t>
      </w:r>
    </w:p>
    <w:p>
      <w:pPr>
        <w:pStyle w:val="Heading1"/>
      </w:pPr>
      <w:r>
        <w:t>1. Contexto</w:t>
      </w:r>
    </w:p>
    <w:p>
      <w:r>
        <w:t>El portal del comercio, el seguimiento público y la aplicación del repartidor son aplicaciones Blazor WebAssembly: se descargan al navegador y llaman a la API por HTTP. La Guía de decisiones tecnológicas, sección 4.1, establece que las aplicaciones se publicarán bajo un mismo dominio lógico para que el navegador envíe la cookie de Identity a la API de forma controlada.</w:t>
      </w:r>
    </w:p>
    <w:p>
      <w:r>
        <w:t xml:space="preserve">Con el addendum 4, </w:t>
      </w:r>
      <w:r>
        <w:rPr>
          <w:rFonts w:ascii="Consolas" w:hAnsi="Consolas"/>
          <w:sz w:val="18"/>
        </w:rPr>
        <w:t>Logistica.Api</w:t>
      </w:r>
      <w:r>
        <w:t xml:space="preserve"> ya sirve la API y el Backoffice. Quedaban por resolver:</w:t>
      </w:r>
    </w:p>
    <w:p>
      <w:pPr>
        <w:pStyle w:val="ListNumber"/>
      </w:pPr>
      <w:r>
        <w:t>Desde dónde se sirven los archivos de las aplicaciones WebAssembly y bajo qué rutas.</w:t>
      </w:r>
    </w:p>
    <w:p>
      <w:pPr>
        <w:pStyle w:val="ListNumber"/>
      </w:pPr>
      <w:r>
        <w:t>Cómo se ejecutan durante el desarrollo.</w:t>
      </w:r>
    </w:p>
    <w:p>
      <w:pPr>
        <w:pStyle w:val="ListNumber"/>
      </w:pPr>
      <w:r>
        <w:t>El alcance del service worker de la aplicación del repartidor.</w:t>
      </w:r>
    </w:p>
    <w:p>
      <w:pPr>
        <w:pStyle w:val="ListNumber"/>
      </w:pPr>
      <w:r>
        <w:t>Dónde se definen los tipos de request y response que comparten las aplicaciones y la API.</w:t>
      </w:r>
    </w:p>
    <w:p>
      <w:pPr>
        <w:pStyle w:val="Heading1"/>
      </w:pPr>
      <w:r>
        <w:t>2. Decisión</w:t>
      </w:r>
    </w:p>
    <w:p>
      <w:pPr>
        <w:pStyle w:val="Heading2"/>
      </w:pPr>
      <w:r>
        <w:t>2.1 Un único host y un único origen</w:t>
      </w:r>
    </w:p>
    <w:p>
      <w:r>
        <w:rPr>
          <w:rFonts w:ascii="Consolas" w:hAnsi="Consolas"/>
          <w:sz w:val="18"/>
        </w:rPr>
        <w:t>Logistica.Api</w:t>
      </w:r>
      <w:r>
        <w:t xml:space="preserve"> sirve los archivos estáticos de las tres aplicaciones: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90" w:type="dxa"/>
              <w:start w:w="110" w:type="dxa"/>
              <w:bottom w:w="90" w:type="dxa"/>
              <w:end w:w="110" w:type="dxa"/>
            </w:tcMar>
            <w:shd w:fill="1F4E78"/>
          </w:tcPr>
          <w:p>
            <w:pPr>
              <w:spacing w:after="0" w:line="252" w:lineRule="auto"/>
            </w:pPr>
            <w:r>
              <w:rPr>
                <w:b/>
                <w:color w:val="FFFFFF"/>
                <w:sz w:val="19"/>
              </w:rPr>
              <w:t>Ruta</w:t>
            </w:r>
          </w:p>
        </w:tc>
        <w:tc>
          <w:tcPr>
            <w:tcW w:type="dxa" w:w="4997"/>
            <w:vAlign w:val="center"/>
            <w:tcMar>
              <w:top w:w="90" w:type="dxa"/>
              <w:start w:w="110" w:type="dxa"/>
              <w:bottom w:w="90" w:type="dxa"/>
              <w:end w:w="110" w:type="dxa"/>
            </w:tcMar>
            <w:shd w:fill="1F4E78"/>
          </w:tcPr>
          <w:p>
            <w:pPr>
              <w:spacing w:after="0" w:line="252" w:lineRule="auto"/>
            </w:pPr>
            <w:r>
              <w:rPr>
                <w:b/>
                <w:color w:val="FFFFFF"/>
                <w:sz w:val="19"/>
              </w:rPr>
              <w:t>Contenido</w:t>
            </w:r>
          </w:p>
        </w:tc>
      </w:tr>
      <w:tr>
        <w:trPr>
          <w:cantSplit/>
        </w:trPr>
        <w:tc>
          <w:tcPr>
            <w:tcW w:type="dxa" w:w="4997"/>
            <w:vAlign w:val="center"/>
            <w:tcMar>
              <w:top w:w="90" w:type="dxa"/>
              <w:start w:w="110" w:type="dxa"/>
              <w:bottom w:w="90" w:type="dxa"/>
              <w:end w:w="110" w:type="dxa"/>
            </w:tcMar>
          </w:tcPr>
          <w:p>
            <w:pPr>
              <w:spacing w:after="0" w:line="252" w:lineRule="auto"/>
            </w:pPr>
            <w:r>
              <w:rPr>
                <w:rFonts w:ascii="Consolas" w:hAnsi="Consolas"/>
                <w:color w:val="000000"/>
                <w:sz w:val="18"/>
              </w:rPr>
              <w:t>/api/...</w:t>
            </w:r>
          </w:p>
        </w:tc>
        <w:tc>
          <w:tcPr>
            <w:tcW w:type="dxa" w:w="4997"/>
            <w:vAlign w:val="center"/>
            <w:tcMar>
              <w:top w:w="90" w:type="dxa"/>
              <w:start w:w="110" w:type="dxa"/>
              <w:bottom w:w="90" w:type="dxa"/>
              <w:end w:w="110" w:type="dxa"/>
            </w:tcMar>
          </w:tcPr>
          <w:p>
            <w:pPr>
              <w:spacing w:after="0" w:line="252" w:lineRule="auto"/>
            </w:pPr>
            <w:r>
              <w:rPr>
                <w:color w:val="000000"/>
                <w:sz w:val="19"/>
              </w:rPr>
              <w:t>Minimal APIs de los módulos</w:t>
            </w:r>
          </w:p>
        </w:tc>
      </w:tr>
      <w:tr>
        <w:trPr>
          <w:cantSplit/>
        </w:trPr>
        <w:tc>
          <w:tcPr>
            <w:tcW w:type="dxa" w:w="4997"/>
            <w:vAlign w:val="center"/>
            <w:tcMar>
              <w:top w:w="90" w:type="dxa"/>
              <w:start w:w="110" w:type="dxa"/>
              <w:bottom w:w="90" w:type="dxa"/>
              <w:end w:w="110" w:type="dxa"/>
            </w:tcMar>
            <w:shd w:fill="EAF2F8"/>
          </w:tcPr>
          <w:p>
            <w:pPr>
              <w:spacing w:after="0" w:line="252" w:lineRule="auto"/>
            </w:pPr>
            <w:r>
              <w:rPr>
                <w:rFonts w:ascii="Consolas" w:hAnsi="Consolas"/>
                <w:color w:val="000000"/>
                <w:sz w:val="18"/>
              </w:rPr>
              <w:t>/backoffice/...</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Razor Pages del Backoffice (addendum 4)</w:t>
            </w:r>
          </w:p>
        </w:tc>
      </w:tr>
      <w:tr>
        <w:trPr>
          <w:cantSplit/>
        </w:trPr>
        <w:tc>
          <w:tcPr>
            <w:tcW w:type="dxa" w:w="4997"/>
            <w:vAlign w:val="center"/>
            <w:tcMar>
              <w:top w:w="90" w:type="dxa"/>
              <w:start w:w="110" w:type="dxa"/>
              <w:bottom w:w="90" w:type="dxa"/>
              <w:end w:w="110" w:type="dxa"/>
            </w:tcMar>
          </w:tcPr>
          <w:p>
            <w:pPr>
              <w:spacing w:after="0" w:line="252" w:lineRule="auto"/>
            </w:pPr>
            <w:r>
              <w:rPr>
                <w:rFonts w:ascii="Consolas" w:hAnsi="Consolas"/>
                <w:color w:val="000000"/>
                <w:sz w:val="18"/>
              </w:rPr>
              <w:t>/portal/...</w:t>
            </w:r>
          </w:p>
        </w:tc>
        <w:tc>
          <w:tcPr>
            <w:tcW w:type="dxa" w:w="4997"/>
            <w:vAlign w:val="center"/>
            <w:tcMar>
              <w:top w:w="90" w:type="dxa"/>
              <w:start w:w="110" w:type="dxa"/>
              <w:bottom w:w="90" w:type="dxa"/>
              <w:end w:w="110" w:type="dxa"/>
            </w:tcMar>
          </w:tcPr>
          <w:p>
            <w:pPr>
              <w:spacing w:after="0" w:line="252" w:lineRule="auto"/>
            </w:pPr>
            <w:r>
              <w:rPr>
                <w:color w:val="000000"/>
                <w:sz w:val="19"/>
              </w:rPr>
              <w:t>Portal del comercio</w:t>
            </w:r>
          </w:p>
        </w:tc>
      </w:tr>
      <w:tr>
        <w:trPr>
          <w:cantSplit/>
        </w:trPr>
        <w:tc>
          <w:tcPr>
            <w:tcW w:type="dxa" w:w="4997"/>
            <w:vAlign w:val="center"/>
            <w:tcMar>
              <w:top w:w="90" w:type="dxa"/>
              <w:start w:w="110" w:type="dxa"/>
              <w:bottom w:w="90" w:type="dxa"/>
              <w:end w:w="110" w:type="dxa"/>
            </w:tcMar>
            <w:shd w:fill="EAF2F8"/>
          </w:tcPr>
          <w:p>
            <w:pPr>
              <w:spacing w:after="0" w:line="252" w:lineRule="auto"/>
            </w:pPr>
            <w:r>
              <w:rPr>
                <w:rFonts w:ascii="Consolas" w:hAnsi="Consolas"/>
                <w:color w:val="000000"/>
                <w:sz w:val="18"/>
              </w:rPr>
              <w:t>/seguimiento/...</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 xml:space="preserve">Seguimiento público; el enlace de un envío es </w:t>
            </w:r>
            <w:r>
              <w:rPr>
                <w:rFonts w:ascii="Consolas" w:hAnsi="Consolas"/>
                <w:color w:val="000000"/>
                <w:sz w:val="18"/>
              </w:rPr>
              <w:t>/seguimiento/{token}</w:t>
            </w:r>
            <w:r>
              <w:rPr>
                <w:color w:val="000000"/>
                <w:sz w:val="19"/>
              </w:rPr>
              <w:t xml:space="preserve"> (ADR-0002)</w:t>
            </w:r>
          </w:p>
        </w:tc>
      </w:tr>
      <w:tr>
        <w:trPr>
          <w:cantSplit/>
        </w:trPr>
        <w:tc>
          <w:tcPr>
            <w:tcW w:type="dxa" w:w="4997"/>
            <w:vAlign w:val="center"/>
            <w:tcMar>
              <w:top w:w="90" w:type="dxa"/>
              <w:start w:w="110" w:type="dxa"/>
              <w:bottom w:w="90" w:type="dxa"/>
              <w:end w:w="110" w:type="dxa"/>
            </w:tcMar>
          </w:tcPr>
          <w:p>
            <w:pPr>
              <w:spacing w:after="0" w:line="252" w:lineRule="auto"/>
            </w:pPr>
            <w:r>
              <w:rPr>
                <w:rFonts w:ascii="Consolas" w:hAnsi="Consolas"/>
                <w:color w:val="000000"/>
                <w:sz w:val="18"/>
              </w:rPr>
              <w:t>/repartidor/...</w:t>
            </w:r>
          </w:p>
        </w:tc>
        <w:tc>
          <w:tcPr>
            <w:tcW w:type="dxa" w:w="4997"/>
            <w:vAlign w:val="center"/>
            <w:tcMar>
              <w:top w:w="90" w:type="dxa"/>
              <w:start w:w="110" w:type="dxa"/>
              <w:bottom w:w="90" w:type="dxa"/>
              <w:end w:w="110" w:type="dxa"/>
            </w:tcMar>
          </w:tcPr>
          <w:p>
            <w:pPr>
              <w:spacing w:after="0" w:line="252" w:lineRule="auto"/>
            </w:pPr>
            <w:r>
              <w:rPr>
                <w:color w:val="000000"/>
                <w:sz w:val="19"/>
              </w:rPr>
              <w:t>Aplicación del repartidor (PWA)</w:t>
            </w:r>
          </w:p>
        </w:tc>
      </w:tr>
      <w:tr>
        <w:trPr>
          <w:cantSplit/>
        </w:trPr>
        <w:tc>
          <w:tcPr>
            <w:tcW w:type="dxa" w:w="4997"/>
            <w:vAlign w:val="center"/>
            <w:tcMar>
              <w:top w:w="90" w:type="dxa"/>
              <w:start w:w="110" w:type="dxa"/>
              <w:bottom w:w="90" w:type="dxa"/>
              <w:end w:w="110" w:type="dxa"/>
            </w:tcMar>
            <w:shd w:fill="EAF2F8"/>
          </w:tcPr>
          <w:p>
            <w:pPr>
              <w:spacing w:after="0" w:line="252" w:lineRule="auto"/>
            </w:pPr>
            <w:r>
              <w:rPr>
                <w:rFonts w:ascii="Consolas" w:hAnsi="Consolas"/>
                <w:color w:val="000000"/>
                <w:sz w:val="18"/>
              </w:rPr>
              <w:t>/health</w:t>
            </w:r>
          </w:p>
        </w:tc>
        <w:tc>
          <w:tcPr>
            <w:tcW w:type="dxa" w:w="4997"/>
            <w:vAlign w:val="center"/>
            <w:tcMar>
              <w:top w:w="90" w:type="dxa"/>
              <w:start w:w="110" w:type="dxa"/>
              <w:bottom w:w="90" w:type="dxa"/>
              <w:end w:w="110" w:type="dxa"/>
            </w:tcMar>
            <w:shd w:fill="EAF2F8"/>
          </w:tcPr>
          <w:p>
            <w:pPr>
              <w:spacing w:after="0" w:line="252" w:lineRule="auto"/>
            </w:pPr>
            <w:r>
              <w:rPr>
                <w:color w:val="000000"/>
                <w:sz w:val="19"/>
              </w:rPr>
              <w:t>Health check</w:t>
            </w:r>
          </w:p>
        </w:tc>
      </w:tr>
    </w:tbl>
    <w:p>
      <w:pPr>
        <w:spacing w:after="0"/>
      </w:pPr>
    </w:p>
    <w:p>
      <w:r>
        <w:t xml:space="preserve">Como todo comparte origen, no se configura CORS y la cookie de Identity puede emitirse con </w:t>
      </w:r>
      <w:r>
        <w:rPr>
          <w:rFonts w:ascii="Consolas" w:hAnsi="Consolas"/>
          <w:sz w:val="18"/>
        </w:rPr>
        <w:t>SameSite=Strict</w:t>
      </w:r>
      <w:r>
        <w:t>.</w:t>
      </w:r>
    </w:p>
    <w:p>
      <w:r>
        <w:t xml:space="preserve">Cada aplicación declara su ruta con </w:t>
      </w:r>
      <w:r>
        <w:rPr>
          <w:rFonts w:ascii="Consolas" w:hAnsi="Consolas"/>
          <w:sz w:val="18"/>
        </w:rPr>
        <w:t>StaticWebAssetBasePath</w:t>
      </w:r>
      <w:r>
        <w:t xml:space="preserve"> y con </w:t>
      </w:r>
      <w:r>
        <w:rPr>
          <w:rFonts w:ascii="Consolas" w:hAnsi="Consolas"/>
          <w:sz w:val="18"/>
        </w:rPr>
        <w:t>&lt;base href&gt;</w:t>
      </w:r>
      <w:r>
        <w:t xml:space="preserve"> en su </w:t>
      </w:r>
      <w:r>
        <w:rPr>
          <w:rFonts w:ascii="Consolas" w:hAnsi="Consolas"/>
          <w:sz w:val="18"/>
        </w:rPr>
        <w:t>index.html</w:t>
      </w:r>
      <w:r>
        <w:t xml:space="preserve">. La API mapea, para cada una, un fallback que devuelve su </w:t>
      </w:r>
      <w:r>
        <w:rPr>
          <w:rFonts w:ascii="Consolas" w:hAnsi="Consolas"/>
          <w:sz w:val="18"/>
        </w:rPr>
        <w:t>index.html</w:t>
      </w:r>
      <w:r>
        <w:t xml:space="preserve"> ante cualquier ruta sin extensión de archivo, de modo que la navegación interna de Blazor funcione al recargar la página o al abrir un enlace directo.</w:t>
      </w:r>
    </w:p>
    <w:p>
      <w:pPr>
        <w:pStyle w:val="Heading2"/>
      </w:pPr>
      <w:r>
        <w:t>2.2 Desarrollo desde la API</w:t>
      </w:r>
    </w:p>
    <w:p>
      <w:r>
        <w:t xml:space="preserve">Durante el desarrollo se ejecuta un único proyecto, </w:t>
      </w:r>
      <w:r>
        <w:rPr>
          <w:rFonts w:ascii="Consolas" w:hAnsi="Consolas"/>
          <w:sz w:val="18"/>
        </w:rPr>
        <w:t>Logistica.Api</w:t>
      </w:r>
      <w:r>
        <w:t>, que sirve las tres aplicaciones y habilita la depuración de WebAssembly (</w:t>
      </w:r>
      <w:r>
        <w:rPr>
          <w:rFonts w:ascii="Consolas" w:hAnsi="Consolas"/>
          <w:sz w:val="18"/>
        </w:rPr>
        <w:t>UseWebAssemblyDebugging</w:t>
      </w:r>
      <w:r>
        <w:t>). No se usan los servidores de desarrollo propios de cada aplicación: tendrían otro origen y obligarían a configurar CORS y la cookie de forma distinta que en producción.</w:t>
      </w:r>
    </w:p>
    <w:p>
      <w:pPr>
        <w:pStyle w:val="Heading2"/>
      </w:pPr>
      <w:r>
        <w:t>2.3 Alcance del service worker de la PWA</w:t>
      </w:r>
    </w:p>
    <w:p>
      <w:r>
        <w:t xml:space="preserve">El service worker de la aplicación del repartidor se registra con alcance </w:t>
      </w:r>
      <w:r>
        <w:rPr>
          <w:rFonts w:ascii="Consolas" w:hAnsi="Consolas"/>
          <w:sz w:val="18"/>
        </w:rPr>
        <w:t>/repartidor/</w:t>
      </w:r>
      <w:r>
        <w:t xml:space="preserve">, y el manifiesto de la PWA declara </w:t>
      </w:r>
      <w:r>
        <w:rPr>
          <w:rFonts w:ascii="Consolas" w:hAnsi="Consolas"/>
          <w:sz w:val="18"/>
        </w:rPr>
        <w:t>scope</w:t>
      </w:r>
      <w:r>
        <w:t xml:space="preserve"> y </w:t>
      </w:r>
      <w:r>
        <w:rPr>
          <w:rFonts w:ascii="Consolas" w:hAnsi="Consolas"/>
          <w:sz w:val="18"/>
        </w:rPr>
        <w:t>start_url</w:t>
      </w:r>
      <w:r>
        <w:t xml:space="preserve"> relativos a esa ruta. El service worker no intercepta las peticiones del portal, del seguimiento, del Backoffice ni de otras rutas del sitio.</w:t>
      </w:r>
    </w:p>
    <w:p>
      <w:r>
        <w:t>Las URLs del manifiesto de recursos generado por Blazor (</w:t>
      </w:r>
      <w:r>
        <w:rPr>
          <w:rFonts w:ascii="Consolas" w:hAnsi="Consolas"/>
          <w:sz w:val="18"/>
        </w:rPr>
        <w:t>service-worker-assets.js</w:t>
      </w:r>
      <w:r>
        <w:t xml:space="preserve">) ya incluyen el prefijo </w:t>
      </w:r>
      <w:r>
        <w:rPr>
          <w:rFonts w:ascii="Consolas" w:hAnsi="Consolas"/>
          <w:sz w:val="18"/>
        </w:rPr>
        <w:t>repartidor/</w:t>
      </w:r>
      <w:r>
        <w:t>. Por eso el service worker publicado las resuelve desde la raíz del sitio y no desde su propia ubicación.</w:t>
      </w:r>
    </w:p>
    <w:p>
      <w:pPr>
        <w:pStyle w:val="Heading2"/>
      </w:pPr>
      <w:r>
        <w:t>2.4 DTOs HTTP en Logistica.Http.Contracts</w:t>
      </w:r>
    </w:p>
    <w:p>
      <w:r>
        <w:t xml:space="preserve">Los tipos de request y response de los endpoints se ubican en un proyecto compartido, </w:t>
      </w:r>
      <w:r>
        <w:rPr>
          <w:rFonts w:ascii="Consolas" w:hAnsi="Consolas"/>
          <w:sz w:val="18"/>
        </w:rPr>
        <w:t>Logistica.Http.Contracts</w:t>
      </w:r>
      <w:r>
        <w:t>:</w:t>
      </w:r>
    </w:p>
    <w:p>
      <w:pPr>
        <w:pStyle w:val="ListBullet"/>
      </w:pPr>
      <w:r>
        <w:t>Lo referencian los proyectos de los módulos, que lo usan en sus endpoints, y las tres aplicaciones WebAssembly.</w:t>
      </w:r>
    </w:p>
    <w:p>
      <w:pPr>
        <w:pStyle w:val="ListBullet"/>
      </w:pPr>
      <w:r>
        <w:t>No tiene dependencias: también se compila para el navegador.</w:t>
      </w:r>
    </w:p>
    <w:p>
      <w:pPr>
        <w:pStyle w:val="ListBullet"/>
      </w:pPr>
      <w:r>
        <w:t xml:space="preserve">Es distinto de los proyectos </w:t>
      </w:r>
      <w:r>
        <w:rPr>
          <w:rFonts w:ascii="Consolas" w:hAnsi="Consolas"/>
          <w:sz w:val="18"/>
        </w:rPr>
        <w:t>Contracts</w:t>
      </w:r>
      <w:r>
        <w:t xml:space="preserve"> de cada módulo, que definen la comunicación entre módulos (addenda 2 y 3) y nunca llegan al navegador.</w:t>
      </w:r>
    </w:p>
    <w:p>
      <w:r>
        <w:t xml:space="preserve">Esto reemplaza la ubicación de </w:t>
      </w:r>
      <w:r>
        <w:rPr>
          <w:rFonts w:ascii="Consolas" w:hAnsi="Consolas"/>
          <w:sz w:val="18"/>
        </w:rPr>
        <w:t>CrearEnvioRequest.cs</w:t>
      </w:r>
      <w:r>
        <w:t xml:space="preserve"> en </w:t>
      </w:r>
      <w:r>
        <w:rPr>
          <w:rFonts w:ascii="Consolas" w:hAnsi="Consolas"/>
          <w:sz w:val="18"/>
        </w:rPr>
        <w:t>Presentation/Features/</w:t>
      </w:r>
      <w:r>
        <w:t xml:space="preserve"> que mostraba el ejemplo del addendum 2: los DTOs de un endpoint que consume una aplicación WebAssembly se definen en </w:t>
      </w:r>
      <w:r>
        <w:rPr>
          <w:rFonts w:ascii="Consolas" w:hAnsi="Consolas"/>
          <w:sz w:val="18"/>
        </w:rPr>
        <w:t>Logistica.Http.Contracts</w:t>
      </w:r>
      <w:r>
        <w:t>.</w:t>
      </w:r>
    </w:p>
    <w:p>
      <w:pPr>
        <w:pStyle w:val="Heading2"/>
      </w:pPr>
      <w:r>
        <w:t>2.5 Regla de dependencias (agrega a la sección 2.4 del ADR-0001)</w:t>
      </w:r>
    </w:p>
    <w:p>
      <w:pPr>
        <w:pStyle w:val="ListBullet"/>
      </w:pPr>
      <w:r>
        <w:rPr>
          <w:rFonts w:ascii="Consolas" w:hAnsi="Consolas"/>
          <w:sz w:val="18"/>
        </w:rPr>
        <w:t>Logistica.Http.Contracts</w:t>
      </w:r>
      <w:r>
        <w:t xml:space="preserve"> no depende de los módulos, de los BuildingBlocks, de ASP.NET Core ni de Entity Framework Core.</w:t>
      </w:r>
    </w:p>
    <w:p>
      <w:pPr>
        <w:pStyle w:val="ListBullet"/>
      </w:pPr>
      <w:r>
        <w:t>Las aplicaciones WebAssembly no dependen de los módulos, de los BuildingBlocks ni del Backoffice: sólo se comunican con la API por HTTP.</w:t>
      </w:r>
    </w:p>
    <w:p>
      <w:pPr>
        <w:pStyle w:val="Heading1"/>
      </w:pPr>
      <w:r>
        <w:t>3. Alternativas consideradas</w:t>
      </w:r>
    </w:p>
    <w:p>
      <w:pPr>
        <w:pStyle w:val="Heading2"/>
      </w:pPr>
      <w:r>
        <w:t>3.1 Cada aplicación WebAssembly en su propio servicio o dominio</w:t>
      </w:r>
    </w:p>
    <w:p>
      <w:r>
        <w:rPr>
          <w:b/>
        </w:rPr>
        <w:t>Motivo de descarte:</w:t>
      </w:r>
      <w:r>
        <w:t xml:space="preserve"> exige configurar CORS, emitir la cookie con </w:t>
      </w:r>
      <w:r>
        <w:rPr>
          <w:rFonts w:ascii="Consolas" w:hAnsi="Consolas"/>
          <w:sz w:val="18"/>
        </w:rPr>
        <w:t>SameSite=None</w:t>
      </w:r>
      <w:r>
        <w:t xml:space="preserve"> y protegerla adicionalmente contra CSRF, y desplegar tres servicios estáticos más.</w:t>
      </w:r>
    </w:p>
    <w:p>
      <w:pPr>
        <w:pStyle w:val="Heading2"/>
      </w:pPr>
      <w:r>
        <w:t>3.2 Servidores de desarrollo propios de cada aplicación</w:t>
      </w:r>
    </w:p>
    <w:p>
      <w:r>
        <w:rPr>
          <w:b/>
        </w:rPr>
        <w:t>Motivo de descarte:</w:t>
      </w:r>
      <w:r>
        <w:t xml:space="preserve"> ofrecen recarga en caliente más cómoda, pero con otro origen: la autenticación se comportaría distinto en desarrollo que en producción.</w:t>
      </w:r>
    </w:p>
    <w:p>
      <w:pPr>
        <w:pStyle w:val="Heading2"/>
      </w:pPr>
      <w:r>
        <w:t>3.3 DTOs duplicados en cada aplicación WebAssembly</w:t>
      </w:r>
    </w:p>
    <w:p>
      <w:r>
        <w:rPr>
          <w:b/>
        </w:rPr>
        <w:t>Motivo de descarte:</w:t>
      </w:r>
      <w:r>
        <w:t xml:space="preserve"> un cambio en un endpoint no rompería la compilación del cliente que lo consume; el error aparecería recién en ejecución.</w:t>
      </w:r>
    </w:p>
    <w:p>
      <w:pPr>
        <w:pStyle w:val="Heading2"/>
      </w:pPr>
      <w:r>
        <w:t>3.4 Clientes generados a partir de OpenAPI</w:t>
      </w:r>
    </w:p>
    <w:p>
      <w:r>
        <w:rPr>
          <w:b/>
        </w:rPr>
        <w:t>Motivo de descarte:</w:t>
      </w:r>
      <w:r>
        <w:t xml:space="preserve"> agrega una herramienta y un paso de generación al flujo de trabajo, sin ventajas frente a un proyecto compartido cuando cliente y servidor están en la misma solución.</w:t>
      </w:r>
    </w:p>
    <w:p>
      <w:pPr>
        <w:pStyle w:val="Heading1"/>
      </w:pPr>
      <w:r>
        <w:t>4. Consecuencias</w:t>
      </w:r>
    </w:p>
    <w:p>
      <w:pPr>
        <w:pStyle w:val="Heading2"/>
      </w:pPr>
      <w:r>
        <w:t>4.1 Positivas</w:t>
      </w:r>
    </w:p>
    <w:p>
      <w:pPr>
        <w:pStyle w:val="ListBullet"/>
      </w:pPr>
      <w:r>
        <w:t>Un solo origen: sin CORS, con la cookie más restrictiva y con la misma configuración en desarrollo y en producción.</w:t>
      </w:r>
    </w:p>
    <w:p>
      <w:pPr>
        <w:pStyle w:val="ListBullet"/>
      </w:pPr>
      <w:r>
        <w:t>Un solo servicio web para desplegar en App Platform.</w:t>
      </w:r>
    </w:p>
    <w:p>
      <w:pPr>
        <w:pStyle w:val="ListBullet"/>
      </w:pPr>
      <w:r>
        <w:t>El compilador detecta cuando un cambio en la API rompe a un cliente.</w:t>
      </w:r>
    </w:p>
    <w:p>
      <w:pPr>
        <w:pStyle w:val="ListBullet"/>
      </w:pPr>
      <w:r>
        <w:t>La PWA funciona sin conexión dentro de su alcance, sin afectar a las demás aplicaciones.</w:t>
      </w:r>
    </w:p>
    <w:p>
      <w:pPr>
        <w:pStyle w:val="Heading2"/>
      </w:pPr>
      <w:r>
        <w:t>4.2 Negativas y riesgos</w:t>
      </w:r>
    </w:p>
    <w:p>
      <w:pPr>
        <w:pStyle w:val="ListBullet"/>
      </w:pPr>
      <w:r>
        <w:rPr>
          <w:b/>
        </w:rPr>
        <w:t>Se desactiva `OverrideHtmlAssetPlaceholders`</w:t>
      </w:r>
      <w:r>
        <w:t xml:space="preserve"> en las tres aplicaciones. En .NET 10 esa opción publica el </w:t>
      </w:r>
      <w:r>
        <w:rPr>
          <w:rFonts w:ascii="Consolas" w:hAnsi="Consolas"/>
          <w:sz w:val="18"/>
        </w:rPr>
        <w:t>index.html</w:t>
      </w:r>
      <w:r>
        <w:t xml:space="preserve"> procesado fuera de </w:t>
      </w:r>
      <w:r>
        <w:rPr>
          <w:rFonts w:ascii="Consolas" w:hAnsi="Consolas"/>
          <w:sz w:val="18"/>
        </w:rPr>
        <w:t>StaticWebAssetBasePath</w:t>
      </w:r>
      <w:r>
        <w:t xml:space="preserve">, y las tres aplicaciones chocan en </w:t>
      </w:r>
      <w:r>
        <w:rPr>
          <w:rFonts w:ascii="Consolas" w:hAnsi="Consolas"/>
          <w:sz w:val="18"/>
        </w:rPr>
        <w:t>wwwroot/index.html</w:t>
      </w:r>
      <w:r>
        <w:t xml:space="preserve"> al publicar la API (error NETSDK1152). Sin ella, </w:t>
      </w:r>
      <w:r>
        <w:rPr>
          <w:rFonts w:ascii="Consolas" w:hAnsi="Consolas"/>
          <w:sz w:val="18"/>
        </w:rPr>
        <w:t>index.html</w:t>
      </w:r>
      <w:r>
        <w:t xml:space="preserve"> referencia </w:t>
      </w:r>
      <w:r>
        <w:rPr>
          <w:rFonts w:ascii="Consolas" w:hAnsi="Consolas"/>
          <w:sz w:val="18"/>
        </w:rPr>
        <w:t>_framework/blazor.webassembly.js</w:t>
      </w:r>
      <w:r>
        <w:t xml:space="preserve"> sin huella de contenido, como hasta .NET 9. Se pierde la precarga y el mapa de importación con huellas; la caché del navegador se sigue invalidando por los recursos con huella de </w:t>
      </w:r>
      <w:r>
        <w:rPr>
          <w:rFonts w:ascii="Consolas" w:hAnsi="Consolas"/>
          <w:sz w:val="18"/>
        </w:rPr>
        <w:t>_framework</w:t>
      </w:r>
      <w:r>
        <w:t>. Se puede revisar en una versión futura de .NET.</w:t>
      </w:r>
    </w:p>
    <w:p>
      <w:pPr>
        <w:pStyle w:val="ListBullet"/>
      </w:pPr>
      <w:r>
        <w:t xml:space="preserve">El service worker queda instalado en el navegador de cada repartidor: un error en él es costoso de corregir. Cualquier cambio en </w:t>
      </w:r>
      <w:r>
        <w:rPr>
          <w:rFonts w:ascii="Consolas" w:hAnsi="Consolas"/>
          <w:sz w:val="18"/>
        </w:rPr>
        <w:t>service-worker.published.js</w:t>
      </w:r>
      <w:r>
        <w:t xml:space="preserve"> debe verificarse con una prueba en navegador.</w:t>
      </w:r>
    </w:p>
    <w:p>
      <w:pPr>
        <w:pStyle w:val="ListBullet"/>
      </w:pPr>
      <w:r>
        <w:t>La imagen de la API incluye las tres aplicaciones: un cambio en cualquiera de ellas requiere volver a desplegar la API.</w:t>
      </w:r>
    </w:p>
    <w:p>
      <w:pPr>
        <w:pStyle w:val="Heading1"/>
      </w:pPr>
      <w:r>
        <w:t>5. Verificación</w:t>
      </w:r>
    </w:p>
    <w:p>
      <w:pPr>
        <w:pStyle w:val="ListNumber"/>
      </w:pPr>
      <w:r>
        <w:rPr>
          <w:rFonts w:ascii="Consolas" w:hAnsi="Consolas"/>
          <w:sz w:val="18"/>
        </w:rPr>
        <w:t>tests/Logistica.IntegrationTests/AplicacionesWebAssemblyTests.cs</w:t>
      </w:r>
      <w:r>
        <w:t xml:space="preserve"> verifica que cada ruta de cada aplicación devuelve su </w:t>
      </w:r>
      <w:r>
        <w:rPr>
          <w:rFonts w:ascii="Consolas" w:hAnsi="Consolas"/>
          <w:sz w:val="18"/>
        </w:rPr>
        <w:t>index.html</w:t>
      </w:r>
      <w:r>
        <w:t xml:space="preserve">, que el runtime de Blazor se sirve bajo la ruta de la aplicación y que el service worker de la PWA se sirve en </w:t>
      </w:r>
      <w:r>
        <w:rPr>
          <w:rFonts w:ascii="Consolas" w:hAnsi="Consolas"/>
          <w:sz w:val="18"/>
        </w:rPr>
        <w:t>/repartidor/</w:t>
      </w:r>
      <w:r>
        <w:t>.</w:t>
      </w:r>
    </w:p>
    <w:p>
      <w:pPr>
        <w:pStyle w:val="ListNumber"/>
      </w:pPr>
      <w:r>
        <w:rPr>
          <w:rFonts w:ascii="Consolas" w:hAnsi="Consolas"/>
          <w:sz w:val="18"/>
        </w:rPr>
        <w:t>tests/Logistica.ArchitectureTests/ClientDependencyTests.cs</w:t>
      </w:r>
      <w:r>
        <w:t xml:space="preserve"> verifica las reglas de la sección 2.5.</w:t>
      </w:r>
    </w:p>
    <w:p>
      <w:pPr>
        <w:pStyle w:val="ListNumber"/>
      </w:pPr>
      <w:r>
        <w:t>La imagen publicada de la API (</w:t>
      </w:r>
      <w:r>
        <w:rPr>
          <w:rFonts w:ascii="Consolas" w:hAnsi="Consolas"/>
          <w:sz w:val="18"/>
        </w:rPr>
        <w:t>docker compose up</w:t>
      </w:r>
      <w:r>
        <w:t xml:space="preserve">) se verificó en un navegador Chromium: las tres aplicaciones arrancan; el service worker de la PWA se activa con alcance </w:t>
      </w:r>
      <w:r>
        <w:rPr>
          <w:rFonts w:ascii="Consolas" w:hAnsi="Consolas"/>
          <w:sz w:val="18"/>
        </w:rPr>
        <w:t>/repartidor/</w:t>
      </w:r>
      <w:r>
        <w:t>; controla la PWA y no el portal; y con la red desconectada la PWA vuelve a cargar desde la caché.</w:t>
      </w:r>
    </w:p>
    <w:p>
      <w:pPr>
        <w:pStyle w:val="Heading1"/>
      </w:pPr>
      <w:r>
        <w:t>6. Historial de versiones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Mar>
              <w:top w:w="90" w:type="dxa"/>
              <w:start w:w="110" w:type="dxa"/>
              <w:bottom w:w="90" w:type="dxa"/>
              <w:end w:w="110" w:type="dxa"/>
            </w:tcMar>
            <w:shd w:fill="1F4E78"/>
          </w:tcPr>
          <w:p>
            <w:pPr>
              <w:spacing w:after="0" w:line="252" w:lineRule="auto"/>
            </w:pPr>
            <w:r>
              <w:rPr>
                <w:b/>
                <w:color w:val="FFFFFF"/>
                <w:sz w:val="19"/>
              </w:rPr>
              <w:t>Versión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Fecha</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Descripción</w:t>
            </w:r>
          </w:p>
        </w:tc>
        <w:tc>
          <w:tcPr>
            <w:tcW w:type="dxa" w:w="2498"/>
            <w:vAlign w:val="center"/>
            <w:tcMar>
              <w:top w:w="90" w:type="dxa"/>
              <w:start w:w="110" w:type="dxa"/>
              <w:bottom w:w="90" w:type="dxa"/>
              <w:end w:w="110" w:type="dxa"/>
            </w:tcMar>
            <w:shd w:fill="1F4E78"/>
          </w:tcPr>
          <w:p>
            <w:pPr>
              <w:spacing w:after="0" w:line="252" w:lineRule="auto"/>
            </w:pPr>
            <w:r>
              <w:rPr>
                <w:b/>
                <w:color w:val="FFFFFF"/>
                <w:sz w:val="19"/>
              </w:rPr>
              <w:t>Responsable</w:t>
            </w:r>
          </w:p>
        </w:tc>
      </w:tr>
      <w:tr>
        <w:trPr>
          <w:cantSplit/>
        </w:trPr>
        <w:tc>
          <w:tcPr>
            <w:tcW w:type="dxa" w:w="2498"/>
            <w:vAlign w:val="center"/>
            <w:tcMar>
              <w:top w:w="90" w:type="dxa"/>
              <w:start w:w="110" w:type="dxa"/>
              <w:bottom w:w="90" w:type="dxa"/>
              <w:end w:w="110" w:type="dxa"/>
            </w:tcMar>
          </w:tcPr>
          <w:p>
            <w:pPr>
              <w:spacing w:after="0" w:line="252" w:lineRule="auto"/>
            </w:pPr>
            <w:r>
              <w:rPr>
                <w:color w:val="000000"/>
                <w:sz w:val="19"/>
              </w:rPr>
              <w:t>0.1</w:t>
            </w:r>
          </w:p>
        </w:tc>
        <w:tc>
          <w:tcPr>
            <w:tcW w:type="dxa" w:w="2498"/>
            <w:vAlign w:val="center"/>
            <w:tcMar>
              <w:top w:w="90" w:type="dxa"/>
              <w:start w:w="110" w:type="dxa"/>
              <w:bottom w:w="90" w:type="dxa"/>
              <w:end w:w="110" w:type="dxa"/>
            </w:tcMar>
          </w:tcPr>
          <w:p>
            <w:pPr>
              <w:spacing w:after="0" w:line="252" w:lineRule="auto"/>
            </w:pPr>
            <w:r>
              <w:rPr>
                <w:color w:val="000000"/>
                <w:sz w:val="19"/>
              </w:rPr>
              <w:t>30/09/2026</w:t>
            </w:r>
          </w:p>
        </w:tc>
        <w:tc>
          <w:tcPr>
            <w:tcW w:type="dxa" w:w="2498"/>
            <w:vAlign w:val="center"/>
            <w:tcMar>
              <w:top w:w="90" w:type="dxa"/>
              <w:start w:w="110" w:type="dxa"/>
              <w:bottom w:w="90" w:type="dxa"/>
              <w:end w:w="110" w:type="dxa"/>
            </w:tcMar>
          </w:tcPr>
          <w:p>
            <w:pPr>
              <w:spacing w:after="0" w:line="252" w:lineRule="auto"/>
            </w:pPr>
            <w:r>
              <w:rPr>
                <w:color w:val="000000"/>
                <w:sz w:val="19"/>
              </w:rPr>
              <w:t>Propuesta inicial del addendum.</w:t>
            </w:r>
          </w:p>
        </w:tc>
        <w:tc>
          <w:tcPr>
            <w:tcW w:type="dxa" w:w="2498"/>
            <w:vAlign w:val="center"/>
            <w:tcMar>
              <w:top w:w="90" w:type="dxa"/>
              <w:start w:w="110" w:type="dxa"/>
              <w:bottom w:w="90" w:type="dxa"/>
              <w:end w:w="110" w:type="dxa"/>
            </w:tcMar>
          </w:tcPr>
          <w:p>
            <w:pPr>
              <w:spacing w:after="0" w:line="252" w:lineRule="auto"/>
            </w:pPr>
            <w:r>
              <w:rPr>
                <w:color w:val="000000"/>
                <w:sz w:val="19"/>
              </w:rPr>
              <w:t>Ezequiel Marcenal</w:t>
            </w:r>
          </w:p>
        </w:tc>
      </w:tr>
      <w:tr>
        <w:trPr>
          <w:cantSplit/>
        </w:trPr>
        <w:tc>
          <w:tcPr>
            <w:tcW w:type="dxa" w:w="2498"/>
            <w:vAlign w:val="center"/>
            <w:tcMar>
              <w:top w:w="90" w:type="dxa"/>
              <w:start w:w="110" w:type="dxa"/>
              <w:bottom w:w="90" w:type="dxa"/>
              <w:end w:w="110" w:type="dxa"/>
            </w:tcMar>
            <w:shd w:fill="EAF2F8"/>
          </w:tcPr>
          <w:p>
            <w:pPr>
              <w:spacing w:after="0" w:line="252" w:lineRule="auto"/>
            </w:pPr>
            <w:r>
              <w:rPr>
                <w:color w:val="000000"/>
                <w:sz w:val="19"/>
              </w:rPr>
              <w:t>0.2</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02/10/2026</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Revisado y aceptado por el responsable del ADR-0001.</w:t>
            </w:r>
          </w:p>
        </w:tc>
        <w:tc>
          <w:tcPr>
            <w:tcW w:type="dxa" w:w="2498"/>
            <w:vAlign w:val="center"/>
            <w:tcMar>
              <w:top w:w="90" w:type="dxa"/>
              <w:start w:w="110" w:type="dxa"/>
              <w:bottom w:w="90" w:type="dxa"/>
              <w:end w:w="110" w:type="dxa"/>
            </w:tcMar>
            <w:shd w:fill="EAF2F8"/>
          </w:tcPr>
          <w:p>
            <w:pPr>
              <w:spacing w:after="0" w:line="252" w:lineRule="auto"/>
            </w:pPr>
            <w:r>
              <w:rPr>
                <w:color w:val="000000"/>
                <w:sz w:val="19"/>
              </w:rPr>
              <w:t>Lucas Ottonello</w:t>
            </w:r>
          </w:p>
        </w:tc>
      </w:tr>
    </w:tbl>
    <w:p>
      <w:pPr>
        <w:spacing w:after="0"/>
      </w:pP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 0001 Estilo arquitectónico interno y organización del código</dc:title>
  <dc:subject>Versión consolidada con cinco addenda aceptados</dc:subject>
  <dc:creator>Equipo 1</dc:creator>
  <cp:keywords/>
  <dc:description>Consolidado aprobado el 2 de octubre de 2026</dc:description>
  <cp:lastModifiedBy/>
  <cp:revision>1</cp:revision>
  <dcterms:created xsi:type="dcterms:W3CDTF">2013-12-23T23:15:00Z</dcterms:created>
  <dcterms:modified xsi:type="dcterms:W3CDTF">2013-12-23T23:15:00Z</dcterms:modified>
  <cp:category/>
</cp:coreProperties>
</file>