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casos de uso por hito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7496"/>
      </w:tblGrid>
      <w:t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Acordado — reparto de responsables aprobado por el responsable del plan de trabajo (Lucas Ottonello)</w:t>
            </w:r>
          </w:p>
        </w:tc>
      </w:tr>
      <w:t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de octubre de 2026 (actualizado el 2 de octubre de 2026)</w:t>
            </w:r>
          </w:p>
        </w:tc>
      </w:tr>
      <w:t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 Marcenal</w:t>
            </w:r>
          </w:p>
        </w:tc>
      </w:tr>
      <w:t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1 - Lucas Ottonello, Ezequiel Marcenal y Cristian Reyes</w:t>
            </w:r>
          </w:p>
        </w:tc>
      </w:tr>
      <w:t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Complementa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trabajo y responsabilidades, catálogo y detalle de casos de uso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Este documento reparte los 49 casos de uso entre los hitos del laboratorio, les asigna un nivel de profundidad y un responsable. Los responsables siguen la afinidad por área del plan de trabajo, con una cantidad de casos equilibrada entre los tres integrantes.</w:t>
      </w:r>
    </w:p>
    <w:p>
      <w:pPr>
        <w:pStyle w:val="Heading1"/>
      </w:pPr>
      <w:r>
        <w:t xml:space="preserve">1. Criterios</w:t>
      </w:r>
    </w:p>
    <w:p>
      <w:pPr>
        <w:pStyle w:val="Heading2"/>
      </w:pPr>
      <w:r>
        <w:t xml:space="preserve">1.1 Horas disponibles</w:t>
      </w:r>
    </w:p>
    <w:p>
      <w:pPr>
        <w:spacing w:after="140" w:line="276"/>
      </w:pPr>
      <w:r>
        <w:t xml:space="preserve">Del 1/10 al 12/11 quedan unas 6 semanas: 3 integrantes × 12 horas × 6 semanas ≈ </w:t>
      </w:r>
      <w:r>
        <w:rPr>
          <w:b/>
          <w:bCs/>
        </w:rPr>
        <w:t xml:space="preserve">215 horas</w:t>
      </w:r>
      <w:r>
        <w:t xml:space="preserve">. Descontando los requerimientos no funcionales, los ADR pendientes, la documentación, el cambio de requerimientos del 29/10 y los opcionales, quedan unas </w:t>
      </w:r>
      <w:r>
        <w:rPr>
          <w:b/>
          <w:bCs/>
        </w:rPr>
        <w:t xml:space="preserve">50 a 80 horas</w:t>
      </w:r>
      <w:r>
        <w:t xml:space="preserve"> para los casos de uso. Por eso no todos los casos se implementan con la misma profundidad.</w:t>
      </w:r>
    </w:p>
    <w:p>
      <w:pPr>
        <w:pStyle w:val="Heading2"/>
      </w:pPr>
      <w:r>
        <w:t xml:space="preserve">1.2 Niveles de profundidad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7"/>
        <w:gridCol w:w="3999"/>
        <w:gridCol w:w="4000"/>
      </w:tblGrid>
      <w:tr>
        <w:trPr>
          <w:tblHeader/>
        </w:trPr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3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 casos</w:t>
            </w:r>
          </w:p>
        </w:tc>
      </w:tr>
      <w:tr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 · Completo</w:t>
            </w:r>
          </w:p>
        </w:tc>
        <w:tc>
          <w:tcPr>
            <w:tcW w:type="dxa" w:w="3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Flujo principal, todos los flujos alternativos y requerimientos especiales; pruebas unitarias y de integración.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que se demuestran en un monitoreo o en un escenario de la defensa (letra, sección 9.3).</w:t>
            </w:r>
          </w:p>
        </w:tc>
      </w:tr>
      <w:tr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 · Mínimo</w:t>
            </w:r>
          </w:p>
        </w:tc>
        <w:tc>
          <w:tcPr>
            <w:tcW w:type="dxa" w:w="3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Flujo principal y los flujos alternativos que protegen reglas de negocio importantes; pruebas de sus reglas.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mayoría: ABM y transiciones que no se demuestran en detalle.</w:t>
            </w:r>
          </w:p>
        </w:tc>
      </w:tr>
      <w:tr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 · Básico</w:t>
            </w:r>
          </w:p>
        </w:tc>
        <w:tc>
          <w:tcPr>
            <w:tcW w:type="dxa" w:w="3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 de punta a punta, con la interfaz más simple posible.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Reportes, incidencias, etiquetas y procesos secundarios.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Todos los casos se implementan: la letra exige cubrir todos los requerimientos funcionales (sección 5). La diferencia está en la profundidad.</w:t>
      </w:r>
    </w:p>
    <w:p>
      <w:pPr>
        <w:pStyle w:val="Heading2"/>
      </w:pPr>
      <w:r>
        <w:t xml:space="preserve">1.3 Qué significa ser responsable de un caso de uso</w:t>
      </w:r>
    </w:p>
    <w:p>
      <w:pPr>
        <w:spacing w:after="140" w:line="276"/>
      </w:pPr>
      <w:r>
        <w:rPr>
          <w:b/>
          <w:bCs/>
        </w:rPr>
        <w:t xml:space="preserve">Todo el equipo trabaja en todos los casos de uso.</w:t>
      </w:r>
      <w:r>
        <w:t xml:space="preserve"> El responsable no es quien lo programa en solitario, sino quien: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asegura de que el caso quede terminado y probado en su hito.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Revisa los cambios que hacen los demás en ese caso.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 puede explicar y defender. La letra establece que </w:t>
      </w:r>
      <w:r>
        <w:rPr>
          <w:i/>
          <w:iCs/>
        </w:rPr>
        <w:t xml:space="preserve">"un componente que su responsable no pueda explicar se considerará no entregado a los efectos de su calificación individual"</w:t>
      </w:r>
      <w:r>
        <w:t xml:space="preserve"> (sección 2), y que en la defensa cada integrante explica código </w:t>
      </w:r>
      <w:r>
        <w:rPr>
          <w:i/>
          <w:iCs/>
        </w:rPr>
        <w:t xml:space="preserve">"de su área de responsabilidad"</w:t>
      </w:r>
      <w:r>
        <w:t xml:space="preserve"> (sección 9.4).</w:t>
      </w:r>
    </w:p>
    <w:p>
      <w:pPr>
        <w:pStyle w:val="Heading2"/>
      </w:pPr>
      <w:r>
        <w:t xml:space="preserve">1.4 Responsables por bloque</w:t>
      </w:r>
    </w:p>
    <w:p>
      <w:pPr>
        <w:spacing w:after="140" w:line="276"/>
      </w:pPr>
      <w:r>
        <w:t xml:space="preserve">Cada integrante responde por bloques coherentes, alineados con su área del plan de trabajo: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9"/>
        <w:gridCol w:w="3011"/>
        <w:gridCol w:w="3011"/>
        <w:gridCol w:w="943"/>
        <w:gridCol w:w="1042"/>
      </w:tblGrid>
      <w:tr>
        <w:trPr>
          <w:tblHeader/>
        </w:trPr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del plan de trabajo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Bloques de casos de uso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Completos</w:t>
            </w:r>
          </w:p>
        </w:tc>
      </w:tr>
      <w:tr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Cristian Reyes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Administración, usuarios, Identity, multitenancy y máquina de estados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Administración y configuración</w:t>
            </w:r>
            <w:r>
              <w:rPr>
                <w:sz w:val="20"/>
                <w:szCs w:val="20"/>
              </w:rPr>
              <w:t xml:space="preserve"> (CU-01 a CU-08) · </w:t>
            </w:r>
            <w:r>
              <w:rPr>
                <w:b/>
                <w:bCs/>
                <w:sz w:val="20"/>
                <w:szCs w:val="20"/>
              </w:rPr>
              <w:t xml:space="preserve">transiciones de estado</w:t>
            </w:r>
            <w:r>
              <w:rPr>
                <w:sz w:val="20"/>
                <w:szCs w:val="20"/>
              </w:rPr>
              <w:t xml:space="preserve"> (CU-16, CU-19, CU-20, CU-21, CU-22) · </w:t>
            </w:r>
            <w:r>
              <w:rPr>
                <w:b/>
                <w:bCs/>
                <w:sz w:val="20"/>
                <w:szCs w:val="20"/>
              </w:rPr>
              <w:t xml:space="preserve">seguimiento público y tablero</w:t>
            </w:r>
            <w:r>
              <w:rPr>
                <w:sz w:val="20"/>
                <w:szCs w:val="20"/>
              </w:rPr>
              <w:t xml:space="preserve"> (CU-60, CU-61, CU-66)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Ezequiel Marcenal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Modelado de dominio, infraestructura, Docker, CI, pruebas, Terraform y despliegue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Núcleo de Envíos</w:t>
            </w:r>
            <w:r>
              <w:rPr>
                <w:sz w:val="20"/>
                <w:szCs w:val="20"/>
              </w:rPr>
              <w:t xml:space="preserve"> (CU-10, CU-11, CU-17, CU-18) · </w:t>
            </w:r>
            <w:r>
              <w:rPr>
                <w:b/>
                <w:bCs/>
                <w:sz w:val="20"/>
                <w:szCs w:val="20"/>
              </w:rPr>
              <w:t xml:space="preserve">Depósito y liquidaciones</w:t>
            </w:r>
            <w:r>
              <w:rPr>
                <w:sz w:val="20"/>
                <w:szCs w:val="20"/>
              </w:rPr>
              <w:t xml:space="preserve"> (CU-30 a CU-33, CU-55) · </w:t>
            </w:r>
            <w:r>
              <w:rPr>
                <w:b/>
                <w:bCs/>
                <w:sz w:val="20"/>
                <w:szCs w:val="20"/>
              </w:rPr>
              <w:t xml:space="preserve">mensajería, Worker y reportes</w:t>
            </w:r>
            <w:r>
              <w:rPr>
                <w:sz w:val="20"/>
                <w:szCs w:val="20"/>
              </w:rPr>
              <w:t xml:space="preserve"> (CU-09, CU-52, CU-62, CU-64, CU-70, CU-71, CU-72)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Lucas Ottonello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Arquitectura, comunicación entre módulos, documentación y presentación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Planificación</w:t>
            </w:r>
            <w:r>
              <w:rPr>
                <w:sz w:val="20"/>
                <w:szCs w:val="20"/>
              </w:rPr>
              <w:t xml:space="preserve"> (CU-40 a CU-43) · </w:t>
            </w:r>
            <w:r>
              <w:rPr>
                <w:b/>
                <w:bCs/>
                <w:sz w:val="20"/>
                <w:szCs w:val="20"/>
              </w:rPr>
              <w:t xml:space="preserve">Ejecución en la PWA</w:t>
            </w:r>
            <w:r>
              <w:rPr>
                <w:sz w:val="20"/>
                <w:szCs w:val="20"/>
              </w:rPr>
              <w:t xml:space="preserve"> (CU-50, CU-51, CU-53, CU-54) · </w:t>
            </w:r>
            <w:r>
              <w:rPr>
                <w:b/>
                <w:bCs/>
                <w:sz w:val="20"/>
                <w:szCs w:val="20"/>
              </w:rPr>
              <w:t xml:space="preserve">consultas y avisos del Portal</w:t>
            </w:r>
            <w:r>
              <w:rPr>
                <w:sz w:val="20"/>
                <w:szCs w:val="20"/>
              </w:rPr>
              <w:t xml:space="preserve"> (CU-13, CU-14, CU-15, CU-63, CU-65) · </w:t>
            </w:r>
            <w:r>
              <w:rPr>
                <w:b/>
                <w:bCs/>
                <w:sz w:val="20"/>
                <w:szCs w:val="20"/>
              </w:rPr>
              <w:t xml:space="preserve">API pública</w:t>
            </w:r>
            <w:r>
              <w:rPr>
                <w:sz w:val="20"/>
                <w:szCs w:val="20"/>
              </w:rPr>
              <w:t xml:space="preserve"> (CU-80 a CU-83)</w:t>
            </w:r>
          </w:p>
        </w:tc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Plan por hito</w:t>
      </w:r>
    </w:p>
    <w:p>
      <w:pPr>
        <w:pStyle w:val="Heading2"/>
      </w:pPr>
      <w:r>
        <w:t xml:space="preserve">2.1 Hito del 8/10 · Esqueleto de extremo a extremo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docker compose up levanta el entorno completo, un envío dado de alta desde el portal del comercio se ve en el backoffice, y el pipeline de integración continua corre.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94"/>
        <w:gridCol w:w="1752"/>
        <w:gridCol w:w="1209"/>
        <w:gridCol w:w="3551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1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CU-10</w:t>
            </w:r>
          </w:p>
        </w:tc>
        <w:tc>
          <w:tcPr>
            <w:tcW w:type="dxa" w:w="1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un envío individual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(versión mínima ahora)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bulto, sin franja, tenant provisorio. Se completa para el 15/10.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CU-13</w:t>
            </w:r>
          </w:p>
        </w:tc>
        <w:tc>
          <w:tcPr>
            <w:tcW w:type="dxa" w:w="1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envíos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del Backoffice sin filtros.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SharedKernel</w:t>
      </w:r>
      <w:r>
        <w:t xml:space="preserve"> (Ezequiel); DbContext y migraciones de Envíos y Administración (Ezequiel); datos iniciales y </w:t>
      </w:r>
      <w:r>
        <w:rPr>
          <w:rFonts w:ascii="Consolas" w:cs="Consolas" w:eastAsia="Consolas" w:hAnsi="Consolas"/>
          <w:sz w:val="19"/>
          <w:szCs w:val="19"/>
        </w:rPr>
        <w:t xml:space="preserve">ICurrentTenant</w:t>
      </w:r>
      <w:r>
        <w:t xml:space="preserve"> provisorio (Cristian); pantalla del Portal y página del Backoffice (Lucas).</w:t>
      </w:r>
    </w:p>
    <w:p>
      <w:pPr>
        <w:pStyle w:val="Heading2"/>
      </w:pPr>
      <w:r>
        <w:t xml:space="preserve">2.2 Hito del 15/10 · Máquina de estados, multitenancy y autenticación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máquina de estados operativa; multitenancy funcionando con dos operadores de configuración distinta; autenticación y autorización por perfil.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602"/>
        <w:gridCol w:w="1050"/>
        <w:gridCol w:w="1300"/>
        <w:gridCol w:w="3304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CU-10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un envío individual (completar)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Tarifa por bulto, franjas y flujos alternativos.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Gestionar usuarios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Identity, perfiles y autorización por perfil.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CU-03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Seleccionar el operador de la sesión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CU-07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Gestionar la identidad visual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Muestra los dos operadores con marca distinta.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CU-14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el detalle de un envío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Historial de eventos visible en la demo.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CU-16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Cancelar un envío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CU-19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Reprogramar un envío no entregado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CU-30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Recibir bultos en depósito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Transición T2 con transacción compartida.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CU-40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Armar una hoja de ruta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15: un envío en una sola ruta, con concurrencia.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CU-41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Quitar un envío de una ruta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máquina de estados con su tabla declarativa y pruebas (Cristian); interceptor, filtros por inquilino y pruebas de aislamiento (Cristian y Ezequiel); datos iniciales de dos operadores con configuración distinta (Cristian); </w:t>
      </w:r>
      <w:r>
        <w:rPr>
          <w:rFonts w:ascii="Consolas" w:cs="Consolas" w:eastAsia="Consolas" w:hAnsi="Consolas"/>
          <w:sz w:val="19"/>
          <w:szCs w:val="19"/>
        </w:rPr>
        <w:t xml:space="preserve">ModuleDbContext</w:t>
      </w:r>
      <w:r>
        <w:t xml:space="preserve"> con schema por módulo y tabla outbox (Ezequiel).</w:t>
      </w:r>
    </w:p>
    <w:p>
      <w:pPr>
        <w:pStyle w:val="Heading2"/>
      </w:pPr>
      <w:r>
        <w:t xml:space="preserve">2.3 Hito del 22/10 · PWA sin conexión y caché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aplicación móvil descargando la hoja de ruta, registrando entregas sin conectividad y sincronizando; caché en funcionamiento con su métrica de aciertos.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"/>
        <w:gridCol w:w="2716"/>
        <w:gridCol w:w="1045"/>
        <w:gridCol w:w="1290"/>
        <w:gridCol w:w="3210"/>
      </w:tblGrid>
      <w:tr>
        <w:trPr>
          <w:tblHeader/>
        </w:trP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CU-43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Despachar una ruta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para que la PWA descargue la ruta.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CU-50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Descargar la hoja de ruta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cifrados en el dispositivo.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CU-51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Escanear la carga del vehículo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CU-17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Registrar una entrega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Firma obligatoria; escenario 2 de la defensa.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CU-18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Registrar un intento fallido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Reprogramación o devolución automática.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CU-52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Sincronizar las operaciones sin conexión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Escenarios 2 y 3 de la defensa.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CU-54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Iniciar la rendición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CU-55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la rendición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CU-60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el seguimiento público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Caché con métrica de aciertos.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CU-04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zonas y franjas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CU-05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el cuadro tarifario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Caché con invalidación; escenario 5 de la defensa.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CU-06</w:t>
            </w:r>
          </w:p>
        </w:tc>
        <w:tc>
          <w:tcPr>
            <w:tcW w:type="dxa" w:w="2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las reglas operativas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Escenario 5 de la defensa.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ADR de resolución de conflictos de sincronización (Ezequiel, obligatorio); ADR de caché (Cristian, obligatorio); IndexedDB cifrado en la PWA (Lucas).</w:t>
      </w:r>
    </w:p>
    <w:p>
      <w:pPr>
        <w:pStyle w:val="Heading2"/>
      </w:pPr>
      <w:r>
        <w:t xml:space="preserve">2.4 Hito del 29/10 · Mensajería, avisos y tablero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mensajería asíncrona con worker independiente; avisos a comercios con reintentos y cola de fallidos; tablero en tiempo real.</w:t>
      </w:r>
      <w:r>
        <w:t xml:space="preserve"> Además, ese día llega el </w:t>
      </w:r>
      <w:r>
        <w:rPr>
          <w:b/>
          <w:bCs/>
        </w:rPr>
        <w:t xml:space="preserve">cambio de requerimientos</w:t>
      </w:r>
      <w:r>
        <w:t xml:space="preserve">: conviene no cargar este hito al máximo.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"/>
        <w:gridCol w:w="2913"/>
        <w:gridCol w:w="1045"/>
        <w:gridCol w:w="1290"/>
        <w:gridCol w:w="3013"/>
      </w:tblGrid>
      <w:tr>
        <w:trPr>
          <w:tblHeader/>
        </w:trP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CU-62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Notificar al destinatario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Mailpit en desarrollo.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CU-63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las suscripciones de avisos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CU-64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Entregar los avisos a los comercios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Receptor de prueba; escenario 6 de la defensa.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CU-65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el historial de avisos y reenviar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CU-66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el tablero de operación en vivo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SignalR con aislamiento por inquilino.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CU-09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y reintentar los mensajes fallidos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Exigido por la sección 6.8.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CU-53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Reportar la posición del vehículo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 el tablero.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CU-61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Solicitar la reprogramación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T18 y T19, a confirmar.</w:t>
            </w:r>
          </w:p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CU-20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Iniciar la devolución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CU-21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Declarar un envío como extraviado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CU-31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la devolución al comercio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Outbox, publicador, inbox y topología de RabbitMQ según el ADR-0003 (Ezequiel y Lucas); el Worker ejecutando el módulo Seguimiento (Lucas); incorporación del cambio de requerimientos (todo el equipo).</w:t>
      </w:r>
    </w:p>
    <w:p>
      <w:pPr>
        <w:pStyle w:val="Heading2"/>
      </w:pPr>
      <w:r>
        <w:t xml:space="preserve">2.5 Hito del 5/11 · Despliegue y observabilidad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solución desplegada en la nube mediante infraestructura como código y el tablero de observabilidad operativo.</w:t>
      </w:r>
      <w:r>
        <w:t xml:space="preserve"> La exención de equipos de 3 quita el requisito de dos instancias balanceadas.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7"/>
        <w:gridCol w:w="2891"/>
        <w:gridCol w:w="1097"/>
        <w:gridCol w:w="1386"/>
        <w:gridCol w:w="2835"/>
      </w:tblGrid>
      <w:tr>
        <w:trPr>
          <w:tblHeader/>
        </w:trP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Gestionar comercios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Hasta acá se usaban datos iniciales.</w:t>
            </w:r>
          </w:p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CU-08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Gestionar repartidores y vehículos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Ídem.</w:t>
            </w:r>
          </w:p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Importar envíos desde un archivo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Idempotencia (RF 7).</w:t>
            </w:r>
          </w:p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CU-42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Ordenar las paradas de una ruta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franja y zona.</w:t>
            </w:r>
          </w:p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CU-32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Generar la liquidación de un comercio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CU-33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la cuenta corriente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Terraform, App Platform, PostgreSQL, Valkey y RabbitMQ administrados (Ezequiel); Serilog, OpenTelemetry y tablero técnico (Ezequiel y Lucas); ADR de modo de renderizado de Blazor (Lucas, obligatorio).</w:t>
      </w:r>
    </w:p>
    <w:p>
      <w:pPr>
        <w:pStyle w:val="Heading2"/>
      </w:pPr>
      <w:r>
        <w:t xml:space="preserve">2.6 Hito del 12/11 · Opcionales y estabilización</w:t>
      </w:r>
    </w:p>
    <w:p>
      <w:pPr>
        <w:spacing w:after="140" w:line="276"/>
      </w:pPr>
      <w:r>
        <w:rPr>
          <w:b/>
          <w:bCs/>
        </w:rPr>
        <w:t xml:space="preserve">Objetivo de la letra:</w:t>
      </w:r>
      <w:r>
        <w:t xml:space="preserve"> </w:t>
      </w:r>
      <w:r>
        <w:rPr>
          <w:i/>
          <w:iCs/>
        </w:rPr>
        <w:t xml:space="preserve">requerimientos opcionales completos; ensayo de la presentación y de la demo; revisión final.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52"/>
        <w:gridCol w:w="1050"/>
        <w:gridCol w:w="1300"/>
        <w:gridCol w:w="2704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CU-80 a CU-83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pública para comercios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Opcional 7.4 (3 puntos). Ver sección 4.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CU-15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Imprimir las etiquetas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CU-22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Gestionar incidencias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CU-70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Ejecutar el cierre diario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CU-71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Recalcular los indicadores de cumplimiento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CU-72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Consultar reportes de gestión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Tablas, sin gráficos.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Trabajo transversal:</w:t>
      </w:r>
      <w:r>
        <w:t xml:space="preserve"> opcionales restantes hasta llegar a 8 puntos; corrección de errores; documentación final, bitácora de IA y registro de horas; ensayo de la presentación (todo el equipo).</w:t>
      </w:r>
    </w:p>
    <w:p>
      <w:pPr>
        <w:pStyle w:val="Heading1"/>
      </w:pPr>
      <w:r>
        <w:t xml:space="preserve">3. Resumen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702"/>
        <w:gridCol w:w="2178"/>
        <w:gridCol w:w="1861"/>
        <w:gridCol w:w="1863"/>
      </w:tblGrid>
      <w:tr>
        <w:trPr>
          <w:tblHeader/>
        </w:trP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Hito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Completos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Mínimos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Básicos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8/10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15/10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22/10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29/10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5/11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12/11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8"/>
        <w:gridCol w:w="2073"/>
        <w:gridCol w:w="2735"/>
      </w:tblGrid>
      <w:tr>
        <w:trPr>
          <w:tblHeader/>
        </w:trPr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Completos</w:t>
            </w:r>
          </w:p>
        </w:tc>
      </w:tr>
      <w:tr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Lucas Ottonello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 Marcenal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Cristian Reyes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La cantidad de casos está equilibrada. Ezequiel concentra los de mayor complejidad (sincronización y avisos) además de la infraestructura y el despliegue, por lo que su carga en horas es mayor en los hitos del 22/10 y el 5/11. Si hiciera falta compensarla, la opción natural es que Lucas tome CU-52, ya que es responsable del resto de la PWA.</w:t>
      </w:r>
    </w:p>
    <w:p>
      <w:pPr>
        <w:pStyle w:val="Heading1"/>
      </w:pPr>
      <w:r>
        <w:t xml:space="preserve">4. Decisiones abiertas del plan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4"/>
        <w:gridCol w:w="6442"/>
      </w:tblGrid>
      <w:tr>
        <w:trPr>
          <w:tblHeader/>
        </w:trPr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pública (opcional 7.4)</w:t>
            </w:r>
          </w:p>
        </w:tc>
        <w:tc>
          <w:tcPr>
            <w:tcW w:type="dxa" w:w="6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Vale 3 puntos, pero es de los opcionales más costosos (claves, ambiente de pruebas, limitación de tasa, documentación). Hay opcionales de 2 puntos que salen casi solos con lo que ya está armado: </w:t>
            </w:r>
            <w:r>
              <w:rPr>
                <w:b/>
                <w:bCs/>
                <w:sz w:val="20"/>
                <w:szCs w:val="20"/>
              </w:rPr>
              <w:t xml:space="preserve">cobertura de pruebas superior al 70 %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pruebas de resiliencia</w:t>
            </w:r>
            <w:r>
              <w:rPr>
                <w:sz w:val="20"/>
                <w:szCs w:val="20"/>
              </w:rPr>
              <w:t xml:space="preserve">. Conviene definir qué combinación llega a los 8 puntos antes del 29/10.</w:t>
            </w:r>
          </w:p>
        </w:tc>
      </w:tr>
      <w:tr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Hito del 22/10</w:t>
            </w:r>
          </w:p>
        </w:tc>
        <w:tc>
          <w:tcPr>
            <w:tcW w:type="dxa" w:w="6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el más cargado (12 casos, 8 completos). Si el 15/10 se atrasa, conviene pasar CU-04 y CU-54 al 29/10.</w:t>
            </w:r>
          </w:p>
        </w:tc>
      </w:tr>
      <w:tr>
        <w:tc>
          <w:tcPr>
            <w:tcW w:type="dxa" w:w="2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Acordados con el responsable del plan de trabajo. Se pueden ajustar según el avance, como prevé el plan de trabajo.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Historial de versiones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4"/>
        <w:gridCol w:w="1356"/>
        <w:gridCol w:w="4994"/>
        <w:gridCol w:w="1782"/>
      </w:tblGrid>
      <w:tr>
        <w:trPr>
          <w:tblHeader/>
        </w:trPr>
        <w:tc>
          <w:tcPr>
            <w:tcW w:type="dxa" w:w="1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01/10/2026</w:t>
            </w:r>
          </w:p>
        </w:tc>
        <w:tc>
          <w:tcPr>
            <w:tcW w:type="dxa" w:w="4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Propuesta inicial.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 Marcenal</w:t>
            </w:r>
          </w:p>
        </w:tc>
      </w:tr>
      <w:tr>
        <w:tc>
          <w:tcPr>
            <w:tcW w:type="dxa" w:w="1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02/10/2026</w:t>
            </w:r>
          </w:p>
        </w:tc>
        <w:tc>
          <w:tcPr>
            <w:tcW w:type="dxa" w:w="4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= dueño que responde por el caso, no único que lo programa. Reparto equilibrado por bloques (16, 16 y 17 casos), acordado con Lucas Ottonello.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Ezequiel Marcenal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Equipo 1 · Laboratorio .NET 2026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Plan de casos de uso por hito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casos de uso por hito</dc:title>
  <dc:creator>Equipo 1</dc:creator>
  <cp:lastModifiedBy>Un-named</cp:lastModifiedBy>
  <cp:revision>1</cp:revision>
  <dcterms:created xsi:type="dcterms:W3CDTF">2026-10-02T11:40:06.868Z</dcterms:created>
  <dcterms:modified xsi:type="dcterms:W3CDTF">2026-10-02T11:40:06.869Z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