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9846C" w14:textId="41737113" w:rsidR="00552932" w:rsidRPr="00F51A3B" w:rsidRDefault="00F51A3B" w:rsidP="00F51A3B">
      <w:pPr>
        <w:widowControl w:val="0"/>
        <w:pBdr>
          <w:top w:val="nil"/>
          <w:left w:val="nil"/>
          <w:bottom w:val="nil"/>
          <w:right w:val="nil"/>
          <w:between w:val="nil"/>
        </w:pBdr>
        <w:spacing w:line="276" w:lineRule="auto"/>
        <w:ind w:left="0" w:hanging="2"/>
        <w:jc w:val="right"/>
        <w:rPr>
          <w:rFonts w:ascii="Arial" w:eastAsia="Arial" w:hAnsi="Arial" w:cs="Arial"/>
          <w:sz w:val="20"/>
          <w:szCs w:val="20"/>
        </w:rPr>
      </w:pPr>
      <w:r>
        <w:rPr>
          <w:rFonts w:ascii="Arial" w:eastAsia="Arial" w:hAnsi="Arial" w:cs="Arial"/>
          <w:sz w:val="20"/>
          <w:szCs w:val="20"/>
        </w:rPr>
        <w:t>{</w:t>
      </w:r>
      <w:r w:rsidRPr="00B345B1">
        <w:rPr>
          <w:rFonts w:ascii="Arial" w:eastAsia="Arial" w:hAnsi="Arial" w:cs="Arial"/>
          <w:sz w:val="20"/>
          <w:szCs w:val="20"/>
        </w:rPr>
        <w:t>TodaysDate</w:t>
      </w:r>
      <w:r>
        <w:rPr>
          <w:rFonts w:ascii="Arial" w:eastAsia="Arial" w:hAnsi="Arial" w:cs="Arial"/>
          <w:sz w:val="20"/>
          <w:szCs w:val="20"/>
        </w:rPr>
        <w:t>}</w:t>
      </w:r>
    </w:p>
    <w:tbl>
      <w:tblPr>
        <w:tblStyle w:val="a8"/>
        <w:tblW w:w="103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1"/>
        <w:gridCol w:w="5409"/>
      </w:tblGrid>
      <w:tr w:rsidR="00552932" w14:paraId="451A4B69" w14:textId="77777777">
        <w:trPr>
          <w:trHeight w:val="709"/>
        </w:trPr>
        <w:tc>
          <w:tcPr>
            <w:tcW w:w="4911" w:type="dxa"/>
          </w:tcPr>
          <w:p w14:paraId="1C5A0265" w14:textId="77777777" w:rsidR="00552932"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PIRKIMO – PARDAVIMO</w:t>
            </w:r>
          </w:p>
          <w:p w14:paraId="441AAA64" w14:textId="77777777" w:rsidR="00552932"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SUTARTIS </w:t>
            </w:r>
          </w:p>
        </w:tc>
        <w:tc>
          <w:tcPr>
            <w:tcW w:w="5409" w:type="dxa"/>
          </w:tcPr>
          <w:p w14:paraId="4E07A607" w14:textId="77777777" w:rsidR="00552932"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1679435F" w14:textId="77777777" w:rsidR="00552932"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552932" w14:paraId="5843C281" w14:textId="77777777">
        <w:tc>
          <w:tcPr>
            <w:tcW w:w="4911" w:type="dxa"/>
          </w:tcPr>
          <w:p w14:paraId="1CCBC1F4"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Vinted Go, UAB</w:t>
            </w:r>
            <w:r>
              <w:rPr>
                <w:rFonts w:ascii="Arial" w:eastAsia="Arial" w:hAnsi="Arial" w:cs="Arial"/>
                <w:color w:val="000000"/>
                <w:sz w:val="20"/>
                <w:szCs w:val="20"/>
              </w:rPr>
              <w:t xml:space="preserve">, juridinio asmens kodas </w:t>
            </w:r>
            <w:r>
              <w:rPr>
                <w:rFonts w:ascii="Arial" w:eastAsia="Arial" w:hAnsi="Arial" w:cs="Arial"/>
                <w:sz w:val="20"/>
                <w:szCs w:val="20"/>
              </w:rPr>
              <w:t>305959706</w:t>
            </w:r>
            <w:r>
              <w:rPr>
                <w:rFonts w:ascii="Arial" w:eastAsia="Arial" w:hAnsi="Arial" w:cs="Arial"/>
                <w:color w:val="000000"/>
                <w:sz w:val="20"/>
                <w:szCs w:val="20"/>
              </w:rPr>
              <w:t>, buveinė registruota adresu Švitrigailos g. 13, Vilnius, Lietuva</w:t>
            </w:r>
            <w:r>
              <w:rPr>
                <w:rFonts w:ascii="Arial" w:eastAsia="Arial" w:hAnsi="Arial" w:cs="Arial"/>
                <w:color w:val="000000"/>
                <w:sz w:val="20"/>
                <w:szCs w:val="20"/>
                <w:highlight w:val="white"/>
              </w:rPr>
              <w:t xml:space="preserve">, </w:t>
            </w:r>
            <w:r>
              <w:rPr>
                <w:rFonts w:ascii="Arial" w:eastAsia="Arial" w:hAnsi="Arial" w:cs="Arial"/>
                <w:sz w:val="20"/>
                <w:szCs w:val="20"/>
              </w:rPr>
              <w:t xml:space="preserve">el. Paštas </w:t>
            </w:r>
            <w:hyperlink r:id="rId8">
              <w:r w:rsidR="00552932">
                <w:rPr>
                  <w:rFonts w:ascii="Arial" w:eastAsia="Arial" w:hAnsi="Arial" w:cs="Arial"/>
                  <w:color w:val="1155CC"/>
                  <w:sz w:val="20"/>
                  <w:szCs w:val="20"/>
                  <w:highlight w:val="white"/>
                  <w:u w:val="single"/>
                </w:rPr>
                <w:t>it-hw@vinted.com</w:t>
              </w:r>
            </w:hyperlink>
            <w:r>
              <w:rPr>
                <w:rFonts w:ascii="Arial" w:eastAsia="Arial" w:hAnsi="Arial" w:cs="Arial"/>
                <w:sz w:val="20"/>
                <w:szCs w:val="20"/>
              </w:rPr>
              <w:t xml:space="preserve">, </w:t>
            </w:r>
            <w:r>
              <w:rPr>
                <w:rFonts w:ascii="Arial" w:eastAsia="Arial" w:hAnsi="Arial" w:cs="Arial"/>
                <w:color w:val="000000"/>
                <w:sz w:val="20"/>
                <w:szCs w:val="20"/>
              </w:rPr>
              <w:t>atstovaujama įgaliotin</w:t>
            </w:r>
            <w:r>
              <w:rPr>
                <w:rFonts w:ascii="Arial" w:eastAsia="Arial" w:hAnsi="Arial" w:cs="Arial"/>
                <w:sz w:val="20"/>
                <w:szCs w:val="20"/>
              </w:rPr>
              <w:t>io (-ės),</w:t>
            </w:r>
            <w:r>
              <w:rPr>
                <w:rFonts w:ascii="Arial" w:eastAsia="Arial" w:hAnsi="Arial" w:cs="Arial"/>
                <w:color w:val="000000"/>
                <w:sz w:val="20"/>
                <w:szCs w:val="20"/>
              </w:rPr>
              <w:t xml:space="preserve"> veikiančio</w:t>
            </w:r>
            <w:r>
              <w:rPr>
                <w:rFonts w:ascii="Arial" w:eastAsia="Arial" w:hAnsi="Arial" w:cs="Arial"/>
                <w:sz w:val="20"/>
                <w:szCs w:val="20"/>
              </w:rPr>
              <w:t xml:space="preserve"> (-ios)</w:t>
            </w:r>
            <w:r>
              <w:rPr>
                <w:rFonts w:ascii="Arial" w:eastAsia="Arial" w:hAnsi="Arial" w:cs="Arial"/>
                <w:color w:val="000000"/>
                <w:sz w:val="20"/>
                <w:szCs w:val="20"/>
              </w:rPr>
              <w:t xml:space="preserve"> pagal įgaliojimą; </w:t>
            </w:r>
          </w:p>
        </w:tc>
        <w:tc>
          <w:tcPr>
            <w:tcW w:w="5409" w:type="dxa"/>
          </w:tcPr>
          <w:p w14:paraId="4FDC7A11"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Vinted Go UAB</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 xml:space="preserve">legal entity code </w:t>
            </w:r>
            <w:r>
              <w:rPr>
                <w:rFonts w:ascii="Arial" w:eastAsia="Arial" w:hAnsi="Arial" w:cs="Arial"/>
                <w:sz w:val="20"/>
                <w:szCs w:val="20"/>
              </w:rPr>
              <w:t>305959706</w:t>
            </w:r>
            <w:r>
              <w:rPr>
                <w:rFonts w:ascii="Arial" w:eastAsia="Arial" w:hAnsi="Arial" w:cs="Arial"/>
                <w:color w:val="000000"/>
                <w:sz w:val="20"/>
                <w:szCs w:val="20"/>
              </w:rPr>
              <w:t xml:space="preserve">, with the registered office located at the address Švitrigailos str. 13, Vilnius, Lithuania, email </w:t>
            </w:r>
            <w:hyperlink r:id="rId9">
              <w:r w:rsidR="00552932">
                <w:rPr>
                  <w:rFonts w:ascii="Arial" w:eastAsia="Arial" w:hAnsi="Arial" w:cs="Arial"/>
                  <w:color w:val="1155CC"/>
                  <w:sz w:val="20"/>
                  <w:szCs w:val="20"/>
                  <w:highlight w:val="white"/>
                  <w:u w:val="single"/>
                </w:rPr>
                <w:t>it-hw@vinted.com</w:t>
              </w:r>
            </w:hyperlink>
            <w:r>
              <w:rPr>
                <w:rFonts w:ascii="Arial" w:eastAsia="Arial" w:hAnsi="Arial" w:cs="Arial"/>
                <w:sz w:val="20"/>
                <w:szCs w:val="20"/>
              </w:rPr>
              <w:t xml:space="preserve">, </w:t>
            </w:r>
            <w:r>
              <w:rPr>
                <w:rFonts w:ascii="Arial" w:eastAsia="Arial" w:hAnsi="Arial" w:cs="Arial"/>
                <w:color w:val="000000"/>
                <w:sz w:val="20"/>
                <w:szCs w:val="20"/>
              </w:rPr>
              <w:t>represented by proxy</w:t>
            </w:r>
            <w:r>
              <w:rPr>
                <w:rFonts w:ascii="Arial" w:eastAsia="Arial" w:hAnsi="Arial" w:cs="Arial"/>
                <w:sz w:val="20"/>
                <w:szCs w:val="20"/>
              </w:rPr>
              <w:t xml:space="preserve">, </w:t>
            </w:r>
            <w:r>
              <w:rPr>
                <w:rFonts w:ascii="Arial" w:eastAsia="Arial" w:hAnsi="Arial" w:cs="Arial"/>
                <w:color w:val="000000"/>
                <w:sz w:val="20"/>
                <w:szCs w:val="20"/>
              </w:rPr>
              <w:t xml:space="preserve">acting in accordance with the power of attorney, </w:t>
            </w:r>
          </w:p>
        </w:tc>
      </w:tr>
      <w:tr w:rsidR="00552932" w14:paraId="204AD011" w14:textId="77777777">
        <w:tc>
          <w:tcPr>
            <w:tcW w:w="4911" w:type="dxa"/>
          </w:tcPr>
          <w:p w14:paraId="3A89B105"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toliau vadinama</w:t>
            </w:r>
            <w:r>
              <w:rPr>
                <w:rFonts w:ascii="Arial" w:eastAsia="Arial" w:hAnsi="Arial" w:cs="Arial"/>
                <w:b/>
                <w:color w:val="000000"/>
                <w:sz w:val="20"/>
                <w:szCs w:val="20"/>
              </w:rPr>
              <w:t xml:space="preserve"> Pardavėju </w:t>
            </w:r>
            <w:r>
              <w:rPr>
                <w:rFonts w:ascii="Arial" w:eastAsia="Arial" w:hAnsi="Arial" w:cs="Arial"/>
                <w:color w:val="000000"/>
                <w:sz w:val="20"/>
                <w:szCs w:val="20"/>
              </w:rPr>
              <w:t>ar</w:t>
            </w:r>
            <w:r>
              <w:rPr>
                <w:rFonts w:ascii="Arial" w:eastAsia="Arial" w:hAnsi="Arial" w:cs="Arial"/>
                <w:b/>
                <w:color w:val="000000"/>
                <w:sz w:val="20"/>
                <w:szCs w:val="20"/>
              </w:rPr>
              <w:t xml:space="preserve"> Bendrove</w:t>
            </w:r>
            <w:r>
              <w:rPr>
                <w:rFonts w:ascii="Arial" w:eastAsia="Arial" w:hAnsi="Arial" w:cs="Arial"/>
                <w:color w:val="000000"/>
                <w:sz w:val="20"/>
                <w:szCs w:val="20"/>
              </w:rPr>
              <w:t>,</w:t>
            </w:r>
          </w:p>
        </w:tc>
        <w:tc>
          <w:tcPr>
            <w:tcW w:w="5409" w:type="dxa"/>
          </w:tcPr>
          <w:p w14:paraId="4F58E4B5"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552932" w14:paraId="69605668" w14:textId="77777777">
        <w:tc>
          <w:tcPr>
            <w:tcW w:w="4911" w:type="dxa"/>
          </w:tcPr>
          <w:p w14:paraId="711CED9F"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ir</w:t>
            </w:r>
          </w:p>
        </w:tc>
        <w:tc>
          <w:tcPr>
            <w:tcW w:w="5409" w:type="dxa"/>
          </w:tcPr>
          <w:p w14:paraId="7DD4D79B"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552932" w14:paraId="5CB06B7B" w14:textId="77777777">
        <w:tc>
          <w:tcPr>
            <w:tcW w:w="4911" w:type="dxa"/>
          </w:tcPr>
          <w:p w14:paraId="2FDFD2C9" w14:textId="23128620" w:rsidR="00552932" w:rsidRPr="00F51A3B" w:rsidRDefault="00F51A3B" w:rsidP="00F51A3B">
            <w:pPr>
              <w:pBdr>
                <w:top w:val="nil"/>
                <w:left w:val="nil"/>
                <w:bottom w:val="nil"/>
                <w:right w:val="nil"/>
                <w:between w:val="nil"/>
              </w:pBdr>
              <w:spacing w:before="120" w:line="240" w:lineRule="auto"/>
              <w:ind w:left="-2" w:firstLineChars="0" w:firstLine="0"/>
              <w:jc w:val="both"/>
              <w:rPr>
                <w:rFonts w:ascii="Arial" w:eastAsia="Arial" w:hAnsi="Arial" w:cs="Arial"/>
                <w:color w:val="000000"/>
                <w:sz w:val="20"/>
                <w:szCs w:val="20"/>
                <w:highlight w:val="white"/>
              </w:rPr>
            </w:pPr>
            <w:r>
              <w:rPr>
                <w:rFonts w:ascii="Arial" w:eastAsia="Arial" w:hAnsi="Arial" w:cs="Arial"/>
                <w:b/>
                <w:sz w:val="20"/>
                <w:szCs w:val="20"/>
                <w:highlight w:val="yellow"/>
              </w:rPr>
              <w:t>{</w:t>
            </w:r>
            <w:r w:rsidRPr="009E5B74">
              <w:rPr>
                <w:rFonts w:ascii="Arial" w:eastAsia="Arial" w:hAnsi="Arial" w:cs="Arial"/>
                <w:b/>
                <w:sz w:val="20"/>
                <w:szCs w:val="20"/>
                <w:highlight w:val="yellow"/>
              </w:rPr>
              <w:t>ReporterDisplayName</w:t>
            </w:r>
            <w:r>
              <w:rPr>
                <w:rFonts w:ascii="Arial" w:eastAsia="Arial" w:hAnsi="Arial" w:cs="Arial"/>
                <w:b/>
                <w:sz w:val="20"/>
                <w:szCs w:val="20"/>
                <w:highlight w:val="yellow"/>
              </w:rPr>
              <w:t>}</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gimimo data {</w:t>
            </w:r>
            <w:r w:rsidRPr="009E5B74">
              <w:rPr>
                <w:rFonts w:ascii="Arial" w:eastAsia="Arial" w:hAnsi="Arial" w:cs="Arial"/>
                <w:sz w:val="20"/>
                <w:szCs w:val="20"/>
              </w:rPr>
              <w:t>DateOfBirth</w:t>
            </w:r>
            <w:r>
              <w:rPr>
                <w:rFonts w:ascii="Arial" w:eastAsia="Arial" w:hAnsi="Arial" w:cs="Arial"/>
                <w:sz w:val="20"/>
                <w:szCs w:val="20"/>
              </w:rPr>
              <w:t>}</w:t>
            </w:r>
            <w:r>
              <w:rPr>
                <w:rFonts w:ascii="Arial" w:eastAsia="Arial" w:hAnsi="Arial" w:cs="Arial"/>
                <w:color w:val="000000"/>
                <w:sz w:val="20"/>
                <w:szCs w:val="20"/>
              </w:rPr>
              <w:t>,  gyvenamosios vietos adresas {</w:t>
            </w:r>
            <w:r w:rsidRPr="005F6BA9">
              <w:rPr>
                <w:rFonts w:ascii="Arial" w:eastAsia="Arial" w:hAnsi="Arial" w:cs="Arial"/>
                <w:color w:val="000000"/>
                <w:sz w:val="20"/>
                <w:szCs w:val="20"/>
              </w:rPr>
              <w:t>Address</w:t>
            </w:r>
            <w:r>
              <w:rPr>
                <w:rFonts w:ascii="Arial" w:eastAsia="Arial" w:hAnsi="Arial" w:cs="Arial"/>
                <w:color w:val="000000"/>
                <w:sz w:val="20"/>
                <w:szCs w:val="20"/>
              </w:rPr>
              <w:t>}, asmeninis el. pa</w:t>
            </w:r>
            <w:r>
              <w:rPr>
                <w:rFonts w:ascii="Arial" w:eastAsia="Arial" w:hAnsi="Arial" w:cs="Arial"/>
                <w:sz w:val="20"/>
                <w:szCs w:val="20"/>
              </w:rPr>
              <w:t>štas</w:t>
            </w:r>
            <w:r>
              <w:rPr>
                <w:rFonts w:ascii="Arial" w:eastAsia="Arial" w:hAnsi="Arial" w:cs="Arial"/>
                <w:color w:val="000000"/>
                <w:sz w:val="20"/>
                <w:szCs w:val="20"/>
              </w:rPr>
              <w:t xml:space="preserve"> {</w:t>
            </w:r>
            <w:r w:rsidRPr="009E5B74">
              <w:rPr>
                <w:rFonts w:ascii="Arial" w:eastAsia="Arial" w:hAnsi="Arial" w:cs="Arial"/>
                <w:color w:val="000000"/>
                <w:sz w:val="20"/>
                <w:szCs w:val="20"/>
              </w:rPr>
              <w:t>Email</w:t>
            </w:r>
            <w:r>
              <w:rPr>
                <w:rFonts w:ascii="Arial" w:eastAsia="Arial" w:hAnsi="Arial" w:cs="Arial"/>
                <w:color w:val="000000"/>
                <w:sz w:val="20"/>
                <w:szCs w:val="20"/>
              </w:rPr>
              <w:t>}</w:t>
            </w:r>
            <w:r>
              <w:rPr>
                <w:rFonts w:ascii="Arial" w:eastAsia="Arial" w:hAnsi="Arial" w:cs="Arial"/>
                <w:sz w:val="20"/>
                <w:szCs w:val="20"/>
                <w:highlight w:val="white"/>
              </w:rPr>
              <w:t>,</w:t>
            </w:r>
          </w:p>
        </w:tc>
        <w:tc>
          <w:tcPr>
            <w:tcW w:w="5409" w:type="dxa"/>
          </w:tcPr>
          <w:p w14:paraId="35AFADBC" w14:textId="77777777" w:rsidR="00F51A3B" w:rsidRDefault="00F51A3B">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sz w:val="20"/>
                <w:szCs w:val="20"/>
                <w:highlight w:val="yellow"/>
              </w:rPr>
              <w:t>{</w:t>
            </w:r>
            <w:r w:rsidRPr="009E5B74">
              <w:rPr>
                <w:rFonts w:ascii="Arial" w:eastAsia="Arial" w:hAnsi="Arial" w:cs="Arial"/>
                <w:b/>
                <w:sz w:val="20"/>
                <w:szCs w:val="20"/>
                <w:highlight w:val="yellow"/>
              </w:rPr>
              <w:t>ReporterDisplayName</w:t>
            </w:r>
            <w:r>
              <w:rPr>
                <w:rFonts w:ascii="Arial" w:eastAsia="Arial" w:hAnsi="Arial" w:cs="Arial"/>
                <w:b/>
                <w:sz w:val="20"/>
                <w:szCs w:val="20"/>
                <w:highlight w:val="yellow"/>
              </w:rPr>
              <w:t>}</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date of birth</w:t>
            </w:r>
            <w:r>
              <w:rPr>
                <w:rFonts w:ascii="Arial" w:eastAsia="Arial" w:hAnsi="Arial" w:cs="Arial"/>
                <w:color w:val="000000"/>
                <w:sz w:val="20"/>
                <w:szCs w:val="20"/>
              </w:rPr>
              <w:t xml:space="preserve"> </w:t>
            </w:r>
            <w:r>
              <w:rPr>
                <w:rFonts w:ascii="Arial" w:eastAsia="Arial" w:hAnsi="Arial" w:cs="Arial"/>
                <w:sz w:val="20"/>
                <w:szCs w:val="20"/>
              </w:rPr>
              <w:t>{</w:t>
            </w:r>
            <w:r w:rsidRPr="009E5B74">
              <w:rPr>
                <w:rFonts w:ascii="Arial" w:eastAsia="Arial" w:hAnsi="Arial" w:cs="Arial"/>
                <w:sz w:val="20"/>
                <w:szCs w:val="20"/>
              </w:rPr>
              <w:t>DateOfBirth</w:t>
            </w:r>
            <w:r>
              <w:rPr>
                <w:rFonts w:ascii="Arial" w:eastAsia="Arial" w:hAnsi="Arial" w:cs="Arial"/>
                <w:sz w:val="20"/>
                <w:szCs w:val="20"/>
              </w:rPr>
              <w:t>}</w:t>
            </w:r>
            <w:r>
              <w:rPr>
                <w:rFonts w:ascii="Arial" w:eastAsia="Arial" w:hAnsi="Arial" w:cs="Arial"/>
                <w:color w:val="000000"/>
                <w:sz w:val="20"/>
                <w:szCs w:val="20"/>
              </w:rPr>
              <w:t>,</w:t>
            </w:r>
          </w:p>
          <w:p w14:paraId="38A63E4A" w14:textId="3DA5ADDC" w:rsidR="00552932" w:rsidRPr="00F51A3B"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address </w:t>
            </w:r>
            <w:r w:rsidR="00F51A3B">
              <w:rPr>
                <w:rFonts w:ascii="Arial" w:eastAsia="Arial" w:hAnsi="Arial" w:cs="Arial"/>
                <w:color w:val="000000"/>
                <w:sz w:val="20"/>
                <w:szCs w:val="20"/>
              </w:rPr>
              <w:t>{</w:t>
            </w:r>
            <w:r w:rsidR="00F51A3B" w:rsidRPr="005F6BA9">
              <w:rPr>
                <w:rFonts w:ascii="Arial" w:eastAsia="Arial" w:hAnsi="Arial" w:cs="Arial"/>
                <w:color w:val="000000"/>
                <w:sz w:val="20"/>
                <w:szCs w:val="20"/>
              </w:rPr>
              <w:t>Address</w:t>
            </w:r>
            <w:r w:rsidR="00F51A3B">
              <w:rPr>
                <w:rFonts w:ascii="Arial" w:eastAsia="Arial" w:hAnsi="Arial" w:cs="Arial"/>
                <w:color w:val="000000"/>
                <w:sz w:val="20"/>
                <w:szCs w:val="20"/>
              </w:rPr>
              <w:t xml:space="preserve">}, </w:t>
            </w:r>
            <w:r>
              <w:rPr>
                <w:rFonts w:ascii="Arial" w:eastAsia="Arial" w:hAnsi="Arial" w:cs="Arial"/>
                <w:sz w:val="20"/>
                <w:szCs w:val="20"/>
                <w:highlight w:val="white"/>
              </w:rPr>
              <w:t xml:space="preserve">personal email </w:t>
            </w:r>
            <w:r w:rsidR="00F51A3B">
              <w:rPr>
                <w:rFonts w:ascii="Arial" w:eastAsia="Arial" w:hAnsi="Arial" w:cs="Arial"/>
                <w:color w:val="000000"/>
                <w:sz w:val="20"/>
                <w:szCs w:val="20"/>
              </w:rPr>
              <w:t>{</w:t>
            </w:r>
            <w:r w:rsidR="00F51A3B" w:rsidRPr="009E5B74">
              <w:rPr>
                <w:rFonts w:ascii="Arial" w:eastAsia="Arial" w:hAnsi="Arial" w:cs="Arial"/>
                <w:color w:val="000000"/>
                <w:sz w:val="20"/>
                <w:szCs w:val="20"/>
              </w:rPr>
              <w:t>Email</w:t>
            </w:r>
            <w:r w:rsidR="00F51A3B">
              <w:rPr>
                <w:rFonts w:ascii="Arial" w:eastAsia="Arial" w:hAnsi="Arial" w:cs="Arial"/>
                <w:color w:val="000000"/>
                <w:sz w:val="20"/>
                <w:szCs w:val="20"/>
              </w:rPr>
              <w:t>}</w:t>
            </w:r>
            <w:r w:rsidR="00F51A3B">
              <w:rPr>
                <w:rFonts w:ascii="Arial" w:eastAsia="Arial" w:hAnsi="Arial" w:cs="Arial"/>
                <w:sz w:val="20"/>
                <w:szCs w:val="20"/>
                <w:highlight w:val="white"/>
              </w:rPr>
              <w:t>,</w:t>
            </w:r>
          </w:p>
        </w:tc>
      </w:tr>
      <w:tr w:rsidR="00552932" w14:paraId="1A2416E0" w14:textId="77777777">
        <w:tc>
          <w:tcPr>
            <w:tcW w:w="4911" w:type="dxa"/>
          </w:tcPr>
          <w:p w14:paraId="77183C46"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toliau vadinama</w:t>
            </w:r>
            <w:r>
              <w:rPr>
                <w:rFonts w:ascii="Arial" w:eastAsia="Arial" w:hAnsi="Arial" w:cs="Arial"/>
                <w:b/>
                <w:color w:val="000000"/>
                <w:sz w:val="20"/>
                <w:szCs w:val="20"/>
              </w:rPr>
              <w:t xml:space="preserve"> Pirkėju</w:t>
            </w:r>
            <w:r>
              <w:rPr>
                <w:rFonts w:ascii="Arial" w:eastAsia="Arial" w:hAnsi="Arial" w:cs="Arial"/>
                <w:color w:val="000000"/>
                <w:sz w:val="20"/>
                <w:szCs w:val="20"/>
              </w:rPr>
              <w:t>,</w:t>
            </w:r>
          </w:p>
        </w:tc>
        <w:tc>
          <w:tcPr>
            <w:tcW w:w="5409" w:type="dxa"/>
          </w:tcPr>
          <w:p w14:paraId="77CD4D86"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552932" w14:paraId="070C1364" w14:textId="77777777">
        <w:tc>
          <w:tcPr>
            <w:tcW w:w="4911" w:type="dxa"/>
          </w:tcPr>
          <w:p w14:paraId="758E5954"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toliau kartu vadinami </w:t>
            </w:r>
            <w:r>
              <w:rPr>
                <w:rFonts w:ascii="Arial" w:eastAsia="Arial" w:hAnsi="Arial" w:cs="Arial"/>
                <w:b/>
                <w:color w:val="000000"/>
                <w:sz w:val="20"/>
                <w:szCs w:val="20"/>
              </w:rPr>
              <w:t>Šalimis</w:t>
            </w:r>
            <w:r>
              <w:rPr>
                <w:rFonts w:ascii="Arial" w:eastAsia="Arial" w:hAnsi="Arial" w:cs="Arial"/>
                <w:color w:val="000000"/>
                <w:sz w:val="20"/>
                <w:szCs w:val="20"/>
              </w:rPr>
              <w:t xml:space="preserve">, o atskirai – </w:t>
            </w:r>
            <w:r>
              <w:rPr>
                <w:rFonts w:ascii="Arial" w:eastAsia="Arial" w:hAnsi="Arial" w:cs="Arial"/>
                <w:b/>
                <w:color w:val="000000"/>
                <w:sz w:val="20"/>
                <w:szCs w:val="20"/>
              </w:rPr>
              <w:t>Šalimi</w:t>
            </w:r>
            <w:r>
              <w:rPr>
                <w:rFonts w:ascii="Arial" w:eastAsia="Arial" w:hAnsi="Arial" w:cs="Arial"/>
                <w:color w:val="000000"/>
                <w:sz w:val="20"/>
                <w:szCs w:val="20"/>
              </w:rPr>
              <w:t xml:space="preserve">, </w:t>
            </w:r>
          </w:p>
        </w:tc>
        <w:tc>
          <w:tcPr>
            <w:tcW w:w="5409" w:type="dxa"/>
          </w:tcPr>
          <w:p w14:paraId="7105D011"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552932" w14:paraId="42096334" w14:textId="77777777">
        <w:tc>
          <w:tcPr>
            <w:tcW w:w="4911" w:type="dxa"/>
          </w:tcPr>
          <w:p w14:paraId="75509680" w14:textId="77777777" w:rsidR="00552932" w:rsidRDefault="00000000">
            <w:pPr>
              <w:spacing w:before="120"/>
              <w:ind w:left="0" w:hanging="2"/>
              <w:jc w:val="both"/>
              <w:rPr>
                <w:rFonts w:ascii="Arial" w:eastAsia="Arial" w:hAnsi="Arial" w:cs="Arial"/>
                <w:sz w:val="20"/>
                <w:szCs w:val="20"/>
              </w:rPr>
            </w:pPr>
            <w:r>
              <w:rPr>
                <w:rFonts w:ascii="Arial" w:eastAsia="Arial" w:hAnsi="Arial" w:cs="Arial"/>
                <w:sz w:val="20"/>
                <w:szCs w:val="20"/>
              </w:rPr>
              <w:t>atsižvelgiant į tai, kad:</w:t>
            </w:r>
          </w:p>
        </w:tc>
        <w:tc>
          <w:tcPr>
            <w:tcW w:w="5409" w:type="dxa"/>
          </w:tcPr>
          <w:p w14:paraId="2FAAAF07" w14:textId="77777777" w:rsidR="00552932"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552932" w14:paraId="5ABA6E92" w14:textId="77777777">
        <w:tc>
          <w:tcPr>
            <w:tcW w:w="4911" w:type="dxa"/>
          </w:tcPr>
          <w:p w14:paraId="7D2F9C8D" w14:textId="1AB5C7C3" w:rsidR="00552932"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Pardavėjas, kaip darbdavys, darbo santykių metu Pirkėjui, kaip darbuotojui, buvo perdavęs darbo priemones, t. y. </w:t>
            </w:r>
            <w:r w:rsidR="00F51A3B">
              <w:rPr>
                <w:rFonts w:ascii="Arial" w:eastAsia="Arial" w:hAnsi="Arial" w:cs="Arial"/>
                <w:sz w:val="20"/>
                <w:szCs w:val="20"/>
              </w:rPr>
              <w:t>{</w:t>
            </w:r>
            <w:r w:rsidR="00F51A3B" w:rsidRPr="00B345B1">
              <w:rPr>
                <w:rFonts w:ascii="Arial" w:eastAsia="Arial" w:hAnsi="Arial" w:cs="Arial"/>
                <w:sz w:val="20"/>
                <w:szCs w:val="20"/>
              </w:rPr>
              <w:t>Device</w:t>
            </w:r>
            <w:r w:rsidR="00F51A3B">
              <w:rPr>
                <w:rFonts w:ascii="Arial" w:eastAsia="Arial" w:hAnsi="Arial" w:cs="Arial"/>
                <w:sz w:val="20"/>
                <w:szCs w:val="20"/>
              </w:rPr>
              <w:t xml:space="preserve">}, </w:t>
            </w:r>
            <w:r>
              <w:rPr>
                <w:rFonts w:ascii="Arial" w:eastAsia="Arial" w:hAnsi="Arial" w:cs="Arial"/>
                <w:sz w:val="20"/>
                <w:szCs w:val="20"/>
              </w:rPr>
              <w:t xml:space="preserve">identifikaciniai duomenys nurodyti šios Sutarties priede Nr. 1 (toliau – </w:t>
            </w:r>
            <w:r>
              <w:rPr>
                <w:rFonts w:ascii="Arial" w:eastAsia="Arial" w:hAnsi="Arial" w:cs="Arial"/>
                <w:b/>
                <w:sz w:val="20"/>
                <w:szCs w:val="20"/>
              </w:rPr>
              <w:t>Prekės</w:t>
            </w:r>
            <w:r>
              <w:rPr>
                <w:rFonts w:ascii="Arial" w:eastAsia="Arial" w:hAnsi="Arial" w:cs="Arial"/>
                <w:sz w:val="20"/>
                <w:szCs w:val="20"/>
              </w:rPr>
              <w:t>);</w:t>
            </w:r>
          </w:p>
        </w:tc>
        <w:tc>
          <w:tcPr>
            <w:tcW w:w="5409" w:type="dxa"/>
          </w:tcPr>
          <w:p w14:paraId="2695C52F" w14:textId="65BAE07D" w:rsidR="00552932"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i. e. </w:t>
            </w:r>
            <w:r w:rsidR="00F51A3B">
              <w:rPr>
                <w:rFonts w:ascii="Arial" w:eastAsia="Arial" w:hAnsi="Arial" w:cs="Arial"/>
                <w:sz w:val="20"/>
                <w:szCs w:val="20"/>
              </w:rPr>
              <w:t>{</w:t>
            </w:r>
            <w:r w:rsidR="00F51A3B" w:rsidRPr="00B345B1">
              <w:rPr>
                <w:rFonts w:ascii="Arial" w:eastAsia="Arial" w:hAnsi="Arial" w:cs="Arial"/>
                <w:sz w:val="20"/>
                <w:szCs w:val="20"/>
              </w:rPr>
              <w:t>Device</w:t>
            </w:r>
            <w:r w:rsidR="00F51A3B">
              <w:rPr>
                <w:rFonts w:ascii="Arial" w:eastAsia="Arial" w:hAnsi="Arial" w:cs="Arial"/>
                <w:sz w:val="20"/>
                <w:szCs w:val="20"/>
              </w:rPr>
              <w:t xml:space="preserve">}, </w:t>
            </w:r>
            <w:r>
              <w:rPr>
                <w:rFonts w:ascii="Arial" w:eastAsia="Arial" w:hAnsi="Arial" w:cs="Arial"/>
                <w:sz w:val="20"/>
                <w:szCs w:val="20"/>
              </w:rPr>
              <w:t xml:space="preserve">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552932" w14:paraId="2C97A54D" w14:textId="77777777">
        <w:tc>
          <w:tcPr>
            <w:tcW w:w="4911" w:type="dxa"/>
          </w:tcPr>
          <w:p w14:paraId="3D30B05B" w14:textId="62ED0F3C" w:rsidR="00552932"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shd w:val="clear" w:color="auto" w:fill="999999"/>
              </w:rPr>
              <w:t xml:space="preserve">Tarp Šalių susiklostę darbo santykiai yra nutraukiami </w:t>
            </w:r>
            <w:r w:rsidR="00F51A3B">
              <w:rPr>
                <w:rFonts w:ascii="Arial" w:eastAsia="Arial" w:hAnsi="Arial" w:cs="Arial"/>
                <w:sz w:val="20"/>
                <w:szCs w:val="20"/>
                <w:shd w:val="clear" w:color="auto" w:fill="999999"/>
              </w:rPr>
              <w:t>{</w:t>
            </w:r>
            <w:r w:rsidR="00F51A3B" w:rsidRPr="00B345B1">
              <w:rPr>
                <w:rFonts w:ascii="Arial" w:eastAsia="Arial" w:hAnsi="Arial" w:cs="Arial"/>
                <w:sz w:val="20"/>
                <w:szCs w:val="20"/>
                <w:shd w:val="clear" w:color="auto" w:fill="999999"/>
              </w:rPr>
              <w:t>LastDay</w:t>
            </w:r>
            <w:r w:rsidR="00F51A3B">
              <w:rPr>
                <w:rFonts w:ascii="Arial" w:eastAsia="Arial" w:hAnsi="Arial" w:cs="Arial"/>
                <w:sz w:val="20"/>
                <w:szCs w:val="20"/>
                <w:shd w:val="clear" w:color="auto" w:fill="999999"/>
              </w:rPr>
              <w:t xml:space="preserve">}, </w:t>
            </w:r>
            <w:r>
              <w:rPr>
                <w:rFonts w:ascii="Arial" w:eastAsia="Arial" w:hAnsi="Arial" w:cs="Arial"/>
                <w:sz w:val="20"/>
                <w:szCs w:val="20"/>
                <w:shd w:val="clear" w:color="auto" w:fill="999999"/>
              </w:rPr>
              <w:t xml:space="preserve">ir </w:t>
            </w:r>
            <w:r>
              <w:rPr>
                <w:rFonts w:ascii="Arial" w:eastAsia="Arial" w:hAnsi="Arial" w:cs="Arial"/>
                <w:sz w:val="20"/>
                <w:szCs w:val="20"/>
              </w:rPr>
              <w:t>Pirkėjas išreiškė norą įsigyti šias naudotas Prekes asmeniniams tikslams naudoti,</w:t>
            </w:r>
          </w:p>
        </w:tc>
        <w:tc>
          <w:tcPr>
            <w:tcW w:w="5409" w:type="dxa"/>
          </w:tcPr>
          <w:p w14:paraId="0FEA5A52" w14:textId="421FAFAE" w:rsidR="00552932"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shd w:val="clear" w:color="auto" w:fill="999999"/>
              </w:rPr>
              <w:t xml:space="preserve">The employment relationship between the Parties is terminated on </w:t>
            </w:r>
            <w:r w:rsidR="00F51A3B">
              <w:rPr>
                <w:rFonts w:ascii="Arial" w:eastAsia="Arial" w:hAnsi="Arial" w:cs="Arial"/>
                <w:sz w:val="20"/>
                <w:szCs w:val="20"/>
                <w:shd w:val="clear" w:color="auto" w:fill="999999"/>
              </w:rPr>
              <w:t>{</w:t>
            </w:r>
            <w:r w:rsidR="00F51A3B" w:rsidRPr="00B345B1">
              <w:rPr>
                <w:rFonts w:ascii="Arial" w:eastAsia="Arial" w:hAnsi="Arial" w:cs="Arial"/>
                <w:sz w:val="20"/>
                <w:szCs w:val="20"/>
                <w:shd w:val="clear" w:color="auto" w:fill="999999"/>
              </w:rPr>
              <w:t>LastDay</w:t>
            </w:r>
            <w:r w:rsidR="00F51A3B">
              <w:rPr>
                <w:rFonts w:ascii="Arial" w:eastAsia="Arial" w:hAnsi="Arial" w:cs="Arial"/>
                <w:sz w:val="20"/>
                <w:szCs w:val="20"/>
                <w:shd w:val="clear" w:color="auto" w:fill="999999"/>
              </w:rPr>
              <w:t xml:space="preserve">}, </w:t>
            </w:r>
            <w:r>
              <w:rPr>
                <w:rFonts w:ascii="Arial" w:eastAsia="Arial" w:hAnsi="Arial" w:cs="Arial"/>
                <w:sz w:val="20"/>
                <w:szCs w:val="20"/>
                <w:shd w:val="clear" w:color="auto" w:fill="999999"/>
              </w:rPr>
              <w:t xml:space="preserve">and </w:t>
            </w:r>
            <w:r>
              <w:rPr>
                <w:rFonts w:ascii="Arial" w:eastAsia="Arial" w:hAnsi="Arial" w:cs="Arial"/>
                <w:sz w:val="20"/>
                <w:szCs w:val="20"/>
              </w:rPr>
              <w:t>The Buyer has expressed a wish to purchase this used Goods for personal use,</w:t>
            </w:r>
          </w:p>
        </w:tc>
      </w:tr>
      <w:tr w:rsidR="00552932" w14:paraId="24771CF6" w14:textId="77777777">
        <w:tc>
          <w:tcPr>
            <w:tcW w:w="4911" w:type="dxa"/>
          </w:tcPr>
          <w:p w14:paraId="50AD4693"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susitarė ir sudarė šią prekių pirkimo ir pardavimo sutartį (toliau – „</w:t>
            </w:r>
            <w:r>
              <w:rPr>
                <w:rFonts w:ascii="Arial" w:eastAsia="Arial" w:hAnsi="Arial" w:cs="Arial"/>
                <w:b/>
                <w:color w:val="000000"/>
                <w:sz w:val="20"/>
                <w:szCs w:val="20"/>
              </w:rPr>
              <w:t>Sutartis“</w:t>
            </w:r>
            <w:r>
              <w:rPr>
                <w:rFonts w:ascii="Arial" w:eastAsia="Arial" w:hAnsi="Arial" w:cs="Arial"/>
                <w:color w:val="000000"/>
                <w:sz w:val="20"/>
                <w:szCs w:val="20"/>
              </w:rPr>
              <w:t>):</w:t>
            </w:r>
          </w:p>
        </w:tc>
        <w:tc>
          <w:tcPr>
            <w:tcW w:w="5409" w:type="dxa"/>
          </w:tcPr>
          <w:p w14:paraId="227959CF"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552932" w14:paraId="11969159" w14:textId="77777777">
        <w:tc>
          <w:tcPr>
            <w:tcW w:w="4911" w:type="dxa"/>
          </w:tcPr>
          <w:p w14:paraId="089EDD24"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color w:val="000000"/>
                <w:sz w:val="20"/>
                <w:szCs w:val="20"/>
              </w:rPr>
            </w:pPr>
            <w:r>
              <w:rPr>
                <w:rFonts w:ascii="Arial" w:eastAsia="Arial" w:hAnsi="Arial" w:cs="Arial"/>
                <w:b/>
                <w:color w:val="000000"/>
                <w:sz w:val="20"/>
                <w:szCs w:val="20"/>
              </w:rPr>
              <w:t>Sutarties dalykas</w:t>
            </w:r>
          </w:p>
        </w:tc>
        <w:tc>
          <w:tcPr>
            <w:tcW w:w="5409" w:type="dxa"/>
          </w:tcPr>
          <w:p w14:paraId="51966467"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552932" w14:paraId="01FA0DA7" w14:textId="77777777">
        <w:tc>
          <w:tcPr>
            <w:tcW w:w="4911" w:type="dxa"/>
          </w:tcPr>
          <w:p w14:paraId="5852B336"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Pardavėjas įsipareigoja parduoti ir perduoti Prekes Sutarties nustatytomis sąlygomis ir terminais Pirkėjo nuosavybėn, o Pirkėjas įsipareigoja priimti Prekes ir atsiskaityti už jas Sutartyje nustatyta tvarka ir terminais, sumokant pagal Sutartį išrašytoje Sąskaitoje nurodytą Prekių kainą.</w:t>
            </w:r>
          </w:p>
        </w:tc>
        <w:tc>
          <w:tcPr>
            <w:tcW w:w="5409" w:type="dxa"/>
          </w:tcPr>
          <w:p w14:paraId="77B1FB13" w14:textId="77777777" w:rsidR="00552932"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552932" w14:paraId="0AFB2C1B" w14:textId="77777777">
        <w:tc>
          <w:tcPr>
            <w:tcW w:w="4911" w:type="dxa"/>
          </w:tcPr>
          <w:p w14:paraId="70EA7BFC"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Pirkėjas patvirtina, kad supranta, jog perka naudotas Prekes, kurioms Pardavėjas nesuteikia papildomos garantijos. Jei nuosavybės perėjimo metu Prekių atžvilgiu galioja pirminio Prekių pardavėjo suteikta garantija, ji toliau galioja nustatyta tvarka. Pastaruoju atveju šios Sutarties pasirašymo metu Pirkėjui perduodami ir pirminio Prekių pirkimo-pardavimo dokumentai, susiję su garantija. </w:t>
            </w:r>
          </w:p>
        </w:tc>
        <w:tc>
          <w:tcPr>
            <w:tcW w:w="5409" w:type="dxa"/>
          </w:tcPr>
          <w:p w14:paraId="6EA354DA" w14:textId="77777777" w:rsidR="00552932"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continue in accordance with the procedure established. In the latter case, at the time of signing this Agreement, the purchase and sale documents of the original Goods related to the warranty shall also be handed over to the Buyer.</w:t>
            </w:r>
          </w:p>
        </w:tc>
      </w:tr>
      <w:tr w:rsidR="00552932" w14:paraId="00577991" w14:textId="77777777">
        <w:tc>
          <w:tcPr>
            <w:tcW w:w="4911" w:type="dxa"/>
          </w:tcPr>
          <w:p w14:paraId="60D7B37D"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lastRenderedPageBreak/>
              <w:t xml:space="preserve"> </w:t>
            </w:r>
            <w:r>
              <w:rPr>
                <w:rFonts w:ascii="Arial" w:eastAsia="Arial" w:hAnsi="Arial" w:cs="Arial"/>
                <w:b/>
                <w:color w:val="000000"/>
                <w:sz w:val="20"/>
                <w:szCs w:val="20"/>
              </w:rPr>
              <w:t>Prekių ir nuosavybės perdavimas</w:t>
            </w:r>
          </w:p>
        </w:tc>
        <w:tc>
          <w:tcPr>
            <w:tcW w:w="5409" w:type="dxa"/>
          </w:tcPr>
          <w:p w14:paraId="4E0DBEA4"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552932" w14:paraId="5DB0D3B4" w14:textId="77777777">
        <w:tc>
          <w:tcPr>
            <w:tcW w:w="4911" w:type="dxa"/>
          </w:tcPr>
          <w:p w14:paraId="36DF56F0" w14:textId="77777777" w:rsidR="00552932"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Atsižvelgiant į tai, jog Sutarties pasirašymo metu Prekėmis disponuoja Pirkėjas, Prekės nebus atskirai perduotos. Pasirašydamas šią Sutartį, Pirkėjas patvirtina, kad Prekėmis disponuoja ir atskiras priėmimo-perdavimo aktas nebus pasirašomas, o nuosavybė pereina šios Sutarties pagrindu sumokėjus Prekės kainą. </w:t>
            </w:r>
          </w:p>
        </w:tc>
        <w:tc>
          <w:tcPr>
            <w:tcW w:w="5409" w:type="dxa"/>
          </w:tcPr>
          <w:p w14:paraId="311715EC"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Due to the fact that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552932" w14:paraId="629CF14A" w14:textId="77777777">
        <w:tc>
          <w:tcPr>
            <w:tcW w:w="4911" w:type="dxa"/>
          </w:tcPr>
          <w:p w14:paraId="63B6797A" w14:textId="77777777" w:rsidR="00552932"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Atsižvelgiant į tai, kad Pirkėjui lieka Pardavėjo, kaip darbdavio, jam darbo funkcijoms atlikti suteiktos priemonės – Prekės, Pirkėjas ne vėliau kaip šios Sutarties pasirašymo dieną įsipareigoja iš jo / jos dispozicijoje ir kontrolėje esančių Prekių pašalinti visą su darbo funkcijų vykdymu ir visą su Bendrove susijusią informaciją (įskaitant ir konfidencialią), dokumentus, duomenų bazes ir bet kokias programas, programines įrangas, kurios buvo naudojamos/instaliuotos darbo funkcijų vykdymui, bei nepasilikti tokių duomenų kopijų.</w:t>
            </w:r>
          </w:p>
        </w:tc>
        <w:tc>
          <w:tcPr>
            <w:tcW w:w="5409" w:type="dxa"/>
          </w:tcPr>
          <w:p w14:paraId="6A5F3C65"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552932" w14:paraId="6A29D48F" w14:textId="77777777">
        <w:trPr>
          <w:trHeight w:val="415"/>
        </w:trPr>
        <w:tc>
          <w:tcPr>
            <w:tcW w:w="4911" w:type="dxa"/>
          </w:tcPr>
          <w:p w14:paraId="39E194BA" w14:textId="77777777" w:rsidR="00552932"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Pirkėjas patvirtina, kad iki šios Sutarties pasirašymo yra nuodugniai apžiūrėjęs Prekes, žino jų defektus ir dėl jų neturi ir neturės jokių pretenzijų Pardavėjui. </w:t>
            </w:r>
          </w:p>
        </w:tc>
        <w:tc>
          <w:tcPr>
            <w:tcW w:w="5409" w:type="dxa"/>
          </w:tcPr>
          <w:p w14:paraId="1E136C2E"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has thoroughly inspected the Goods before signing this Agreement, is aware of their defects and has no and will not have any claims regarding them against the Seller.</w:t>
            </w:r>
          </w:p>
        </w:tc>
      </w:tr>
      <w:tr w:rsidR="00552932" w14:paraId="4AD1718D" w14:textId="77777777">
        <w:tc>
          <w:tcPr>
            <w:tcW w:w="4911" w:type="dxa"/>
          </w:tcPr>
          <w:p w14:paraId="61CC6676"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Prekių</w:t>
            </w:r>
            <w:r>
              <w:rPr>
                <w:rFonts w:ascii="Arial" w:eastAsia="Arial" w:hAnsi="Arial" w:cs="Arial"/>
                <w:b/>
                <w:color w:val="000000"/>
                <w:sz w:val="20"/>
                <w:szCs w:val="20"/>
              </w:rPr>
              <w:t xml:space="preserve"> kaina ir atsiskaitymo tvarka</w:t>
            </w:r>
          </w:p>
        </w:tc>
        <w:tc>
          <w:tcPr>
            <w:tcW w:w="5409" w:type="dxa"/>
          </w:tcPr>
          <w:p w14:paraId="7983A803"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552932" w14:paraId="58EDEB98" w14:textId="77777777">
        <w:tc>
          <w:tcPr>
            <w:tcW w:w="4911" w:type="dxa"/>
          </w:tcPr>
          <w:p w14:paraId="5FFE0ECE"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Parduodamos Prekės, jų kiekis ir kaina yra nustatyta Sutarties Priede Nr. 1.</w:t>
            </w:r>
          </w:p>
        </w:tc>
        <w:tc>
          <w:tcPr>
            <w:tcW w:w="5409" w:type="dxa"/>
          </w:tcPr>
          <w:p w14:paraId="308AD3D9"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552932" w14:paraId="4848B166" w14:textId="77777777">
        <w:tc>
          <w:tcPr>
            <w:tcW w:w="4911" w:type="dxa"/>
          </w:tcPr>
          <w:p w14:paraId="3A74162A"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Sąskaita-faktūra Pirkėjui išsiunčiama jo / jos el. paštu.  </w:t>
            </w:r>
          </w:p>
        </w:tc>
        <w:tc>
          <w:tcPr>
            <w:tcW w:w="5409" w:type="dxa"/>
          </w:tcPr>
          <w:p w14:paraId="12830AF9"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invoice shall be sent to the Buyer</w:t>
            </w:r>
            <w:r>
              <w:rPr>
                <w:rFonts w:ascii="Arial" w:eastAsia="Arial" w:hAnsi="Arial" w:cs="Arial"/>
                <w:sz w:val="20"/>
                <w:szCs w:val="20"/>
              </w:rPr>
              <w:t>’</w:t>
            </w:r>
            <w:r>
              <w:rPr>
                <w:rFonts w:ascii="Arial" w:eastAsia="Arial" w:hAnsi="Arial" w:cs="Arial"/>
                <w:color w:val="000000"/>
                <w:sz w:val="20"/>
                <w:szCs w:val="20"/>
              </w:rPr>
              <w:t xml:space="preserve">s e-mail. </w:t>
            </w:r>
          </w:p>
        </w:tc>
      </w:tr>
      <w:tr w:rsidR="00552932" w14:paraId="71D4204A" w14:textId="77777777">
        <w:tc>
          <w:tcPr>
            <w:tcW w:w="4911" w:type="dxa"/>
          </w:tcPr>
          <w:p w14:paraId="27CA5FB6"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Pirkėjas įsipareigoja sumokėti prekės kainą, kuri numatyta Sutarties Priede Nr. 1 per 14 kalendorinių dienų nuo šios Sutarties pasirašymo. </w:t>
            </w:r>
          </w:p>
        </w:tc>
        <w:tc>
          <w:tcPr>
            <w:tcW w:w="5409" w:type="dxa"/>
          </w:tcPr>
          <w:p w14:paraId="19C691CD"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undertakes to pay the price of the goods, set out in the Agreement Annex No. 1, within 14 calendar days.</w:t>
            </w:r>
          </w:p>
        </w:tc>
      </w:tr>
      <w:tr w:rsidR="00552932" w14:paraId="7A4F444A" w14:textId="77777777">
        <w:tc>
          <w:tcPr>
            <w:tcW w:w="4911" w:type="dxa"/>
          </w:tcPr>
          <w:p w14:paraId="71E7A746"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Pirkėjas supranta ir sutinka, kad tinkamai neatsiskaičius už Prekes šios Sutarties 3.3 punkte numatyta tvarka, nuosavybės teisės į Prekes jam nepereina ir jis privalo jas grąžinti nedelsiant, bet ne vėliau kaip jo/jos darbo sutarties nutraukimo dieną.</w:t>
            </w:r>
          </w:p>
        </w:tc>
        <w:tc>
          <w:tcPr>
            <w:tcW w:w="5409" w:type="dxa"/>
          </w:tcPr>
          <w:p w14:paraId="5F0913F3"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552932" w14:paraId="5951870E" w14:textId="77777777">
        <w:tc>
          <w:tcPr>
            <w:tcW w:w="4911" w:type="dxa"/>
          </w:tcPr>
          <w:p w14:paraId="4DFBC41E"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color w:val="000000"/>
                <w:sz w:val="20"/>
                <w:szCs w:val="20"/>
              </w:rPr>
              <w:t>Sutarties galiojimas</w:t>
            </w:r>
          </w:p>
        </w:tc>
        <w:tc>
          <w:tcPr>
            <w:tcW w:w="5409" w:type="dxa"/>
          </w:tcPr>
          <w:p w14:paraId="4E9F88D7"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552932" w14:paraId="57AA80CF" w14:textId="77777777">
        <w:tc>
          <w:tcPr>
            <w:tcW w:w="4911" w:type="dxa"/>
          </w:tcPr>
          <w:p w14:paraId="27B713F5" w14:textId="77777777" w:rsidR="00552932"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Sutartis įsigalioja nuo momento, kai ji yra pasirašyta abiejų Šalių.</w:t>
            </w:r>
          </w:p>
        </w:tc>
        <w:tc>
          <w:tcPr>
            <w:tcW w:w="5409" w:type="dxa"/>
          </w:tcPr>
          <w:p w14:paraId="358558C0"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Agreement shall enter into force since the moment it is signed by both Parties.</w:t>
            </w:r>
          </w:p>
        </w:tc>
      </w:tr>
      <w:tr w:rsidR="00552932" w14:paraId="6DC5EBE8" w14:textId="77777777">
        <w:tc>
          <w:tcPr>
            <w:tcW w:w="4911" w:type="dxa"/>
          </w:tcPr>
          <w:p w14:paraId="431C74D8"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Taikytina</w:t>
            </w:r>
            <w:r>
              <w:rPr>
                <w:rFonts w:ascii="Arial" w:eastAsia="Arial" w:hAnsi="Arial" w:cs="Arial"/>
                <w:b/>
                <w:color w:val="000000"/>
                <w:sz w:val="20"/>
                <w:szCs w:val="20"/>
              </w:rPr>
              <w:t xml:space="preserve"> teisė ir ginčų sprendimo tvarka</w:t>
            </w:r>
          </w:p>
        </w:tc>
        <w:tc>
          <w:tcPr>
            <w:tcW w:w="5409" w:type="dxa"/>
          </w:tcPr>
          <w:p w14:paraId="35BB4EAC"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552932" w14:paraId="437836E8" w14:textId="77777777">
        <w:tc>
          <w:tcPr>
            <w:tcW w:w="4911" w:type="dxa"/>
          </w:tcPr>
          <w:p w14:paraId="5CF811CD" w14:textId="77777777" w:rsidR="00552932"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Sutartis sudaryta vadovaujantis ir bus aiškinama taikant Lietuvos Respublikos teisę. Bet kokie su Sutartimi susiję ginčai tarp Šalių bus sprendžiami gera valia abipusių konsultacijų ir derybų </w:t>
            </w:r>
            <w:r>
              <w:rPr>
                <w:rFonts w:ascii="Arial" w:eastAsia="Arial" w:hAnsi="Arial" w:cs="Arial"/>
                <w:color w:val="000000"/>
                <w:sz w:val="20"/>
                <w:szCs w:val="20"/>
              </w:rPr>
              <w:lastRenderedPageBreak/>
              <w:t>keliu. Tuo atveju, jei ginčo nepavyktų išspręsti derybomis, toks ginčas bus sprendžiamas Lietuvos Respublikos teisės aktuose nustatyta tvarka.</w:t>
            </w:r>
          </w:p>
        </w:tc>
        <w:tc>
          <w:tcPr>
            <w:tcW w:w="5409" w:type="dxa"/>
          </w:tcPr>
          <w:p w14:paraId="33CFBC51"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This Agreement has been concluded and shall be governed and construed under the laws of the Republic of Lithuania. Any disputes arising in connection to the present Agreement shall be settled by mutual consultations and </w:t>
            </w:r>
            <w:r>
              <w:rPr>
                <w:rFonts w:ascii="Arial" w:eastAsia="Arial" w:hAnsi="Arial" w:cs="Arial"/>
                <w:color w:val="000000"/>
                <w:sz w:val="20"/>
                <w:szCs w:val="20"/>
              </w:rPr>
              <w:lastRenderedPageBreak/>
              <w:t>negotiations and on the basis of good will. In case of failure to reach any agreement by negotiations, such disputes shall be solved applying the procedure defined by the laws of the Republic of Lithuania.</w:t>
            </w:r>
          </w:p>
        </w:tc>
      </w:tr>
      <w:tr w:rsidR="00552932" w14:paraId="0BC70841" w14:textId="77777777">
        <w:tc>
          <w:tcPr>
            <w:tcW w:w="4911" w:type="dxa"/>
          </w:tcPr>
          <w:p w14:paraId="75DF470F"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color w:val="000000"/>
                <w:sz w:val="20"/>
                <w:szCs w:val="20"/>
              </w:rPr>
              <w:lastRenderedPageBreak/>
              <w:t>Baigiamosios nuostatos</w:t>
            </w:r>
          </w:p>
        </w:tc>
        <w:tc>
          <w:tcPr>
            <w:tcW w:w="5409" w:type="dxa"/>
          </w:tcPr>
          <w:p w14:paraId="11B5F00E"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552932" w14:paraId="73918A1E" w14:textId="77777777">
        <w:tc>
          <w:tcPr>
            <w:tcW w:w="4911" w:type="dxa"/>
          </w:tcPr>
          <w:p w14:paraId="6D945DCF" w14:textId="77777777" w:rsidR="00552932"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Joks Sutarties pakeitimas ar papildymas nebus laikomas galiojančiu, jei jis nebus sudarytas raštu ir pasirašytas tinkamai įgaliotų Šalių ar jų atstovų.</w:t>
            </w:r>
          </w:p>
        </w:tc>
        <w:tc>
          <w:tcPr>
            <w:tcW w:w="5409" w:type="dxa"/>
          </w:tcPr>
          <w:p w14:paraId="6FDFB0E1" w14:textId="77777777" w:rsidR="00552932"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552932" w14:paraId="6881645E" w14:textId="77777777">
        <w:tc>
          <w:tcPr>
            <w:tcW w:w="4911" w:type="dxa"/>
          </w:tcPr>
          <w:p w14:paraId="316C8DC5" w14:textId="77777777" w:rsidR="00552932"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Dėl to, kas nenumatyta šioje Sutartyje, Šalys vadovaujasi Lietuvos Respublikos teisės aktais.</w:t>
            </w:r>
          </w:p>
        </w:tc>
        <w:tc>
          <w:tcPr>
            <w:tcW w:w="5409" w:type="dxa"/>
          </w:tcPr>
          <w:p w14:paraId="2C87958F" w14:textId="77777777" w:rsidR="00552932"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 the Republic of Lithuania.</w:t>
            </w:r>
          </w:p>
        </w:tc>
      </w:tr>
      <w:tr w:rsidR="00552932" w14:paraId="0E799B96" w14:textId="77777777">
        <w:trPr>
          <w:trHeight w:val="1419"/>
        </w:trPr>
        <w:tc>
          <w:tcPr>
            <w:tcW w:w="4911" w:type="dxa"/>
          </w:tcPr>
          <w:p w14:paraId="46F446AF" w14:textId="77777777" w:rsidR="00552932"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Šalys patvirtina, kad turi teisę, įgaliojimus ir kompetenciją ir atliko visus būtinus veiksmus, reikalingus sudaryti ir vykdyti Sutartį bei teises ir įsipareigojimus pagal ją.</w:t>
            </w:r>
          </w:p>
        </w:tc>
        <w:tc>
          <w:tcPr>
            <w:tcW w:w="5409" w:type="dxa"/>
          </w:tcPr>
          <w:p w14:paraId="24488DEE" w14:textId="77777777" w:rsidR="00552932"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552932" w14:paraId="10C41ADD" w14:textId="77777777">
        <w:tc>
          <w:tcPr>
            <w:tcW w:w="4911" w:type="dxa"/>
          </w:tcPr>
          <w:p w14:paraId="6A527ED7" w14:textId="77777777" w:rsidR="00552932"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Šalys patvirtina, jog perskaitė šią Sutartį, suprato jos turinį ir pasekmes bei pasirašė kaip atitinkančią Šalių valią ir ketinimus. Sutartis pasirašyta laisva valia</w:t>
            </w:r>
            <w:r>
              <w:rPr>
                <w:rFonts w:ascii="Arial" w:eastAsia="Arial" w:hAnsi="Arial" w:cs="Arial"/>
                <w:sz w:val="20"/>
                <w:szCs w:val="20"/>
              </w:rPr>
              <w:t>.</w:t>
            </w:r>
          </w:p>
        </w:tc>
        <w:tc>
          <w:tcPr>
            <w:tcW w:w="5409" w:type="dxa"/>
          </w:tcPr>
          <w:p w14:paraId="79D8E487" w14:textId="77777777" w:rsidR="00552932"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552932" w14:paraId="3699230B" w14:textId="77777777">
        <w:tc>
          <w:tcPr>
            <w:tcW w:w="4911" w:type="dxa"/>
          </w:tcPr>
          <w:p w14:paraId="4E4741AA" w14:textId="77777777" w:rsidR="00552932"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Sutartis sudaryta elektroniniu būdu, pasirašant ją DocuSign platformoje. Esant neatitikimų tarp Sutarties tekstų lietuvių ir anglų kalbomis, pirmenybė teikiama Sutarties tekstui lietuvių kalba.</w:t>
            </w:r>
          </w:p>
        </w:tc>
        <w:tc>
          <w:tcPr>
            <w:tcW w:w="5409" w:type="dxa"/>
          </w:tcPr>
          <w:p w14:paraId="1EAEE523" w14:textId="77777777" w:rsidR="00552932"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In case of discrepancies between the wording of the Agreement in English and Lithuanian languages, the Lithuanian version shall prevail.</w:t>
            </w:r>
          </w:p>
        </w:tc>
      </w:tr>
      <w:tr w:rsidR="00552932" w14:paraId="51739327" w14:textId="77777777">
        <w:tc>
          <w:tcPr>
            <w:tcW w:w="4911" w:type="dxa"/>
          </w:tcPr>
          <w:p w14:paraId="2BE220BC" w14:textId="77777777" w:rsidR="00552932" w:rsidRDefault="00000000">
            <w:pPr>
              <w:spacing w:before="120"/>
              <w:ind w:left="0" w:hanging="2"/>
              <w:jc w:val="both"/>
              <w:rPr>
                <w:rFonts w:ascii="Arial" w:eastAsia="Arial" w:hAnsi="Arial" w:cs="Arial"/>
                <w:sz w:val="20"/>
                <w:szCs w:val="20"/>
              </w:rPr>
            </w:pPr>
            <w:r>
              <w:rPr>
                <w:rFonts w:ascii="Arial" w:eastAsia="Arial" w:hAnsi="Arial" w:cs="Arial"/>
                <w:b/>
                <w:sz w:val="20"/>
                <w:szCs w:val="20"/>
              </w:rPr>
              <w:t>Priedai:</w:t>
            </w:r>
            <w:r>
              <w:rPr>
                <w:rFonts w:ascii="Arial" w:eastAsia="Arial" w:hAnsi="Arial" w:cs="Arial"/>
                <w:sz w:val="20"/>
                <w:szCs w:val="20"/>
              </w:rPr>
              <w:t xml:space="preserve"> Priedas Nr. 1</w:t>
            </w:r>
          </w:p>
        </w:tc>
        <w:tc>
          <w:tcPr>
            <w:tcW w:w="5409" w:type="dxa"/>
          </w:tcPr>
          <w:p w14:paraId="1D0E8791" w14:textId="77777777" w:rsidR="00552932" w:rsidRDefault="00000000">
            <w:pPr>
              <w:spacing w:before="120"/>
              <w:ind w:left="0" w:hanging="2"/>
              <w:jc w:val="both"/>
              <w:rPr>
                <w:rFonts w:ascii="Arial" w:eastAsia="Arial" w:hAnsi="Arial" w:cs="Arial"/>
                <w:sz w:val="20"/>
                <w:szCs w:val="20"/>
              </w:rPr>
            </w:pPr>
            <w:r>
              <w:rPr>
                <w:rFonts w:ascii="Arial" w:eastAsia="Arial" w:hAnsi="Arial" w:cs="Arial"/>
                <w:b/>
                <w:sz w:val="20"/>
                <w:szCs w:val="20"/>
              </w:rPr>
              <w:t>Annexes:</w:t>
            </w:r>
            <w:r>
              <w:rPr>
                <w:rFonts w:ascii="Arial" w:eastAsia="Arial" w:hAnsi="Arial" w:cs="Arial"/>
                <w:sz w:val="20"/>
                <w:szCs w:val="20"/>
              </w:rPr>
              <w:t xml:space="preserve"> Annex No 1</w:t>
            </w:r>
          </w:p>
        </w:tc>
      </w:tr>
    </w:tbl>
    <w:p w14:paraId="59E111F6" w14:textId="77777777" w:rsidR="00552932" w:rsidRDefault="00552932">
      <w:pPr>
        <w:pStyle w:val="Heading1"/>
        <w:spacing w:before="120" w:after="0"/>
        <w:ind w:left="0" w:hanging="2"/>
        <w:jc w:val="both"/>
        <w:rPr>
          <w:sz w:val="20"/>
          <w:szCs w:val="20"/>
        </w:rPr>
      </w:pPr>
    </w:p>
    <w:p w14:paraId="0561D7FD" w14:textId="77777777" w:rsidR="00F51A3B" w:rsidRDefault="00F51A3B" w:rsidP="00F51A3B">
      <w:pPr>
        <w:ind w:left="0" w:hanging="2"/>
      </w:pPr>
    </w:p>
    <w:p w14:paraId="5F8D11CC" w14:textId="77777777" w:rsidR="00F51A3B" w:rsidRDefault="00F51A3B" w:rsidP="00F51A3B">
      <w:pPr>
        <w:ind w:left="0" w:hanging="2"/>
      </w:pPr>
    </w:p>
    <w:p w14:paraId="48FFB33B" w14:textId="77777777" w:rsidR="00F51A3B" w:rsidRDefault="00F51A3B" w:rsidP="00F51A3B">
      <w:pPr>
        <w:ind w:left="0" w:hanging="2"/>
      </w:pPr>
    </w:p>
    <w:p w14:paraId="4E1253A5" w14:textId="77777777" w:rsidR="00F51A3B" w:rsidRDefault="00F51A3B" w:rsidP="00F51A3B">
      <w:pPr>
        <w:ind w:left="0" w:hanging="2"/>
      </w:pPr>
    </w:p>
    <w:p w14:paraId="4EA6214C" w14:textId="77777777" w:rsidR="00F51A3B" w:rsidRDefault="00F51A3B" w:rsidP="00F51A3B">
      <w:pPr>
        <w:ind w:left="0" w:hanging="2"/>
      </w:pPr>
    </w:p>
    <w:p w14:paraId="14DD9BE3" w14:textId="77777777" w:rsidR="00F51A3B" w:rsidRDefault="00F51A3B" w:rsidP="00F51A3B">
      <w:pPr>
        <w:ind w:left="0" w:hanging="2"/>
      </w:pPr>
    </w:p>
    <w:p w14:paraId="0F535F9C" w14:textId="77777777" w:rsidR="00F51A3B" w:rsidRDefault="00F51A3B" w:rsidP="00F51A3B">
      <w:pPr>
        <w:ind w:left="0" w:hanging="2"/>
      </w:pPr>
    </w:p>
    <w:p w14:paraId="4AFA64BE" w14:textId="77777777" w:rsidR="00F51A3B" w:rsidRDefault="00F51A3B" w:rsidP="00F51A3B">
      <w:pPr>
        <w:ind w:left="0" w:hanging="2"/>
      </w:pPr>
    </w:p>
    <w:p w14:paraId="6F8D37B1" w14:textId="77777777" w:rsidR="00F51A3B" w:rsidRDefault="00F51A3B" w:rsidP="00F51A3B">
      <w:pPr>
        <w:ind w:left="0" w:hanging="2"/>
      </w:pPr>
    </w:p>
    <w:p w14:paraId="3334E4A5" w14:textId="77777777" w:rsidR="00F51A3B" w:rsidRDefault="00F51A3B" w:rsidP="00F51A3B">
      <w:pPr>
        <w:ind w:left="0" w:hanging="2"/>
      </w:pPr>
    </w:p>
    <w:p w14:paraId="448FBE08" w14:textId="77777777" w:rsidR="00F51A3B" w:rsidRDefault="00F51A3B" w:rsidP="00F51A3B">
      <w:pPr>
        <w:ind w:left="0" w:hanging="2"/>
      </w:pPr>
    </w:p>
    <w:p w14:paraId="3B957667" w14:textId="77777777" w:rsidR="00F51A3B" w:rsidRDefault="00F51A3B" w:rsidP="00F51A3B">
      <w:pPr>
        <w:ind w:left="0" w:hanging="2"/>
      </w:pPr>
    </w:p>
    <w:p w14:paraId="525D18A1" w14:textId="77777777" w:rsidR="00F51A3B" w:rsidRDefault="00F51A3B" w:rsidP="00F51A3B">
      <w:pPr>
        <w:ind w:left="0" w:hanging="2"/>
      </w:pPr>
    </w:p>
    <w:p w14:paraId="4456FC76" w14:textId="77777777" w:rsidR="00F51A3B" w:rsidRDefault="00F51A3B" w:rsidP="00F51A3B">
      <w:pPr>
        <w:ind w:left="0" w:hanging="2"/>
      </w:pPr>
    </w:p>
    <w:p w14:paraId="679B1F8B" w14:textId="77777777" w:rsidR="00F51A3B" w:rsidRDefault="00F51A3B" w:rsidP="00F51A3B">
      <w:pPr>
        <w:ind w:left="0" w:hanging="2"/>
      </w:pPr>
    </w:p>
    <w:p w14:paraId="7892C27C" w14:textId="77777777" w:rsidR="00F51A3B" w:rsidRPr="00F51A3B" w:rsidRDefault="00F51A3B" w:rsidP="00F51A3B">
      <w:pPr>
        <w:ind w:left="0" w:hanging="2"/>
      </w:pPr>
    </w:p>
    <w:p w14:paraId="2A7AFF8F" w14:textId="77777777" w:rsidR="00552932" w:rsidRDefault="00552932">
      <w:pPr>
        <w:ind w:left="0" w:hanging="2"/>
      </w:pPr>
    </w:p>
    <w:tbl>
      <w:tblPr>
        <w:tblStyle w:val="a9"/>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552932" w14:paraId="745A72A4" w14:textId="77777777">
        <w:trPr>
          <w:trHeight w:val="394"/>
        </w:trPr>
        <w:tc>
          <w:tcPr>
            <w:tcW w:w="9854" w:type="dxa"/>
            <w:gridSpan w:val="2"/>
          </w:tcPr>
          <w:p w14:paraId="4BAAC7B9" w14:textId="77777777" w:rsidR="00552932" w:rsidRDefault="00552932">
            <w:pPr>
              <w:spacing w:before="360"/>
              <w:ind w:left="0" w:hanging="2"/>
              <w:rPr>
                <w:rFonts w:ascii="Arial" w:eastAsia="Arial" w:hAnsi="Arial" w:cs="Arial"/>
                <w:b/>
                <w:sz w:val="20"/>
                <w:szCs w:val="20"/>
              </w:rPr>
            </w:pPr>
          </w:p>
          <w:p w14:paraId="71BCD594" w14:textId="77777777" w:rsidR="00552932" w:rsidRDefault="00000000">
            <w:pPr>
              <w:spacing w:before="360"/>
              <w:ind w:left="0" w:hanging="2"/>
              <w:jc w:val="center"/>
              <w:rPr>
                <w:rFonts w:ascii="Arial" w:eastAsia="Arial" w:hAnsi="Arial" w:cs="Arial"/>
                <w:b/>
                <w:sz w:val="20"/>
                <w:szCs w:val="20"/>
              </w:rPr>
            </w:pPr>
            <w:r>
              <w:rPr>
                <w:rFonts w:ascii="Arial" w:eastAsia="Arial" w:hAnsi="Arial" w:cs="Arial"/>
                <w:b/>
                <w:sz w:val="20"/>
                <w:szCs w:val="20"/>
              </w:rPr>
              <w:t>Šalių rekvizitai / Prerequisites of the Parties</w:t>
            </w:r>
          </w:p>
        </w:tc>
      </w:tr>
      <w:tr w:rsidR="00552932" w14:paraId="61A6A38F" w14:textId="77777777">
        <w:tc>
          <w:tcPr>
            <w:tcW w:w="4927" w:type="dxa"/>
          </w:tcPr>
          <w:p w14:paraId="4CED02BA" w14:textId="2B8C8971" w:rsidR="00552932" w:rsidRDefault="00000000">
            <w:pPr>
              <w:ind w:left="0" w:hanging="2"/>
              <w:jc w:val="both"/>
              <w:rPr>
                <w:sz w:val="20"/>
                <w:szCs w:val="20"/>
                <w:highlight w:val="yellow"/>
              </w:rPr>
            </w:pPr>
            <w:r>
              <w:rPr>
                <w:rFonts w:ascii="Arial" w:eastAsia="Arial" w:hAnsi="Arial" w:cs="Arial"/>
                <w:b/>
                <w:sz w:val="20"/>
                <w:szCs w:val="20"/>
              </w:rPr>
              <w:t>Pirkėjas / The Buyer:</w:t>
            </w:r>
            <w:r>
              <w:rPr>
                <w:rFonts w:ascii="Arial" w:eastAsia="Arial" w:hAnsi="Arial" w:cs="Arial"/>
                <w:sz w:val="20"/>
                <w:szCs w:val="20"/>
              </w:rPr>
              <w:t xml:space="preserve"> </w:t>
            </w:r>
            <w:r w:rsidR="00F51A3B">
              <w:rPr>
                <w:rFonts w:ascii="Arial" w:eastAsia="Arial" w:hAnsi="Arial" w:cs="Arial"/>
                <w:sz w:val="20"/>
                <w:szCs w:val="20"/>
              </w:rPr>
              <w:t>{</w:t>
            </w:r>
            <w:r w:rsidR="00F51A3B" w:rsidRPr="009E5B74">
              <w:rPr>
                <w:rFonts w:ascii="Arial" w:eastAsia="Arial" w:hAnsi="Arial" w:cs="Arial"/>
                <w:sz w:val="20"/>
                <w:szCs w:val="20"/>
                <w:highlight w:val="yellow"/>
              </w:rPr>
              <w:t>ReporterDisplayName</w:t>
            </w:r>
            <w:r w:rsidR="00F51A3B">
              <w:rPr>
                <w:rFonts w:ascii="Arial" w:eastAsia="Arial" w:hAnsi="Arial" w:cs="Arial"/>
                <w:sz w:val="20"/>
                <w:szCs w:val="20"/>
                <w:highlight w:val="yellow"/>
              </w:rPr>
              <w:t>}</w:t>
            </w:r>
          </w:p>
        </w:tc>
        <w:tc>
          <w:tcPr>
            <w:tcW w:w="4927" w:type="dxa"/>
          </w:tcPr>
          <w:p w14:paraId="3B8E6ADE" w14:textId="77777777" w:rsidR="00552932" w:rsidRDefault="00000000">
            <w:pPr>
              <w:ind w:left="0" w:hanging="2"/>
              <w:jc w:val="both"/>
              <w:rPr>
                <w:rFonts w:ascii="Arial" w:eastAsia="Arial" w:hAnsi="Arial" w:cs="Arial"/>
                <w:sz w:val="20"/>
                <w:szCs w:val="20"/>
              </w:rPr>
            </w:pPr>
            <w:r>
              <w:rPr>
                <w:rFonts w:ascii="Arial" w:eastAsia="Arial" w:hAnsi="Arial" w:cs="Arial"/>
                <w:b/>
                <w:sz w:val="20"/>
                <w:szCs w:val="20"/>
              </w:rPr>
              <w:t xml:space="preserve">Pardavėjas / The Seller: </w:t>
            </w:r>
            <w:r>
              <w:rPr>
                <w:rFonts w:ascii="Arial" w:eastAsia="Arial" w:hAnsi="Arial" w:cs="Arial"/>
                <w:sz w:val="20"/>
                <w:szCs w:val="20"/>
              </w:rPr>
              <w:t>Vinted Go, UAB</w:t>
            </w:r>
          </w:p>
        </w:tc>
      </w:tr>
      <w:tr w:rsidR="00552932" w14:paraId="11277C61" w14:textId="77777777">
        <w:tc>
          <w:tcPr>
            <w:tcW w:w="4927" w:type="dxa"/>
          </w:tcPr>
          <w:p w14:paraId="50DD87C7" w14:textId="77777777" w:rsidR="00552932"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Banko sąskaita/ Bank account: </w:t>
            </w:r>
          </w:p>
          <w:p w14:paraId="15C1173E" w14:textId="77777777" w:rsidR="00552932" w:rsidRDefault="00F51A3B" w:rsidP="00F51A3B">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w:t>
            </w:r>
            <w:r w:rsidRPr="009E5B74">
              <w:rPr>
                <w:rFonts w:ascii="Arial" w:eastAsia="Arial" w:hAnsi="Arial" w:cs="Arial"/>
                <w:color w:val="000000"/>
                <w:sz w:val="20"/>
                <w:szCs w:val="20"/>
              </w:rPr>
              <w:t>IBAN</w:t>
            </w:r>
            <w:r>
              <w:rPr>
                <w:rFonts w:ascii="Arial" w:eastAsia="Arial" w:hAnsi="Arial" w:cs="Arial"/>
                <w:color w:val="000000"/>
                <w:sz w:val="20"/>
                <w:szCs w:val="20"/>
              </w:rPr>
              <w:t>}</w:t>
            </w:r>
          </w:p>
          <w:p w14:paraId="160FDE5C" w14:textId="79ECE92C" w:rsidR="00F51A3B" w:rsidRPr="00F51A3B" w:rsidRDefault="00F51A3B" w:rsidP="00F51A3B">
            <w:pPr>
              <w:pBdr>
                <w:top w:val="nil"/>
                <w:left w:val="nil"/>
                <w:bottom w:val="nil"/>
                <w:right w:val="nil"/>
                <w:between w:val="nil"/>
              </w:pBdr>
              <w:spacing w:line="240" w:lineRule="auto"/>
              <w:ind w:leftChars="0" w:left="0" w:firstLineChars="0" w:firstLine="0"/>
              <w:jc w:val="both"/>
              <w:rPr>
                <w:rFonts w:ascii="Arial" w:eastAsia="Arial" w:hAnsi="Arial" w:cs="Arial"/>
                <w:color w:val="000000"/>
                <w:sz w:val="20"/>
                <w:szCs w:val="20"/>
              </w:rPr>
            </w:pPr>
          </w:p>
        </w:tc>
        <w:tc>
          <w:tcPr>
            <w:tcW w:w="4927" w:type="dxa"/>
          </w:tcPr>
          <w:p w14:paraId="79D21DE0" w14:textId="77777777" w:rsidR="00552932" w:rsidRDefault="00000000">
            <w:pPr>
              <w:ind w:left="0" w:hanging="2"/>
              <w:jc w:val="both"/>
              <w:rPr>
                <w:rFonts w:ascii="Arial" w:eastAsia="Arial" w:hAnsi="Arial" w:cs="Arial"/>
                <w:sz w:val="20"/>
                <w:szCs w:val="20"/>
              </w:rPr>
            </w:pPr>
            <w:r>
              <w:rPr>
                <w:rFonts w:ascii="Arial" w:eastAsia="Arial" w:hAnsi="Arial" w:cs="Arial"/>
                <w:sz w:val="20"/>
                <w:szCs w:val="20"/>
              </w:rPr>
              <w:t>PVM mokėtojo kodas / VAT payer’s code: LT100014742211</w:t>
            </w:r>
          </w:p>
          <w:p w14:paraId="0CD10BE5" w14:textId="77777777" w:rsidR="00552932"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sz w:val="20"/>
                <w:szCs w:val="20"/>
              </w:rPr>
              <w:t xml:space="preserve">Banko sąskaita/ Bank account: </w:t>
            </w:r>
          </w:p>
          <w:p w14:paraId="4AC20ADC" w14:textId="77777777" w:rsidR="00552932" w:rsidRDefault="00000000">
            <w:pPr>
              <w:ind w:left="0" w:hanging="2"/>
              <w:jc w:val="both"/>
              <w:rPr>
                <w:rFonts w:ascii="Arial" w:eastAsia="Arial" w:hAnsi="Arial" w:cs="Arial"/>
                <w:sz w:val="20"/>
                <w:szCs w:val="20"/>
              </w:rPr>
            </w:pPr>
            <w:r>
              <w:rPr>
                <w:rFonts w:ascii="Arial" w:eastAsia="Arial" w:hAnsi="Arial" w:cs="Arial"/>
                <w:sz w:val="18"/>
                <w:szCs w:val="18"/>
              </w:rPr>
              <w:t>NL62INGB0676085024 SWIFT:  INGBNL2A</w:t>
            </w:r>
          </w:p>
        </w:tc>
      </w:tr>
      <w:tr w:rsidR="00552932" w14:paraId="0793007D" w14:textId="77777777">
        <w:tc>
          <w:tcPr>
            <w:tcW w:w="4927" w:type="dxa"/>
          </w:tcPr>
          <w:p w14:paraId="32DB62A4" w14:textId="77777777" w:rsidR="00552932" w:rsidRDefault="00552932">
            <w:pPr>
              <w:tabs>
                <w:tab w:val="left" w:pos="4962"/>
              </w:tabs>
              <w:ind w:left="0" w:hanging="2"/>
              <w:jc w:val="both"/>
              <w:rPr>
                <w:rFonts w:ascii="Arial" w:eastAsia="Arial" w:hAnsi="Arial" w:cs="Arial"/>
                <w:sz w:val="20"/>
                <w:szCs w:val="20"/>
              </w:rPr>
            </w:pPr>
          </w:p>
          <w:p w14:paraId="2563F968" w14:textId="77777777" w:rsidR="00552932" w:rsidRDefault="00552932">
            <w:pPr>
              <w:tabs>
                <w:tab w:val="left" w:pos="4962"/>
              </w:tabs>
              <w:ind w:left="0" w:hanging="2"/>
              <w:jc w:val="both"/>
              <w:rPr>
                <w:rFonts w:ascii="Arial" w:eastAsia="Arial" w:hAnsi="Arial" w:cs="Arial"/>
                <w:sz w:val="20"/>
                <w:szCs w:val="20"/>
              </w:rPr>
            </w:pPr>
          </w:p>
          <w:p w14:paraId="0763DDBB" w14:textId="77777777" w:rsidR="00552932" w:rsidRDefault="00552932">
            <w:pPr>
              <w:tabs>
                <w:tab w:val="left" w:pos="4962"/>
              </w:tabs>
              <w:ind w:left="0" w:hanging="2"/>
              <w:jc w:val="both"/>
              <w:rPr>
                <w:rFonts w:ascii="Arial" w:eastAsia="Arial" w:hAnsi="Arial" w:cs="Arial"/>
                <w:sz w:val="20"/>
                <w:szCs w:val="20"/>
              </w:rPr>
            </w:pPr>
          </w:p>
          <w:p w14:paraId="1D3E0556" w14:textId="459951A5" w:rsidR="00552932" w:rsidRPr="00053D60" w:rsidRDefault="00053D60" w:rsidP="00053D60">
            <w:pPr>
              <w:tabs>
                <w:tab w:val="left" w:pos="4962"/>
              </w:tabs>
              <w:ind w:left="0" w:hanging="2"/>
              <w:jc w:val="both"/>
              <w:rPr>
                <w:rFonts w:ascii="Arial" w:eastAsia="Arial" w:hAnsi="Arial" w:cs="Arial"/>
                <w:color w:val="FFFFFF" w:themeColor="background1"/>
                <w:sz w:val="20"/>
                <w:szCs w:val="20"/>
              </w:rPr>
            </w:pPr>
            <w:r w:rsidRPr="00053D60">
              <w:rPr>
                <w:rFonts w:ascii="Arial" w:eastAsia="Arial" w:hAnsi="Arial" w:cs="Arial"/>
                <w:color w:val="FFFFFF" w:themeColor="background1"/>
                <w:sz w:val="20"/>
                <w:szCs w:val="20"/>
              </w:rPr>
              <w:t xml:space="preserve">          /sn1/</w:t>
            </w:r>
          </w:p>
          <w:p w14:paraId="6F5F62C5" w14:textId="77777777" w:rsidR="00552932"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395D180D" w14:textId="77777777" w:rsidR="00552932"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Parašas / signature</w:t>
            </w:r>
          </w:p>
        </w:tc>
        <w:tc>
          <w:tcPr>
            <w:tcW w:w="4927" w:type="dxa"/>
          </w:tcPr>
          <w:p w14:paraId="4370878F" w14:textId="77777777" w:rsidR="00552932"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 xml:space="preserve">Pardavėjo įgaliotinis/ Proxy of the Seller </w:t>
            </w:r>
          </w:p>
          <w:p w14:paraId="6778438D" w14:textId="77777777" w:rsidR="00F51A3B" w:rsidRPr="00B345B1" w:rsidRDefault="00F51A3B" w:rsidP="00F51A3B">
            <w:pPr>
              <w:tabs>
                <w:tab w:val="left" w:pos="4962"/>
              </w:tabs>
              <w:ind w:left="0" w:hanging="2"/>
              <w:jc w:val="both"/>
              <w:rPr>
                <w:rFonts w:ascii="Arial" w:eastAsia="Arial" w:hAnsi="Arial" w:cs="Arial"/>
                <w:sz w:val="20"/>
                <w:szCs w:val="20"/>
              </w:rPr>
            </w:pPr>
            <w:r>
              <w:rPr>
                <w:rFonts w:ascii="Arial" w:eastAsia="Arial" w:hAnsi="Arial" w:cs="Arial"/>
                <w:b/>
                <w:sz w:val="20"/>
                <w:szCs w:val="20"/>
              </w:rPr>
              <w:t>Paulius Vaitkve</w:t>
            </w:r>
            <w:r>
              <w:rPr>
                <w:rFonts w:ascii="Arial" w:eastAsia="Arial" w:hAnsi="Arial" w:cs="Arial"/>
                <w:b/>
                <w:sz w:val="20"/>
                <w:szCs w:val="20"/>
                <w:lang w:val="lt-LT"/>
              </w:rPr>
              <w:t>čius</w:t>
            </w:r>
          </w:p>
          <w:p w14:paraId="4D7B7D90" w14:textId="77777777" w:rsidR="00552932" w:rsidRPr="00F51A3B" w:rsidRDefault="00552932" w:rsidP="00F51A3B">
            <w:pPr>
              <w:tabs>
                <w:tab w:val="left" w:pos="4962"/>
              </w:tabs>
              <w:ind w:leftChars="0" w:left="0" w:firstLineChars="0" w:firstLine="0"/>
              <w:jc w:val="both"/>
              <w:rPr>
                <w:rFonts w:ascii="Arial" w:eastAsia="Arial" w:hAnsi="Arial" w:cs="Arial"/>
                <w:sz w:val="20"/>
                <w:szCs w:val="20"/>
              </w:rPr>
            </w:pPr>
          </w:p>
          <w:p w14:paraId="158CDA87" w14:textId="665F3502" w:rsidR="00552932" w:rsidRPr="00053D60" w:rsidRDefault="00053D60" w:rsidP="00053D60">
            <w:pPr>
              <w:tabs>
                <w:tab w:val="left" w:pos="4962"/>
              </w:tabs>
              <w:ind w:left="0" w:hanging="2"/>
              <w:jc w:val="both"/>
              <w:rPr>
                <w:rFonts w:ascii="Arial" w:eastAsia="Arial" w:hAnsi="Arial" w:cs="Arial"/>
                <w:color w:val="FFFFFF" w:themeColor="background1"/>
                <w:sz w:val="20"/>
                <w:szCs w:val="20"/>
              </w:rPr>
            </w:pPr>
            <w:r w:rsidRPr="00053D60">
              <w:rPr>
                <w:rFonts w:ascii="Arial" w:eastAsia="Arial" w:hAnsi="Arial" w:cs="Arial"/>
                <w:color w:val="FFFFFF" w:themeColor="background1"/>
                <w:sz w:val="20"/>
                <w:szCs w:val="20"/>
              </w:rPr>
              <w:t xml:space="preserve">          /sn</w:t>
            </w:r>
            <w:r w:rsidRPr="00053D60">
              <w:rPr>
                <w:rFonts w:ascii="Arial" w:eastAsia="Arial" w:hAnsi="Arial" w:cs="Arial"/>
                <w:color w:val="FFFFFF" w:themeColor="background1"/>
                <w:sz w:val="20"/>
                <w:szCs w:val="20"/>
              </w:rPr>
              <w:t>2</w:t>
            </w:r>
            <w:r w:rsidRPr="00053D60">
              <w:rPr>
                <w:rFonts w:ascii="Arial" w:eastAsia="Arial" w:hAnsi="Arial" w:cs="Arial"/>
                <w:color w:val="FFFFFF" w:themeColor="background1"/>
                <w:sz w:val="20"/>
                <w:szCs w:val="20"/>
              </w:rPr>
              <w:t>/</w:t>
            </w:r>
          </w:p>
          <w:p w14:paraId="57A81F05" w14:textId="77777777" w:rsidR="00552932"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67BAE293" w14:textId="77777777" w:rsidR="00552932"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Parašas / signature</w:t>
            </w:r>
          </w:p>
        </w:tc>
      </w:tr>
    </w:tbl>
    <w:p w14:paraId="2D868225" w14:textId="77777777" w:rsidR="00552932"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552932">
          <w:headerReference w:type="default" r:id="rId10"/>
          <w:footerReference w:type="even" r:id="rId11"/>
          <w:footerReference w:type="default" r:id="rId12"/>
          <w:pgSz w:w="11906" w:h="16838"/>
          <w:pgMar w:top="1134" w:right="1134" w:bottom="1134" w:left="1134" w:header="567" w:footer="567" w:gutter="0"/>
          <w:pgNumType w:start="1"/>
          <w:cols w:space="720"/>
        </w:sectPr>
      </w:pPr>
      <w:r>
        <w:rPr>
          <w:rFonts w:ascii="Arial" w:eastAsia="Arial" w:hAnsi="Arial" w:cs="Arial"/>
          <w:color w:val="000000"/>
          <w:sz w:val="20"/>
          <w:szCs w:val="20"/>
        </w:rPr>
        <w:tab/>
      </w:r>
    </w:p>
    <w:p w14:paraId="1C3B8AE7" w14:textId="71BA2CE4" w:rsidR="00552932" w:rsidRPr="00F51A3B"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Priedas Nr. 1 prie Pirkimo – pardavimo sutarties / Annex No 1 to the SALE AND PURCHASE AGREEMENT of </w:t>
      </w:r>
      <w:r w:rsidR="00F51A3B">
        <w:rPr>
          <w:rFonts w:ascii="Arial" w:eastAsia="Arial" w:hAnsi="Arial" w:cs="Arial"/>
          <w:color w:val="000000"/>
          <w:sz w:val="20"/>
          <w:szCs w:val="20"/>
        </w:rPr>
        <w:t>{</w:t>
      </w:r>
      <w:r w:rsidR="00F51A3B" w:rsidRPr="007850EC">
        <w:rPr>
          <w:rFonts w:ascii="Arial" w:eastAsia="Arial" w:hAnsi="Arial" w:cs="Arial"/>
          <w:color w:val="000000"/>
          <w:sz w:val="20"/>
          <w:szCs w:val="20"/>
        </w:rPr>
        <w:t>TodaysDate</w:t>
      </w:r>
      <w:r w:rsidR="00F51A3B">
        <w:rPr>
          <w:rFonts w:ascii="Arial" w:eastAsia="Arial" w:hAnsi="Arial" w:cs="Arial"/>
          <w:color w:val="000000"/>
          <w:sz w:val="20"/>
          <w:szCs w:val="20"/>
        </w:rPr>
        <w:t>}</w:t>
      </w:r>
    </w:p>
    <w:p w14:paraId="334C8201" w14:textId="77777777" w:rsidR="00552932" w:rsidRDefault="00552932">
      <w:pPr>
        <w:ind w:left="0" w:hanging="2"/>
        <w:rPr>
          <w:rFonts w:ascii="Arial" w:eastAsia="Arial" w:hAnsi="Arial" w:cs="Arial"/>
          <w:sz w:val="20"/>
          <w:szCs w:val="20"/>
        </w:rPr>
      </w:pPr>
    </w:p>
    <w:p w14:paraId="19244226" w14:textId="77777777" w:rsidR="00552932" w:rsidRDefault="00000000">
      <w:pPr>
        <w:ind w:left="0" w:hanging="2"/>
        <w:jc w:val="right"/>
        <w:rPr>
          <w:rFonts w:ascii="Arial" w:eastAsia="Arial" w:hAnsi="Arial" w:cs="Arial"/>
          <w:color w:val="1F497D"/>
          <w:sz w:val="20"/>
          <w:szCs w:val="20"/>
        </w:rPr>
      </w:pPr>
      <w:r>
        <w:rPr>
          <w:rFonts w:ascii="Arial" w:eastAsia="Arial" w:hAnsi="Arial" w:cs="Arial"/>
          <w:color w:val="1F497D"/>
          <w:sz w:val="20"/>
          <w:szCs w:val="20"/>
        </w:rPr>
        <w:t xml:space="preserve"> </w:t>
      </w:r>
    </w:p>
    <w:tbl>
      <w:tblPr>
        <w:tblStyle w:val="a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620"/>
        <w:gridCol w:w="4710"/>
        <w:gridCol w:w="2655"/>
      </w:tblGrid>
      <w:tr w:rsidR="00552932" w14:paraId="0FCF5B7B"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0A60DB" w14:textId="77777777" w:rsidR="00552932"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327C1C" w14:textId="77777777" w:rsidR="00552932" w:rsidRDefault="00000000">
            <w:pPr>
              <w:ind w:left="0" w:hanging="2"/>
              <w:jc w:val="center"/>
              <w:rPr>
                <w:rFonts w:ascii="Arial" w:eastAsia="Arial" w:hAnsi="Arial" w:cs="Arial"/>
                <w:b/>
                <w:sz w:val="20"/>
                <w:szCs w:val="20"/>
              </w:rPr>
            </w:pPr>
            <w:r>
              <w:rPr>
                <w:rFonts w:ascii="Arial" w:eastAsia="Arial" w:hAnsi="Arial" w:cs="Arial"/>
                <w:b/>
                <w:sz w:val="20"/>
                <w:szCs w:val="20"/>
              </w:rPr>
              <w:t>Kiekis (vnt.) / Quantity (unit)</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0341B" w14:textId="77777777" w:rsidR="00552932" w:rsidRDefault="00000000">
            <w:pPr>
              <w:ind w:left="0" w:hanging="2"/>
              <w:jc w:val="center"/>
              <w:rPr>
                <w:rFonts w:ascii="Arial" w:eastAsia="Arial" w:hAnsi="Arial" w:cs="Arial"/>
                <w:b/>
                <w:sz w:val="20"/>
                <w:szCs w:val="20"/>
              </w:rPr>
            </w:pPr>
            <w:r>
              <w:rPr>
                <w:rFonts w:ascii="Arial" w:eastAsia="Arial" w:hAnsi="Arial" w:cs="Arial"/>
                <w:b/>
                <w:sz w:val="20"/>
                <w:szCs w:val="20"/>
              </w:rPr>
              <w:t xml:space="preserve">Pavadinimas / </w:t>
            </w:r>
          </w:p>
          <w:p w14:paraId="396BEC6A" w14:textId="77777777" w:rsidR="00552932" w:rsidRDefault="00000000">
            <w:pPr>
              <w:ind w:left="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97AF7" w14:textId="77777777" w:rsidR="00552932" w:rsidRDefault="00000000">
            <w:pPr>
              <w:ind w:left="0" w:hanging="2"/>
              <w:jc w:val="center"/>
              <w:rPr>
                <w:rFonts w:ascii="Arial" w:eastAsia="Arial" w:hAnsi="Arial" w:cs="Arial"/>
                <w:b/>
                <w:sz w:val="20"/>
                <w:szCs w:val="20"/>
              </w:rPr>
            </w:pPr>
            <w:r>
              <w:rPr>
                <w:rFonts w:ascii="Arial" w:eastAsia="Arial" w:hAnsi="Arial" w:cs="Arial"/>
                <w:b/>
                <w:sz w:val="20"/>
                <w:szCs w:val="20"/>
              </w:rPr>
              <w:t>Galutinė kaina su PVM / Final price, incl. VAT, EUR</w:t>
            </w:r>
          </w:p>
        </w:tc>
      </w:tr>
      <w:tr w:rsidR="00552932" w14:paraId="4F0F1595"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F53A01" w14:textId="77777777" w:rsidR="00552932"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BEF44D" w14:textId="51E8AE02" w:rsidR="00552932" w:rsidRPr="00F51A3B" w:rsidRDefault="00F51A3B">
            <w:pPr>
              <w:ind w:left="0" w:hanging="2"/>
              <w:jc w:val="center"/>
              <w:rPr>
                <w:rFonts w:ascii="Arial" w:eastAsia="Arial" w:hAnsi="Arial" w:cs="Arial"/>
                <w:sz w:val="20"/>
                <w:szCs w:val="20"/>
              </w:rPr>
            </w:pPr>
            <w:r>
              <w:rPr>
                <w:rFonts w:ascii="Arial" w:eastAsia="Arial" w:hAnsi="Arial" w:cs="Arial"/>
                <w:sz w:val="20"/>
                <w:szCs w:val="20"/>
              </w:rPr>
              <w:t>1</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35A98C" w14:textId="77777777" w:rsidR="00F51A3B" w:rsidRPr="00F37653" w:rsidRDefault="00F51A3B" w:rsidP="00F51A3B">
            <w:pPr>
              <w:ind w:left="0" w:hanging="2"/>
              <w:jc w:val="center"/>
              <w:rPr>
                <w:rFonts w:ascii="Arial" w:eastAsia="Arial" w:hAnsi="Arial" w:cs="Arial"/>
                <w:sz w:val="20"/>
                <w:szCs w:val="20"/>
              </w:rPr>
            </w:pPr>
            <w:r>
              <w:rPr>
                <w:rFonts w:ascii="Arial" w:eastAsia="Arial" w:hAnsi="Arial" w:cs="Arial"/>
                <w:sz w:val="20"/>
                <w:szCs w:val="20"/>
              </w:rPr>
              <w:t>{</w:t>
            </w:r>
            <w:r w:rsidRPr="00F37653">
              <w:rPr>
                <w:rFonts w:ascii="Arial" w:eastAsia="Arial" w:hAnsi="Arial" w:cs="Arial"/>
                <w:sz w:val="20"/>
                <w:szCs w:val="20"/>
              </w:rPr>
              <w:t>Serialnumber</w:t>
            </w:r>
            <w:r>
              <w:rPr>
                <w:rFonts w:ascii="Arial" w:eastAsia="Arial" w:hAnsi="Arial" w:cs="Arial"/>
                <w:sz w:val="20"/>
                <w:szCs w:val="20"/>
              </w:rPr>
              <w:t>}</w:t>
            </w:r>
          </w:p>
          <w:p w14:paraId="0AAF3A2B" w14:textId="77777777" w:rsidR="00552932" w:rsidRDefault="00552932">
            <w:pPr>
              <w:ind w:left="0" w:hanging="2"/>
              <w:jc w:val="center"/>
              <w:rPr>
                <w:rFonts w:ascii="Arial" w:eastAsia="Arial" w:hAnsi="Arial" w:cs="Arial"/>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573166" w14:textId="7544391D" w:rsidR="00552932" w:rsidRDefault="00F51A3B">
            <w:pPr>
              <w:ind w:left="0" w:hanging="2"/>
              <w:jc w:val="center"/>
              <w:rPr>
                <w:rFonts w:ascii="Arial" w:eastAsia="Arial" w:hAnsi="Arial" w:cs="Arial"/>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r w:rsidR="00552932" w14:paraId="07315CB1"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BBD4F7" w14:textId="77777777" w:rsidR="00552932"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E5C76C" w14:textId="77777777" w:rsidR="00552932" w:rsidRDefault="00552932">
            <w:pPr>
              <w:ind w:left="0" w:hanging="2"/>
              <w:jc w:val="center"/>
              <w:rPr>
                <w:rFonts w:ascii="Arial" w:eastAsia="Arial" w:hAnsi="Arial" w:cs="Arial"/>
                <w:sz w:val="20"/>
                <w:szCs w:val="20"/>
              </w:rPr>
            </w:pP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203CD8" w14:textId="77777777" w:rsidR="00552932"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CB16AB" w14:textId="77777777" w:rsidR="00552932"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552932" w14:paraId="571CB999"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BD991E" w14:textId="77777777" w:rsidR="00552932" w:rsidRDefault="00000000">
            <w:pPr>
              <w:ind w:left="0" w:hanging="2"/>
              <w:jc w:val="right"/>
              <w:rPr>
                <w:rFonts w:ascii="Arial" w:eastAsia="Arial" w:hAnsi="Arial" w:cs="Arial"/>
                <w:b/>
                <w:sz w:val="20"/>
                <w:szCs w:val="20"/>
              </w:rPr>
            </w:pPr>
            <w:r>
              <w:rPr>
                <w:rFonts w:ascii="Arial" w:eastAsia="Arial" w:hAnsi="Arial" w:cs="Arial"/>
                <w:b/>
                <w:sz w:val="20"/>
                <w:szCs w:val="20"/>
              </w:rPr>
              <w:t>IŠ VISO/ 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A7CAD3" w14:textId="73A25782" w:rsidR="00552932" w:rsidRDefault="00F51A3B">
            <w:pPr>
              <w:ind w:left="0" w:hanging="2"/>
              <w:jc w:val="center"/>
              <w:rPr>
                <w:rFonts w:ascii="Arial" w:eastAsia="Arial" w:hAnsi="Arial" w:cs="Arial"/>
                <w:color w:val="1F497D"/>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bl>
    <w:p w14:paraId="0408FE39" w14:textId="77777777" w:rsidR="00552932" w:rsidRDefault="00552932">
      <w:pPr>
        <w:pBdr>
          <w:top w:val="nil"/>
          <w:left w:val="nil"/>
          <w:bottom w:val="nil"/>
          <w:right w:val="nil"/>
          <w:between w:val="nil"/>
        </w:pBdr>
        <w:spacing w:line="240" w:lineRule="auto"/>
        <w:ind w:left="0" w:hanging="2"/>
        <w:jc w:val="right"/>
        <w:rPr>
          <w:rFonts w:ascii="Arial" w:eastAsia="Arial" w:hAnsi="Arial" w:cs="Arial"/>
          <w:sz w:val="20"/>
          <w:szCs w:val="20"/>
        </w:rPr>
      </w:pPr>
    </w:p>
    <w:p w14:paraId="680D89CD" w14:textId="77777777" w:rsidR="00552932" w:rsidRDefault="00552932">
      <w:pPr>
        <w:tabs>
          <w:tab w:val="left" w:pos="2580"/>
        </w:tabs>
        <w:ind w:left="0" w:hanging="2"/>
        <w:rPr>
          <w:rFonts w:ascii="Arial" w:eastAsia="Arial" w:hAnsi="Arial" w:cs="Arial"/>
          <w:sz w:val="20"/>
          <w:szCs w:val="20"/>
        </w:rPr>
      </w:pPr>
      <w:bookmarkStart w:id="0" w:name="_heading=h.gjdgxs" w:colFirst="0" w:colLast="0"/>
      <w:bookmarkEnd w:id="0"/>
    </w:p>
    <w:sectPr w:rsidR="00552932">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E78C8" w14:textId="77777777" w:rsidR="004B734F" w:rsidRDefault="004B734F">
      <w:pPr>
        <w:spacing w:line="240" w:lineRule="auto"/>
        <w:ind w:left="0" w:hanging="2"/>
      </w:pPr>
      <w:r>
        <w:separator/>
      </w:r>
    </w:p>
  </w:endnote>
  <w:endnote w:type="continuationSeparator" w:id="0">
    <w:p w14:paraId="53529C03" w14:textId="77777777" w:rsidR="004B734F" w:rsidRDefault="004B734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05BBF" w14:textId="77777777" w:rsidR="00552932"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62C9471" w14:textId="77777777" w:rsidR="00552932" w:rsidRDefault="00552932">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9C098" w14:textId="77777777" w:rsidR="00552932"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F51A3B">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58DE45C8" w14:textId="77777777" w:rsidR="00552932" w:rsidRDefault="00552932">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757EF" w14:textId="77777777" w:rsidR="004B734F" w:rsidRDefault="004B734F">
      <w:pPr>
        <w:spacing w:line="240" w:lineRule="auto"/>
        <w:ind w:left="0" w:hanging="2"/>
      </w:pPr>
      <w:r>
        <w:separator/>
      </w:r>
    </w:p>
  </w:footnote>
  <w:footnote w:type="continuationSeparator" w:id="0">
    <w:p w14:paraId="222C6F3E" w14:textId="77777777" w:rsidR="004B734F" w:rsidRDefault="004B734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63267" w14:textId="77777777" w:rsidR="00552932" w:rsidRDefault="00552932">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15CC"/>
    <w:multiLevelType w:val="multilevel"/>
    <w:tmpl w:val="DDE4052A"/>
    <w:lvl w:ilvl="0">
      <w:start w:val="2"/>
      <w:numFmt w:val="decimal"/>
      <w:lvlText w:val="%1."/>
      <w:lvlJc w:val="left"/>
      <w:pPr>
        <w:ind w:left="360" w:hanging="360"/>
      </w:pPr>
      <w:rPr>
        <w:vertAlign w:val="baseline"/>
      </w:rPr>
    </w:lvl>
    <w:lvl w:ilvl="1">
      <w:start w:val="1"/>
      <w:numFmt w:val="decimal"/>
      <w:lvlText w:val="%1.%2."/>
      <w:lvlJc w:val="left"/>
      <w:pPr>
        <w:ind w:left="1322" w:hanging="720"/>
      </w:pPr>
      <w:rPr>
        <w:vertAlign w:val="baseline"/>
      </w:rPr>
    </w:lvl>
    <w:lvl w:ilvl="2">
      <w:start w:val="1"/>
      <w:numFmt w:val="decimal"/>
      <w:lvlText w:val="%1.%2.%3."/>
      <w:lvlJc w:val="left"/>
      <w:pPr>
        <w:ind w:left="1924" w:hanging="720"/>
      </w:pPr>
      <w:rPr>
        <w:vertAlign w:val="baseline"/>
      </w:rPr>
    </w:lvl>
    <w:lvl w:ilvl="3">
      <w:start w:val="1"/>
      <w:numFmt w:val="decimal"/>
      <w:lvlText w:val="%1.%2.%3.%4."/>
      <w:lvlJc w:val="left"/>
      <w:pPr>
        <w:ind w:left="2886" w:hanging="1079"/>
      </w:pPr>
      <w:rPr>
        <w:vertAlign w:val="baseline"/>
      </w:rPr>
    </w:lvl>
    <w:lvl w:ilvl="4">
      <w:start w:val="1"/>
      <w:numFmt w:val="decimal"/>
      <w:lvlText w:val="%1.%2.%3.%4.%5."/>
      <w:lvlJc w:val="left"/>
      <w:pPr>
        <w:ind w:left="3488" w:hanging="1080"/>
      </w:pPr>
      <w:rPr>
        <w:vertAlign w:val="baseline"/>
      </w:rPr>
    </w:lvl>
    <w:lvl w:ilvl="5">
      <w:start w:val="1"/>
      <w:numFmt w:val="decimal"/>
      <w:lvlText w:val="%1.%2.%3.%4.%5.%6."/>
      <w:lvlJc w:val="left"/>
      <w:pPr>
        <w:ind w:left="4450" w:hanging="1440"/>
      </w:pPr>
      <w:rPr>
        <w:vertAlign w:val="baseline"/>
      </w:rPr>
    </w:lvl>
    <w:lvl w:ilvl="6">
      <w:start w:val="1"/>
      <w:numFmt w:val="decimal"/>
      <w:lvlText w:val="%1.%2.%3.%4.%5.%6.%7."/>
      <w:lvlJc w:val="left"/>
      <w:pPr>
        <w:ind w:left="5052" w:hanging="1440"/>
      </w:pPr>
      <w:rPr>
        <w:vertAlign w:val="baseline"/>
      </w:rPr>
    </w:lvl>
    <w:lvl w:ilvl="7">
      <w:start w:val="1"/>
      <w:numFmt w:val="decimal"/>
      <w:lvlText w:val="%1.%2.%3.%4.%5.%6.%7.%8."/>
      <w:lvlJc w:val="left"/>
      <w:pPr>
        <w:ind w:left="6014" w:hanging="1800"/>
      </w:pPr>
      <w:rPr>
        <w:vertAlign w:val="baseline"/>
      </w:rPr>
    </w:lvl>
    <w:lvl w:ilvl="8">
      <w:start w:val="1"/>
      <w:numFmt w:val="decimal"/>
      <w:lvlText w:val="%1.%2.%3.%4.%5.%6.%7.%8.%9."/>
      <w:lvlJc w:val="left"/>
      <w:pPr>
        <w:ind w:left="6616" w:hanging="1800"/>
      </w:pPr>
      <w:rPr>
        <w:vertAlign w:val="baseline"/>
      </w:rPr>
    </w:lvl>
  </w:abstractNum>
  <w:abstractNum w:abstractNumId="1" w15:restartNumberingAfterBreak="0">
    <w:nsid w:val="1EF43BC7"/>
    <w:multiLevelType w:val="multilevel"/>
    <w:tmpl w:val="20FCCAFA"/>
    <w:lvl w:ilvl="0">
      <w:start w:val="4"/>
      <w:numFmt w:val="decimal"/>
      <w:lvlText w:val="%1."/>
      <w:lvlJc w:val="left"/>
      <w:pPr>
        <w:ind w:left="360" w:hanging="360"/>
      </w:pPr>
      <w:rPr>
        <w:vertAlign w:val="baseline"/>
      </w:rPr>
    </w:lvl>
    <w:lvl w:ilvl="1">
      <w:start w:val="1"/>
      <w:numFmt w:val="decimal"/>
      <w:lvlText w:val="%1.%2."/>
      <w:lvlJc w:val="left"/>
      <w:pPr>
        <w:ind w:left="2880" w:hanging="720"/>
      </w:pPr>
      <w:rPr>
        <w:vertAlign w:val="baseline"/>
      </w:rPr>
    </w:lvl>
    <w:lvl w:ilvl="2">
      <w:start w:val="1"/>
      <w:numFmt w:val="decimal"/>
      <w:lvlText w:val="%1.%2.%3."/>
      <w:lvlJc w:val="left"/>
      <w:pPr>
        <w:ind w:left="5040" w:hanging="720"/>
      </w:pPr>
      <w:rPr>
        <w:vertAlign w:val="baseline"/>
      </w:rPr>
    </w:lvl>
    <w:lvl w:ilvl="3">
      <w:start w:val="1"/>
      <w:numFmt w:val="decimal"/>
      <w:lvlText w:val="%1.%2.%3.%4."/>
      <w:lvlJc w:val="left"/>
      <w:pPr>
        <w:ind w:left="7560" w:hanging="1080"/>
      </w:pPr>
      <w:rPr>
        <w:vertAlign w:val="baseline"/>
      </w:rPr>
    </w:lvl>
    <w:lvl w:ilvl="4">
      <w:start w:val="1"/>
      <w:numFmt w:val="decimal"/>
      <w:lvlText w:val="%1.%2.%3.%4.%5."/>
      <w:lvlJc w:val="left"/>
      <w:pPr>
        <w:ind w:left="9720" w:hanging="1080"/>
      </w:pPr>
      <w:rPr>
        <w:vertAlign w:val="baseline"/>
      </w:rPr>
    </w:lvl>
    <w:lvl w:ilvl="5">
      <w:start w:val="1"/>
      <w:numFmt w:val="decimal"/>
      <w:lvlText w:val="%1.%2.%3.%4.%5.%6."/>
      <w:lvlJc w:val="left"/>
      <w:pPr>
        <w:ind w:left="12240" w:hanging="1440"/>
      </w:pPr>
      <w:rPr>
        <w:vertAlign w:val="baseline"/>
      </w:rPr>
    </w:lvl>
    <w:lvl w:ilvl="6">
      <w:start w:val="1"/>
      <w:numFmt w:val="decimal"/>
      <w:lvlText w:val="%1.%2.%3.%4.%5.%6.%7."/>
      <w:lvlJc w:val="left"/>
      <w:pPr>
        <w:ind w:left="14400" w:hanging="1440"/>
      </w:pPr>
      <w:rPr>
        <w:vertAlign w:val="baseline"/>
      </w:rPr>
    </w:lvl>
    <w:lvl w:ilvl="7">
      <w:start w:val="1"/>
      <w:numFmt w:val="decimal"/>
      <w:lvlText w:val="%1.%2.%3.%4.%5.%6.%7.%8."/>
      <w:lvlJc w:val="left"/>
      <w:pPr>
        <w:ind w:left="16920" w:hanging="1800"/>
      </w:pPr>
      <w:rPr>
        <w:vertAlign w:val="baseline"/>
      </w:rPr>
    </w:lvl>
    <w:lvl w:ilvl="8">
      <w:start w:val="1"/>
      <w:numFmt w:val="decimal"/>
      <w:lvlText w:val="%1.%2.%3.%4.%5.%6.%7.%8.%9."/>
      <w:lvlJc w:val="left"/>
      <w:pPr>
        <w:ind w:left="19080" w:hanging="1800"/>
      </w:pPr>
      <w:rPr>
        <w:vertAlign w:val="baseline"/>
      </w:rPr>
    </w:lvl>
  </w:abstractNum>
  <w:abstractNum w:abstractNumId="2" w15:restartNumberingAfterBreak="0">
    <w:nsid w:val="40CD4C80"/>
    <w:multiLevelType w:val="multilevel"/>
    <w:tmpl w:val="00EEECC6"/>
    <w:lvl w:ilvl="0">
      <w:start w:val="5"/>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3" w15:restartNumberingAfterBreak="0">
    <w:nsid w:val="45242D8E"/>
    <w:multiLevelType w:val="multilevel"/>
    <w:tmpl w:val="ABA8CE32"/>
    <w:lvl w:ilvl="0">
      <w:start w:val="1"/>
      <w:numFmt w:val="decimal"/>
      <w:pStyle w:val="H1Ashurst"/>
      <w:lvlText w:val="%1."/>
      <w:lvlJc w:val="right"/>
      <w:pPr>
        <w:ind w:left="720" w:hanging="360"/>
      </w:pPr>
      <w:rPr>
        <w:u w:val="none"/>
      </w:rPr>
    </w:lvl>
    <w:lvl w:ilvl="1">
      <w:start w:val="1"/>
      <w:numFmt w:val="decimal"/>
      <w:pStyle w:val="H2Ashurst"/>
      <w:lvlText w:val="%1.%2."/>
      <w:lvlJc w:val="right"/>
      <w:pPr>
        <w:ind w:left="1440" w:hanging="360"/>
      </w:pPr>
      <w:rPr>
        <w:u w:val="none"/>
      </w:rPr>
    </w:lvl>
    <w:lvl w:ilvl="2">
      <w:start w:val="1"/>
      <w:numFmt w:val="decimal"/>
      <w:pStyle w:val="H3Ashurst"/>
      <w:lvlText w:val="%1.%2.%3."/>
      <w:lvlJc w:val="right"/>
      <w:pPr>
        <w:ind w:left="2160" w:hanging="360"/>
      </w:pPr>
      <w:rPr>
        <w:u w:val="none"/>
      </w:rPr>
    </w:lvl>
    <w:lvl w:ilvl="3">
      <w:start w:val="1"/>
      <w:numFmt w:val="decimal"/>
      <w:pStyle w:val="H4Ashurst"/>
      <w:lvlText w:val="%1.%2.%3.%4."/>
      <w:lvlJc w:val="right"/>
      <w:pPr>
        <w:ind w:left="2880" w:hanging="360"/>
      </w:pPr>
      <w:rPr>
        <w:u w:val="none"/>
      </w:rPr>
    </w:lvl>
    <w:lvl w:ilvl="4">
      <w:start w:val="1"/>
      <w:numFmt w:val="decimal"/>
      <w:pStyle w:val="H5Ashurst"/>
      <w:lvlText w:val="%1.%2.%3.%4.%5."/>
      <w:lvlJc w:val="right"/>
      <w:pPr>
        <w:ind w:left="3600" w:hanging="360"/>
      </w:pPr>
      <w:rPr>
        <w:u w:val="none"/>
      </w:rPr>
    </w:lvl>
    <w:lvl w:ilvl="5">
      <w:start w:val="1"/>
      <w:numFmt w:val="decimal"/>
      <w:pStyle w:val="H6Ashurst"/>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0BE2F94"/>
    <w:multiLevelType w:val="multilevel"/>
    <w:tmpl w:val="08FCE71A"/>
    <w:lvl w:ilvl="0">
      <w:start w:val="6"/>
      <w:numFmt w:val="decimal"/>
      <w:lvlText w:val="%1."/>
      <w:lvlJc w:val="left"/>
      <w:pPr>
        <w:ind w:left="360" w:hanging="36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5" w15:restartNumberingAfterBreak="0">
    <w:nsid w:val="64A42966"/>
    <w:multiLevelType w:val="multilevel"/>
    <w:tmpl w:val="AB44FC60"/>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6" w15:restartNumberingAfterBreak="0">
    <w:nsid w:val="74AC2DFE"/>
    <w:multiLevelType w:val="multilevel"/>
    <w:tmpl w:val="5E44DDA0"/>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7" w15:restartNumberingAfterBreak="0">
    <w:nsid w:val="7E3B7A09"/>
    <w:multiLevelType w:val="multilevel"/>
    <w:tmpl w:val="1396BFD8"/>
    <w:lvl w:ilvl="0">
      <w:start w:val="1"/>
      <w:numFmt w:val="decimal"/>
      <w:lvlText w:val="%1."/>
      <w:lvlJc w:val="right"/>
      <w:pPr>
        <w:ind w:left="720" w:hanging="360"/>
      </w:pPr>
      <w:rPr>
        <w:b/>
        <w:vertAlign w:val="baseline"/>
      </w:rPr>
    </w:lvl>
    <w:lvl w:ilvl="1">
      <w:start w:val="1"/>
      <w:numFmt w:val="decimal"/>
      <w:lvlText w:val="%1.%2."/>
      <w:lvlJc w:val="right"/>
      <w:pPr>
        <w:ind w:left="900" w:hanging="5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8" w15:restartNumberingAfterBreak="0">
    <w:nsid w:val="7EAA0359"/>
    <w:multiLevelType w:val="multilevel"/>
    <w:tmpl w:val="58FC46BC"/>
    <w:lvl w:ilvl="0">
      <w:start w:val="1"/>
      <w:numFmt w:val="decimal"/>
      <w:lvlText w:val="%1."/>
      <w:lvlJc w:val="right"/>
      <w:pPr>
        <w:ind w:left="720" w:hanging="360"/>
      </w:pPr>
      <w:rPr>
        <w:b/>
        <w:vertAlign w:val="baseline"/>
      </w:rPr>
    </w:lvl>
    <w:lvl w:ilvl="1">
      <w:start w:val="1"/>
      <w:numFmt w:val="decimal"/>
      <w:lvlText w:val="%1.%2."/>
      <w:lvlJc w:val="right"/>
      <w:pPr>
        <w:ind w:left="810" w:hanging="2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num w:numId="1" w16cid:durableId="760486585">
    <w:abstractNumId w:val="3"/>
  </w:num>
  <w:num w:numId="2" w16cid:durableId="1778721114">
    <w:abstractNumId w:val="7"/>
  </w:num>
  <w:num w:numId="3" w16cid:durableId="405809757">
    <w:abstractNumId w:val="0"/>
  </w:num>
  <w:num w:numId="4" w16cid:durableId="268970696">
    <w:abstractNumId w:val="5"/>
  </w:num>
  <w:num w:numId="5" w16cid:durableId="147719177">
    <w:abstractNumId w:val="1"/>
  </w:num>
  <w:num w:numId="6" w16cid:durableId="1333875790">
    <w:abstractNumId w:val="6"/>
  </w:num>
  <w:num w:numId="7" w16cid:durableId="820073506">
    <w:abstractNumId w:val="4"/>
  </w:num>
  <w:num w:numId="8" w16cid:durableId="2003197875">
    <w:abstractNumId w:val="8"/>
  </w:num>
  <w:num w:numId="9" w16cid:durableId="1445687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932"/>
    <w:rsid w:val="00053D60"/>
    <w:rsid w:val="0037548C"/>
    <w:rsid w:val="004B734F"/>
    <w:rsid w:val="00552932"/>
    <w:rsid w:val="006A1165"/>
    <w:rsid w:val="00C05C7E"/>
    <w:rsid w:val="00F5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5AA1"/>
  <w15:docId w15:val="{365ADE72-4839-431E-83B2-FA7CD2F3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
    <w:name w:val="Colourful List – Accent 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t-hw@vinte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GMgMwLCflsa4rKu4wnGlJx48dA==">CgMxLjAyCGguZ2pkZ3hzOAByITFyNFRLSWJWeWJiM3VOVkd2TkswYVlpSC1nVjVUdzRJRg==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3</cp:revision>
  <dcterms:created xsi:type="dcterms:W3CDTF">2022-02-10T15:17:00Z</dcterms:created>
  <dcterms:modified xsi:type="dcterms:W3CDTF">2024-10-30T13:48:00Z</dcterms:modified>
</cp:coreProperties>
</file>