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3D3C0" w14:textId="77777777" w:rsidR="00C51637" w:rsidRPr="00B345B1" w:rsidRDefault="00C51637" w:rsidP="00C51637">
      <w:pPr>
        <w:widowControl w:val="0"/>
        <w:pBdr>
          <w:top w:val="nil"/>
          <w:left w:val="nil"/>
          <w:bottom w:val="nil"/>
          <w:right w:val="nil"/>
          <w:between w:val="nil"/>
        </w:pBdr>
        <w:spacing w:line="276" w:lineRule="auto"/>
        <w:ind w:left="0" w:hanging="2"/>
        <w:jc w:val="right"/>
        <w:rPr>
          <w:rFonts w:ascii="Arial" w:eastAsia="Arial" w:hAnsi="Arial" w:cs="Arial"/>
          <w:sz w:val="20"/>
          <w:szCs w:val="20"/>
        </w:rPr>
      </w:pPr>
      <w:r>
        <w:rPr>
          <w:rFonts w:ascii="Arial" w:eastAsia="Arial" w:hAnsi="Arial" w:cs="Arial"/>
          <w:sz w:val="20"/>
          <w:szCs w:val="20"/>
        </w:rPr>
        <w:t>{</w:t>
      </w:r>
      <w:proofErr w:type="spellStart"/>
      <w:r w:rsidRPr="00B345B1">
        <w:rPr>
          <w:rFonts w:ascii="Arial" w:eastAsia="Arial" w:hAnsi="Arial" w:cs="Arial"/>
          <w:sz w:val="20"/>
          <w:szCs w:val="20"/>
        </w:rPr>
        <w:t>TodaysDate</w:t>
      </w:r>
      <w:proofErr w:type="spellEnd"/>
      <w:r>
        <w:rPr>
          <w:rFonts w:ascii="Arial" w:eastAsia="Arial" w:hAnsi="Arial" w:cs="Arial"/>
          <w:sz w:val="20"/>
          <w:szCs w:val="20"/>
        </w:rPr>
        <w:t>}</w:t>
      </w:r>
    </w:p>
    <w:p w14:paraId="6C1E4089" w14:textId="16659AE4" w:rsidR="007B3C24" w:rsidRPr="00C51637" w:rsidRDefault="007B3C24">
      <w:pPr>
        <w:spacing w:before="120"/>
        <w:ind w:left="0" w:hanging="2"/>
        <w:jc w:val="right"/>
        <w:rPr>
          <w:rFonts w:ascii="Arial" w:eastAsia="Arial" w:hAnsi="Arial" w:cs="Arial"/>
          <w:color w:val="000000"/>
          <w:sz w:val="20"/>
          <w:szCs w:val="20"/>
        </w:rPr>
      </w:pPr>
    </w:p>
    <w:tbl>
      <w:tblPr>
        <w:tblStyle w:val="a8"/>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7B3C24" w14:paraId="62FFEBEB" w14:textId="77777777">
        <w:trPr>
          <w:trHeight w:val="720"/>
        </w:trPr>
        <w:tc>
          <w:tcPr>
            <w:tcW w:w="10020" w:type="dxa"/>
            <w:tcBorders>
              <w:top w:val="nil"/>
              <w:left w:val="nil"/>
              <w:bottom w:val="nil"/>
              <w:right w:val="nil"/>
            </w:tcBorders>
          </w:tcPr>
          <w:p w14:paraId="5F9EA74D" w14:textId="77777777" w:rsidR="007B3C24"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64852597" w14:textId="77777777" w:rsidR="007B3C24"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7B3C24" w14:paraId="2068434E" w14:textId="77777777">
        <w:tc>
          <w:tcPr>
            <w:tcW w:w="10020" w:type="dxa"/>
            <w:tcBorders>
              <w:top w:val="nil"/>
              <w:left w:val="nil"/>
              <w:bottom w:val="nil"/>
              <w:right w:val="nil"/>
            </w:tcBorders>
          </w:tcPr>
          <w:p w14:paraId="0F0A7CF4"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w:t>
            </w:r>
            <w:r>
              <w:rPr>
                <w:rFonts w:ascii="Arial" w:eastAsia="Arial" w:hAnsi="Arial" w:cs="Arial"/>
                <w:b/>
                <w:sz w:val="20"/>
                <w:szCs w:val="20"/>
              </w:rPr>
              <w:t>B.V.</w:t>
            </w:r>
            <w:r>
              <w:rPr>
                <w:rFonts w:ascii="Arial" w:eastAsia="Arial" w:hAnsi="Arial" w:cs="Arial"/>
                <w:color w:val="000000"/>
                <w:sz w:val="20"/>
                <w:szCs w:val="20"/>
              </w:rPr>
              <w:t>,</w:t>
            </w:r>
            <w:r>
              <w:rPr>
                <w:rFonts w:ascii="Arial" w:eastAsia="Arial" w:hAnsi="Arial" w:cs="Arial"/>
                <w:sz w:val="20"/>
                <w:szCs w:val="20"/>
              </w:rPr>
              <w:t xml:space="preserve"> legal entity code 64193632, registered office address </w:t>
            </w:r>
            <w:proofErr w:type="spellStart"/>
            <w:r>
              <w:rPr>
                <w:rFonts w:ascii="Arial" w:eastAsia="Arial" w:hAnsi="Arial" w:cs="Arial"/>
                <w:sz w:val="20"/>
                <w:szCs w:val="20"/>
              </w:rPr>
              <w:t>at</w:t>
            </w:r>
            <w:r>
              <w:rPr>
                <w:rFonts w:ascii="Arial" w:eastAsia="Arial" w:hAnsi="Arial" w:cs="Arial"/>
                <w:sz w:val="18"/>
                <w:szCs w:val="18"/>
              </w:rPr>
              <w:t>Herengracht</w:t>
            </w:r>
            <w:proofErr w:type="spellEnd"/>
            <w:r>
              <w:rPr>
                <w:rFonts w:ascii="Arial" w:eastAsia="Arial" w:hAnsi="Arial" w:cs="Arial"/>
                <w:sz w:val="18"/>
                <w:szCs w:val="18"/>
              </w:rPr>
              <w:t xml:space="preserve"> 54 1015 BN, Amsterdam, Noord-Holland Netherlands</w:t>
            </w:r>
            <w:r>
              <w:rPr>
                <w:rFonts w:ascii="Arial" w:eastAsia="Arial" w:hAnsi="Arial" w:cs="Arial"/>
                <w:sz w:val="20"/>
                <w:szCs w:val="20"/>
              </w:rPr>
              <w:t>, em</w:t>
            </w:r>
            <w:r>
              <w:rPr>
                <w:rFonts w:ascii="Arial" w:eastAsia="Arial" w:hAnsi="Arial" w:cs="Arial"/>
                <w:color w:val="000000"/>
                <w:sz w:val="20"/>
                <w:szCs w:val="20"/>
              </w:rPr>
              <w:t xml:space="preserve">ail </w:t>
            </w:r>
            <w:hyperlink r:id="rId8">
              <w:r w:rsidR="007B3C24">
                <w:rPr>
                  <w:rFonts w:ascii="Arial" w:eastAsia="Arial" w:hAnsi="Arial" w:cs="Arial"/>
                  <w:color w:val="1155CC"/>
                  <w:sz w:val="20"/>
                  <w:szCs w:val="20"/>
                  <w:highlight w:val="white"/>
                  <w:u w:val="single"/>
                </w:rPr>
                <w:t>it-hw@vinted.com</w:t>
              </w:r>
            </w:hyperlink>
            <w:r>
              <w:rPr>
                <w:rFonts w:ascii="Arial" w:eastAsia="Arial" w:hAnsi="Arial" w:cs="Arial"/>
                <w:sz w:val="20"/>
                <w:szCs w:val="20"/>
              </w:rPr>
              <w:t xml:space="preserve">, </w:t>
            </w:r>
            <w:r>
              <w:rPr>
                <w:rFonts w:ascii="Arial" w:eastAsia="Arial" w:hAnsi="Arial" w:cs="Arial"/>
                <w:color w:val="000000"/>
                <w:sz w:val="20"/>
                <w:szCs w:val="20"/>
              </w:rPr>
              <w:t xml:space="preserve">represented by proxy, acting in accordance with the power of attorney, </w:t>
            </w:r>
          </w:p>
        </w:tc>
      </w:tr>
      <w:tr w:rsidR="007B3C24" w14:paraId="7E3ADF1F" w14:textId="77777777">
        <w:tc>
          <w:tcPr>
            <w:tcW w:w="10020" w:type="dxa"/>
            <w:tcBorders>
              <w:top w:val="nil"/>
              <w:left w:val="nil"/>
              <w:bottom w:val="nil"/>
              <w:right w:val="nil"/>
            </w:tcBorders>
          </w:tcPr>
          <w:p w14:paraId="5AEAD6AF"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7B3C24" w14:paraId="0309ED2C" w14:textId="77777777">
        <w:tc>
          <w:tcPr>
            <w:tcW w:w="10020" w:type="dxa"/>
            <w:tcBorders>
              <w:top w:val="nil"/>
              <w:left w:val="nil"/>
              <w:bottom w:val="nil"/>
              <w:right w:val="nil"/>
            </w:tcBorders>
          </w:tcPr>
          <w:p w14:paraId="338EA984"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7B3C24" w14:paraId="561B4AA8" w14:textId="77777777">
        <w:tc>
          <w:tcPr>
            <w:tcW w:w="10020" w:type="dxa"/>
            <w:tcBorders>
              <w:top w:val="nil"/>
              <w:left w:val="nil"/>
              <w:bottom w:val="nil"/>
              <w:right w:val="nil"/>
            </w:tcBorders>
          </w:tcPr>
          <w:p w14:paraId="2EDC57A6" w14:textId="1ABDF18F" w:rsidR="007B3C24" w:rsidRDefault="00C51637">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highlight w:val="yellow"/>
              </w:rPr>
              <w:t>{</w:t>
            </w:r>
            <w:proofErr w:type="spellStart"/>
            <w:r w:rsidRPr="009E5B74">
              <w:rPr>
                <w:rFonts w:ascii="Arial" w:eastAsia="Arial" w:hAnsi="Arial" w:cs="Arial"/>
                <w:b/>
                <w:sz w:val="20"/>
                <w:szCs w:val="20"/>
                <w:highlight w:val="yellow"/>
              </w:rPr>
              <w:t>ReporterDisplayName</w:t>
            </w:r>
            <w:proofErr w:type="spellEnd"/>
            <w:r>
              <w:rPr>
                <w:rFonts w:ascii="Arial" w:eastAsia="Arial" w:hAnsi="Arial" w:cs="Arial"/>
                <w:b/>
                <w:sz w:val="20"/>
                <w:szCs w:val="20"/>
                <w:highlight w:val="yellow"/>
              </w:rPr>
              <w:t>}</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Pr>
                <w:rFonts w:ascii="Arial" w:eastAsia="Arial" w:hAnsi="Arial" w:cs="Arial"/>
                <w:sz w:val="20"/>
                <w:szCs w:val="20"/>
              </w:rPr>
              <w:t>{</w:t>
            </w:r>
            <w:proofErr w:type="spellStart"/>
            <w:r w:rsidRPr="009E5B74">
              <w:rPr>
                <w:rFonts w:ascii="Arial" w:eastAsia="Arial" w:hAnsi="Arial" w:cs="Arial"/>
                <w:sz w:val="20"/>
                <w:szCs w:val="20"/>
              </w:rPr>
              <w:t>DateOfBirth</w:t>
            </w:r>
            <w:proofErr w:type="spellEnd"/>
            <w:r>
              <w:rPr>
                <w:rFonts w:ascii="Arial" w:eastAsia="Arial" w:hAnsi="Arial" w:cs="Arial"/>
                <w:sz w:val="20"/>
                <w:szCs w:val="20"/>
              </w:rPr>
              <w:t>}</w:t>
            </w:r>
            <w:r>
              <w:rPr>
                <w:rFonts w:ascii="Arial" w:eastAsia="Arial" w:hAnsi="Arial" w:cs="Arial"/>
                <w:color w:val="000000"/>
                <w:sz w:val="20"/>
                <w:szCs w:val="20"/>
              </w:rPr>
              <w:t>, address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Pr>
                <w:rFonts w:ascii="Arial" w:eastAsia="Arial" w:hAnsi="Arial" w:cs="Arial"/>
                <w:color w:val="000000"/>
                <w:sz w:val="20"/>
                <w:szCs w:val="20"/>
              </w:rPr>
              <w:t>{</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r>
      <w:tr w:rsidR="007B3C24" w14:paraId="13B24788" w14:textId="77777777">
        <w:tc>
          <w:tcPr>
            <w:tcW w:w="10020" w:type="dxa"/>
            <w:tcBorders>
              <w:top w:val="nil"/>
              <w:left w:val="nil"/>
              <w:bottom w:val="nil"/>
              <w:right w:val="nil"/>
            </w:tcBorders>
          </w:tcPr>
          <w:p w14:paraId="700BE738"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7B3C24" w14:paraId="6F951B7E" w14:textId="77777777">
        <w:tc>
          <w:tcPr>
            <w:tcW w:w="10020" w:type="dxa"/>
            <w:tcBorders>
              <w:top w:val="nil"/>
              <w:left w:val="nil"/>
              <w:bottom w:val="nil"/>
              <w:right w:val="nil"/>
            </w:tcBorders>
          </w:tcPr>
          <w:p w14:paraId="396EED5F"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7B3C24" w14:paraId="052E8F97" w14:textId="77777777">
        <w:tc>
          <w:tcPr>
            <w:tcW w:w="10020" w:type="dxa"/>
            <w:tcBorders>
              <w:top w:val="nil"/>
              <w:left w:val="nil"/>
              <w:bottom w:val="nil"/>
              <w:right w:val="nil"/>
            </w:tcBorders>
          </w:tcPr>
          <w:p w14:paraId="464CA3A3" w14:textId="77777777" w:rsidR="007B3C24"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7B3C24" w14:paraId="5934A648" w14:textId="77777777">
        <w:tc>
          <w:tcPr>
            <w:tcW w:w="10020" w:type="dxa"/>
            <w:tcBorders>
              <w:top w:val="nil"/>
              <w:left w:val="nil"/>
              <w:bottom w:val="nil"/>
              <w:right w:val="nil"/>
            </w:tcBorders>
          </w:tcPr>
          <w:p w14:paraId="6647527E" w14:textId="25F0BD79" w:rsidR="007B3C24"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w:t>
            </w:r>
            <w:proofErr w:type="spellStart"/>
            <w:r>
              <w:rPr>
                <w:rFonts w:ascii="Arial" w:eastAsia="Arial" w:hAnsi="Arial" w:cs="Arial"/>
                <w:sz w:val="20"/>
                <w:szCs w:val="20"/>
              </w:rPr>
              <w:t>i</w:t>
            </w:r>
            <w:proofErr w:type="spellEnd"/>
            <w:r>
              <w:rPr>
                <w:rFonts w:ascii="Arial" w:eastAsia="Arial" w:hAnsi="Arial" w:cs="Arial"/>
                <w:sz w:val="20"/>
                <w:szCs w:val="20"/>
              </w:rPr>
              <w:t xml:space="preserve">. e. </w:t>
            </w:r>
            <w:r w:rsidR="00C51637">
              <w:rPr>
                <w:rFonts w:ascii="Arial" w:eastAsia="Arial" w:hAnsi="Arial" w:cs="Arial"/>
                <w:sz w:val="20"/>
                <w:szCs w:val="20"/>
              </w:rPr>
              <w:t>{</w:t>
            </w:r>
            <w:r w:rsidR="00C51637" w:rsidRPr="00B345B1">
              <w:rPr>
                <w:rFonts w:ascii="Arial" w:eastAsia="Arial" w:hAnsi="Arial" w:cs="Arial"/>
                <w:sz w:val="20"/>
                <w:szCs w:val="20"/>
              </w:rPr>
              <w:t>Device</w:t>
            </w:r>
            <w:r w:rsidR="00C51637">
              <w:rPr>
                <w:rFonts w:ascii="Arial" w:eastAsia="Arial" w:hAnsi="Arial" w:cs="Arial"/>
                <w:sz w:val="20"/>
                <w:szCs w:val="20"/>
              </w:rPr>
              <w:t>}</w:t>
            </w:r>
            <w:r>
              <w:rPr>
                <w:rFonts w:ascii="Arial" w:eastAsia="Arial" w:hAnsi="Arial" w:cs="Arial"/>
                <w:sz w:val="20"/>
                <w:szCs w:val="20"/>
              </w:rPr>
              <w:t xml:space="preserve">, 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7B3C24" w14:paraId="37C5B679" w14:textId="77777777">
        <w:tc>
          <w:tcPr>
            <w:tcW w:w="10020" w:type="dxa"/>
            <w:tcBorders>
              <w:top w:val="nil"/>
              <w:left w:val="nil"/>
              <w:bottom w:val="nil"/>
              <w:right w:val="nil"/>
            </w:tcBorders>
          </w:tcPr>
          <w:p w14:paraId="53DBF152" w14:textId="3DB5DCF8" w:rsidR="007B3C24"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shd w:val="clear" w:color="auto" w:fill="999999"/>
              </w:rPr>
              <w:t xml:space="preserve">The employment relationship between the Parties is terminated on </w:t>
            </w:r>
            <w:r w:rsidR="00C51637">
              <w:rPr>
                <w:rFonts w:ascii="Arial" w:eastAsia="Arial" w:hAnsi="Arial" w:cs="Arial"/>
                <w:sz w:val="20"/>
                <w:szCs w:val="20"/>
                <w:shd w:val="clear" w:color="auto" w:fill="999999"/>
              </w:rPr>
              <w:t>{</w:t>
            </w:r>
            <w:proofErr w:type="spellStart"/>
            <w:r w:rsidR="00C51637" w:rsidRPr="00B345B1">
              <w:rPr>
                <w:rFonts w:ascii="Arial" w:eastAsia="Arial" w:hAnsi="Arial" w:cs="Arial"/>
                <w:sz w:val="20"/>
                <w:szCs w:val="20"/>
                <w:shd w:val="clear" w:color="auto" w:fill="999999"/>
              </w:rPr>
              <w:t>LastDay</w:t>
            </w:r>
            <w:proofErr w:type="spellEnd"/>
            <w:r w:rsidR="00C51637">
              <w:rPr>
                <w:rFonts w:ascii="Arial" w:eastAsia="Arial" w:hAnsi="Arial" w:cs="Arial"/>
                <w:sz w:val="20"/>
                <w:szCs w:val="20"/>
                <w:shd w:val="clear" w:color="auto" w:fill="999999"/>
              </w:rPr>
              <w:t>}</w:t>
            </w:r>
            <w:r>
              <w:rPr>
                <w:rFonts w:ascii="Arial" w:eastAsia="Arial" w:hAnsi="Arial" w:cs="Arial"/>
                <w:sz w:val="20"/>
                <w:szCs w:val="20"/>
                <w:shd w:val="clear" w:color="auto" w:fill="999999"/>
              </w:rPr>
              <w:t xml:space="preserve">, and </w:t>
            </w:r>
            <w:r>
              <w:rPr>
                <w:rFonts w:ascii="Arial" w:eastAsia="Arial" w:hAnsi="Arial" w:cs="Arial"/>
                <w:sz w:val="20"/>
                <w:szCs w:val="20"/>
              </w:rPr>
              <w:t>The Buyer has expressed a wish to purchase this used Goods for personal use,</w:t>
            </w:r>
          </w:p>
        </w:tc>
      </w:tr>
      <w:tr w:rsidR="007B3C24" w14:paraId="1A065BC2" w14:textId="77777777">
        <w:tc>
          <w:tcPr>
            <w:tcW w:w="10020" w:type="dxa"/>
            <w:tcBorders>
              <w:top w:val="nil"/>
              <w:left w:val="nil"/>
              <w:bottom w:val="nil"/>
              <w:right w:val="nil"/>
            </w:tcBorders>
          </w:tcPr>
          <w:p w14:paraId="36F61813"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7B3C24" w14:paraId="346BE7EC" w14:textId="77777777">
        <w:tc>
          <w:tcPr>
            <w:tcW w:w="10020" w:type="dxa"/>
            <w:tcBorders>
              <w:top w:val="nil"/>
              <w:left w:val="nil"/>
              <w:bottom w:val="nil"/>
              <w:right w:val="nil"/>
            </w:tcBorders>
          </w:tcPr>
          <w:p w14:paraId="00FAE691"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7B3C24" w14:paraId="4D9BAF84" w14:textId="77777777">
        <w:tc>
          <w:tcPr>
            <w:tcW w:w="10020" w:type="dxa"/>
            <w:tcBorders>
              <w:top w:val="nil"/>
              <w:left w:val="nil"/>
              <w:bottom w:val="nil"/>
              <w:right w:val="nil"/>
            </w:tcBorders>
          </w:tcPr>
          <w:p w14:paraId="2AAD18C3" w14:textId="77777777" w:rsidR="007B3C24"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7B3C24" w14:paraId="40E63417" w14:textId="77777777">
        <w:tc>
          <w:tcPr>
            <w:tcW w:w="10020" w:type="dxa"/>
            <w:tcBorders>
              <w:top w:val="nil"/>
              <w:left w:val="nil"/>
              <w:bottom w:val="nil"/>
              <w:right w:val="nil"/>
            </w:tcBorders>
          </w:tcPr>
          <w:p w14:paraId="68A945C3" w14:textId="77777777" w:rsidR="007B3C24"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purchase and sale documents of the original Goods related to the warranty shall also be handed over to the Buyer.</w:t>
            </w:r>
          </w:p>
        </w:tc>
      </w:tr>
      <w:tr w:rsidR="007B3C24" w14:paraId="0DEC9C8D" w14:textId="77777777">
        <w:tc>
          <w:tcPr>
            <w:tcW w:w="10020" w:type="dxa"/>
            <w:tcBorders>
              <w:top w:val="nil"/>
              <w:left w:val="nil"/>
              <w:bottom w:val="nil"/>
              <w:right w:val="nil"/>
            </w:tcBorders>
          </w:tcPr>
          <w:p w14:paraId="5A691F8F"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7B3C24" w14:paraId="7CEAAF8F" w14:textId="77777777">
        <w:tc>
          <w:tcPr>
            <w:tcW w:w="10020" w:type="dxa"/>
            <w:tcBorders>
              <w:top w:val="nil"/>
              <w:left w:val="nil"/>
              <w:bottom w:val="nil"/>
              <w:right w:val="nil"/>
            </w:tcBorders>
          </w:tcPr>
          <w:p w14:paraId="493E7A67"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gramStart"/>
            <w:r>
              <w:rPr>
                <w:rFonts w:ascii="Arial" w:eastAsia="Arial" w:hAnsi="Arial" w:cs="Arial"/>
                <w:color w:val="000000"/>
                <w:sz w:val="20"/>
                <w:szCs w:val="20"/>
              </w:rPr>
              <w:t>Due to the fact that</w:t>
            </w:r>
            <w:proofErr w:type="gramEnd"/>
            <w:r>
              <w:rPr>
                <w:rFonts w:ascii="Arial" w:eastAsia="Arial" w:hAnsi="Arial" w:cs="Arial"/>
                <w:color w:val="000000"/>
                <w:sz w:val="20"/>
                <w:szCs w:val="20"/>
              </w:rPr>
              <w:t xml:space="preserve">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7B3C24" w14:paraId="7B704623" w14:textId="77777777">
        <w:tc>
          <w:tcPr>
            <w:tcW w:w="10020" w:type="dxa"/>
            <w:tcBorders>
              <w:top w:val="nil"/>
              <w:left w:val="nil"/>
              <w:bottom w:val="nil"/>
              <w:right w:val="nil"/>
            </w:tcBorders>
          </w:tcPr>
          <w:p w14:paraId="525E019A"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7B3C24" w14:paraId="2C1F0478" w14:textId="77777777">
        <w:trPr>
          <w:trHeight w:val="415"/>
        </w:trPr>
        <w:tc>
          <w:tcPr>
            <w:tcW w:w="10020" w:type="dxa"/>
            <w:tcBorders>
              <w:top w:val="nil"/>
              <w:left w:val="nil"/>
              <w:bottom w:val="nil"/>
              <w:right w:val="nil"/>
            </w:tcBorders>
          </w:tcPr>
          <w:p w14:paraId="1D3F9AB6"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The Buyer confirms that he / she has thoroughly inspected the Goods before signing this Agreement, is aware of their defects and has no and will not have any claims regarding them against the Seller.</w:t>
            </w:r>
          </w:p>
        </w:tc>
      </w:tr>
      <w:tr w:rsidR="007B3C24" w14:paraId="0FC412EC" w14:textId="77777777">
        <w:tc>
          <w:tcPr>
            <w:tcW w:w="10020" w:type="dxa"/>
            <w:tcBorders>
              <w:top w:val="nil"/>
              <w:left w:val="nil"/>
              <w:bottom w:val="nil"/>
              <w:right w:val="nil"/>
            </w:tcBorders>
          </w:tcPr>
          <w:p w14:paraId="3CFB4CF4"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7B3C24" w14:paraId="2DF41C4D" w14:textId="77777777">
        <w:tc>
          <w:tcPr>
            <w:tcW w:w="10020" w:type="dxa"/>
            <w:tcBorders>
              <w:top w:val="nil"/>
              <w:left w:val="nil"/>
              <w:bottom w:val="nil"/>
              <w:right w:val="nil"/>
            </w:tcBorders>
          </w:tcPr>
          <w:p w14:paraId="701698E2"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7B3C24" w14:paraId="3F279D3D" w14:textId="77777777">
        <w:trPr>
          <w:trHeight w:val="759"/>
        </w:trPr>
        <w:tc>
          <w:tcPr>
            <w:tcW w:w="10020" w:type="dxa"/>
            <w:tcBorders>
              <w:top w:val="nil"/>
              <w:left w:val="nil"/>
              <w:bottom w:val="nil"/>
              <w:right w:val="nil"/>
            </w:tcBorders>
          </w:tcPr>
          <w:p w14:paraId="08EE75BE"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7B3C24" w14:paraId="2FE3841A" w14:textId="77777777">
        <w:tc>
          <w:tcPr>
            <w:tcW w:w="10020" w:type="dxa"/>
            <w:tcBorders>
              <w:top w:val="nil"/>
              <w:left w:val="nil"/>
              <w:bottom w:val="nil"/>
              <w:right w:val="nil"/>
            </w:tcBorders>
          </w:tcPr>
          <w:p w14:paraId="6DC8153C"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undertakes to pay the price of the goods, set out in the Agreement Annex No. 1, within 14 calendar days.</w:t>
            </w:r>
          </w:p>
        </w:tc>
      </w:tr>
      <w:tr w:rsidR="007B3C24" w14:paraId="7830E51F" w14:textId="77777777">
        <w:tc>
          <w:tcPr>
            <w:tcW w:w="10020" w:type="dxa"/>
            <w:tcBorders>
              <w:top w:val="nil"/>
              <w:left w:val="nil"/>
              <w:bottom w:val="nil"/>
              <w:right w:val="nil"/>
            </w:tcBorders>
          </w:tcPr>
          <w:p w14:paraId="464FA31A"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7B3C24" w14:paraId="6294184D" w14:textId="77777777">
        <w:tc>
          <w:tcPr>
            <w:tcW w:w="10020" w:type="dxa"/>
            <w:tcBorders>
              <w:top w:val="nil"/>
              <w:left w:val="nil"/>
              <w:bottom w:val="nil"/>
              <w:right w:val="nil"/>
            </w:tcBorders>
          </w:tcPr>
          <w:p w14:paraId="06D2DDD0"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7B3C24" w14:paraId="396A81B0" w14:textId="77777777">
        <w:tc>
          <w:tcPr>
            <w:tcW w:w="10020" w:type="dxa"/>
            <w:tcBorders>
              <w:top w:val="nil"/>
              <w:left w:val="nil"/>
              <w:bottom w:val="nil"/>
              <w:right w:val="nil"/>
            </w:tcBorders>
          </w:tcPr>
          <w:p w14:paraId="66753476"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shall enter into force </w:t>
            </w:r>
            <w:r>
              <w:rPr>
                <w:rFonts w:ascii="Arial" w:eastAsia="Arial" w:hAnsi="Arial" w:cs="Arial"/>
                <w:sz w:val="20"/>
                <w:szCs w:val="20"/>
              </w:rPr>
              <w:t>from</w:t>
            </w:r>
            <w:r>
              <w:rPr>
                <w:rFonts w:ascii="Arial" w:eastAsia="Arial" w:hAnsi="Arial" w:cs="Arial"/>
                <w:color w:val="000000"/>
                <w:sz w:val="20"/>
                <w:szCs w:val="20"/>
              </w:rPr>
              <w:t xml:space="preserve"> the moment it is signed by both Parties.</w:t>
            </w:r>
          </w:p>
        </w:tc>
      </w:tr>
      <w:tr w:rsidR="007B3C24" w14:paraId="3DB45960" w14:textId="77777777">
        <w:tc>
          <w:tcPr>
            <w:tcW w:w="10020" w:type="dxa"/>
            <w:tcBorders>
              <w:top w:val="nil"/>
              <w:left w:val="nil"/>
              <w:bottom w:val="nil"/>
              <w:right w:val="nil"/>
            </w:tcBorders>
          </w:tcPr>
          <w:p w14:paraId="45FE0937"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7B3C24" w14:paraId="7AFF70C8" w14:textId="77777777">
        <w:tc>
          <w:tcPr>
            <w:tcW w:w="10020" w:type="dxa"/>
            <w:tcBorders>
              <w:top w:val="nil"/>
              <w:left w:val="nil"/>
              <w:bottom w:val="nil"/>
              <w:right w:val="nil"/>
            </w:tcBorders>
          </w:tcPr>
          <w:p w14:paraId="4AD57BE9"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This Agreement has been concluded and shall be governed and construed under the laws </w:t>
            </w:r>
            <w:r>
              <w:rPr>
                <w:rFonts w:ascii="Arial" w:eastAsia="Arial" w:hAnsi="Arial" w:cs="Arial"/>
                <w:sz w:val="20"/>
                <w:szCs w:val="20"/>
              </w:rPr>
              <w:t>of the</w:t>
            </w:r>
            <w:r>
              <w:rPr>
                <w:rFonts w:ascii="Arial" w:eastAsia="Arial" w:hAnsi="Arial" w:cs="Arial"/>
                <w:b/>
                <w:sz w:val="18"/>
                <w:szCs w:val="18"/>
              </w:rPr>
              <w:t xml:space="preserve"> </w:t>
            </w:r>
            <w:r>
              <w:rPr>
                <w:rFonts w:ascii="Arial" w:eastAsia="Arial" w:hAnsi="Arial" w:cs="Arial"/>
                <w:sz w:val="20"/>
                <w:szCs w:val="20"/>
              </w:rPr>
              <w:t>Kingdom of the Netherlands.</w:t>
            </w:r>
            <w:r>
              <w:rPr>
                <w:rFonts w:ascii="Arial" w:eastAsia="Arial" w:hAnsi="Arial" w:cs="Arial"/>
                <w:color w:val="000000"/>
                <w:sz w:val="20"/>
                <w:szCs w:val="20"/>
              </w:rPr>
              <w:t xml:space="preserve"> Any disputes arising in connection to the present Agreement shall be settled by mutual consultations and negotiations and </w:t>
            </w:r>
            <w:proofErr w:type="gramStart"/>
            <w:r>
              <w:rPr>
                <w:rFonts w:ascii="Arial" w:eastAsia="Arial" w:hAnsi="Arial" w:cs="Arial"/>
                <w:color w:val="000000"/>
                <w:sz w:val="20"/>
                <w:szCs w:val="20"/>
              </w:rPr>
              <w:t>on the basis of</w:t>
            </w:r>
            <w:proofErr w:type="gramEnd"/>
            <w:r>
              <w:rPr>
                <w:rFonts w:ascii="Arial" w:eastAsia="Arial" w:hAnsi="Arial" w:cs="Arial"/>
                <w:color w:val="000000"/>
                <w:sz w:val="20"/>
                <w:szCs w:val="20"/>
              </w:rPr>
              <w:t xml:space="preserve"> good will. In case of failure to reach any agreement by negotiations, such disputes shall be solved applying the procedure defined by the l</w:t>
            </w:r>
            <w:r>
              <w:rPr>
                <w:rFonts w:ascii="Arial" w:eastAsia="Arial" w:hAnsi="Arial" w:cs="Arial"/>
                <w:sz w:val="20"/>
                <w:szCs w:val="20"/>
              </w:rPr>
              <w:t>aws of the Kingdom of the Netherlands.</w:t>
            </w:r>
          </w:p>
        </w:tc>
      </w:tr>
      <w:tr w:rsidR="007B3C24" w14:paraId="1445E152" w14:textId="77777777">
        <w:tc>
          <w:tcPr>
            <w:tcW w:w="10020" w:type="dxa"/>
            <w:tcBorders>
              <w:top w:val="nil"/>
              <w:left w:val="nil"/>
              <w:bottom w:val="nil"/>
              <w:right w:val="nil"/>
            </w:tcBorders>
          </w:tcPr>
          <w:p w14:paraId="3496B260"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7B3C24" w14:paraId="0DC7056F" w14:textId="77777777">
        <w:tc>
          <w:tcPr>
            <w:tcW w:w="10020" w:type="dxa"/>
            <w:tcBorders>
              <w:top w:val="nil"/>
              <w:left w:val="nil"/>
              <w:bottom w:val="nil"/>
              <w:right w:val="nil"/>
            </w:tcBorders>
          </w:tcPr>
          <w:p w14:paraId="57E1D576"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7B3C24" w14:paraId="4A5CB888" w14:textId="77777777">
        <w:tc>
          <w:tcPr>
            <w:tcW w:w="10020" w:type="dxa"/>
            <w:tcBorders>
              <w:top w:val="nil"/>
              <w:left w:val="nil"/>
              <w:bottom w:val="nil"/>
              <w:right w:val="nil"/>
            </w:tcBorders>
          </w:tcPr>
          <w:p w14:paraId="27282694"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w:t>
            </w:r>
            <w:r>
              <w:rPr>
                <w:rFonts w:ascii="Arial" w:eastAsia="Arial" w:hAnsi="Arial" w:cs="Arial"/>
                <w:sz w:val="20"/>
                <w:szCs w:val="20"/>
              </w:rPr>
              <w:t xml:space="preserve"> the Kingdom of the Netherlands.</w:t>
            </w:r>
          </w:p>
        </w:tc>
      </w:tr>
      <w:tr w:rsidR="007B3C24" w14:paraId="05583500" w14:textId="77777777">
        <w:tc>
          <w:tcPr>
            <w:tcW w:w="10020" w:type="dxa"/>
            <w:tcBorders>
              <w:top w:val="nil"/>
              <w:left w:val="nil"/>
              <w:bottom w:val="nil"/>
              <w:right w:val="nil"/>
            </w:tcBorders>
          </w:tcPr>
          <w:p w14:paraId="62201F28"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7B3C24" w14:paraId="2D29A412" w14:textId="77777777">
        <w:tc>
          <w:tcPr>
            <w:tcW w:w="10020" w:type="dxa"/>
            <w:tcBorders>
              <w:top w:val="nil"/>
              <w:left w:val="nil"/>
              <w:bottom w:val="nil"/>
              <w:right w:val="nil"/>
            </w:tcBorders>
          </w:tcPr>
          <w:p w14:paraId="23F5F0F5"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7B3C24" w14:paraId="4E859874" w14:textId="77777777">
        <w:tc>
          <w:tcPr>
            <w:tcW w:w="10020" w:type="dxa"/>
            <w:tcBorders>
              <w:top w:val="nil"/>
              <w:left w:val="nil"/>
              <w:bottom w:val="nil"/>
              <w:right w:val="nil"/>
            </w:tcBorders>
          </w:tcPr>
          <w:p w14:paraId="318821CE"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w:t>
            </w:r>
          </w:p>
        </w:tc>
      </w:tr>
      <w:tr w:rsidR="007B3C24" w14:paraId="21BE9959" w14:textId="77777777">
        <w:tc>
          <w:tcPr>
            <w:tcW w:w="10020" w:type="dxa"/>
            <w:tcBorders>
              <w:top w:val="nil"/>
              <w:left w:val="nil"/>
              <w:bottom w:val="nil"/>
              <w:right w:val="nil"/>
            </w:tcBorders>
          </w:tcPr>
          <w:p w14:paraId="763671F4"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280DC0FA" w14:textId="77777777" w:rsidR="007B3C24" w:rsidRDefault="007B3C24">
      <w:pPr>
        <w:pStyle w:val="Heading1"/>
        <w:spacing w:before="120" w:after="0"/>
        <w:ind w:left="0" w:hanging="2"/>
        <w:jc w:val="both"/>
        <w:rPr>
          <w:sz w:val="20"/>
          <w:szCs w:val="20"/>
        </w:rPr>
      </w:pPr>
    </w:p>
    <w:tbl>
      <w:tblPr>
        <w:tblStyle w:val="a9"/>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7B3C24" w14:paraId="4BA2AE8B" w14:textId="77777777">
        <w:trPr>
          <w:trHeight w:val="604"/>
        </w:trPr>
        <w:tc>
          <w:tcPr>
            <w:tcW w:w="9854" w:type="dxa"/>
            <w:gridSpan w:val="2"/>
            <w:tcBorders>
              <w:top w:val="nil"/>
              <w:left w:val="nil"/>
              <w:bottom w:val="nil"/>
              <w:right w:val="nil"/>
            </w:tcBorders>
          </w:tcPr>
          <w:p w14:paraId="32B101E6" w14:textId="77777777" w:rsidR="007B3C24"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t>Prerequisites of the Parties</w:t>
            </w:r>
          </w:p>
        </w:tc>
      </w:tr>
      <w:tr w:rsidR="007B3C24" w14:paraId="68712BFA" w14:textId="77777777">
        <w:tc>
          <w:tcPr>
            <w:tcW w:w="4927" w:type="dxa"/>
            <w:tcBorders>
              <w:top w:val="nil"/>
              <w:left w:val="nil"/>
              <w:bottom w:val="nil"/>
              <w:right w:val="nil"/>
            </w:tcBorders>
          </w:tcPr>
          <w:p w14:paraId="3B0EEA1B" w14:textId="1DC7C2D2" w:rsidR="007B3C24" w:rsidRPr="00C51637" w:rsidRDefault="00000000">
            <w:pPr>
              <w:ind w:left="0" w:hanging="2"/>
              <w:jc w:val="both"/>
              <w:rPr>
                <w:sz w:val="20"/>
                <w:szCs w:val="20"/>
                <w:highlight w:val="yellow"/>
              </w:rPr>
            </w:pPr>
            <w:r>
              <w:rPr>
                <w:rFonts w:ascii="Arial" w:eastAsia="Arial" w:hAnsi="Arial" w:cs="Arial"/>
                <w:b/>
                <w:sz w:val="20"/>
                <w:szCs w:val="20"/>
              </w:rPr>
              <w:t>The Buyer:</w:t>
            </w:r>
            <w:r w:rsidR="00C51637">
              <w:rPr>
                <w:rFonts w:ascii="Arial" w:eastAsia="Arial" w:hAnsi="Arial" w:cs="Arial"/>
                <w:sz w:val="20"/>
                <w:szCs w:val="20"/>
              </w:rPr>
              <w:t xml:space="preserve"> </w:t>
            </w:r>
            <w:r w:rsidR="00C51637" w:rsidRPr="00C51637">
              <w:rPr>
                <w:rFonts w:ascii="Arial" w:eastAsia="Arial" w:hAnsi="Arial" w:cs="Arial"/>
                <w:b/>
                <w:sz w:val="20"/>
                <w:szCs w:val="20"/>
              </w:rPr>
              <w:t>{</w:t>
            </w:r>
            <w:proofErr w:type="spellStart"/>
            <w:r w:rsidR="00C51637" w:rsidRPr="00C51637">
              <w:rPr>
                <w:rFonts w:ascii="Arial" w:eastAsia="Arial" w:hAnsi="Arial" w:cs="Arial"/>
                <w:b/>
                <w:sz w:val="20"/>
                <w:szCs w:val="20"/>
              </w:rPr>
              <w:t>ReporterDisplayName</w:t>
            </w:r>
            <w:proofErr w:type="spellEnd"/>
            <w:r w:rsidR="00C51637" w:rsidRPr="00C51637">
              <w:rPr>
                <w:rFonts w:ascii="Arial" w:eastAsia="Arial" w:hAnsi="Arial" w:cs="Arial"/>
                <w:b/>
                <w:sz w:val="20"/>
                <w:szCs w:val="20"/>
              </w:rPr>
              <w:t>},</w:t>
            </w:r>
          </w:p>
        </w:tc>
        <w:tc>
          <w:tcPr>
            <w:tcW w:w="4927" w:type="dxa"/>
            <w:tcBorders>
              <w:top w:val="nil"/>
              <w:left w:val="nil"/>
              <w:bottom w:val="nil"/>
              <w:right w:val="nil"/>
            </w:tcBorders>
          </w:tcPr>
          <w:p w14:paraId="4637DEF5" w14:textId="77777777" w:rsidR="007B3C24" w:rsidRDefault="00000000">
            <w:pPr>
              <w:ind w:left="0" w:hanging="2"/>
              <w:jc w:val="both"/>
              <w:rPr>
                <w:rFonts w:ascii="Arial" w:eastAsia="Arial" w:hAnsi="Arial" w:cs="Arial"/>
                <w:sz w:val="20"/>
                <w:szCs w:val="20"/>
              </w:rPr>
            </w:pPr>
            <w:r>
              <w:rPr>
                <w:rFonts w:ascii="Arial" w:eastAsia="Arial" w:hAnsi="Arial" w:cs="Arial"/>
                <w:b/>
                <w:sz w:val="20"/>
                <w:szCs w:val="20"/>
              </w:rPr>
              <w:t xml:space="preserve">The Seller: </w:t>
            </w:r>
            <w:r>
              <w:rPr>
                <w:rFonts w:ascii="Arial" w:eastAsia="Arial" w:hAnsi="Arial" w:cs="Arial"/>
                <w:sz w:val="20"/>
                <w:szCs w:val="20"/>
              </w:rPr>
              <w:t>Vinted B.V.</w:t>
            </w:r>
          </w:p>
        </w:tc>
      </w:tr>
      <w:tr w:rsidR="007B3C24" w14:paraId="42E80CF1" w14:textId="77777777">
        <w:tc>
          <w:tcPr>
            <w:tcW w:w="4927" w:type="dxa"/>
            <w:tcBorders>
              <w:top w:val="nil"/>
              <w:left w:val="nil"/>
              <w:bottom w:val="nil"/>
              <w:right w:val="nil"/>
            </w:tcBorders>
          </w:tcPr>
          <w:p w14:paraId="58B100E4" w14:textId="77777777" w:rsidR="007B3C24"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Bank account: </w:t>
            </w:r>
          </w:p>
          <w:p w14:paraId="197C1A53" w14:textId="624337FE" w:rsidR="007B3C24" w:rsidRPr="00C51637" w:rsidRDefault="00C51637" w:rsidP="00C51637">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w:t>
            </w:r>
            <w:r w:rsidRPr="009E5B74">
              <w:rPr>
                <w:rFonts w:ascii="Arial" w:eastAsia="Arial" w:hAnsi="Arial" w:cs="Arial"/>
                <w:color w:val="000000"/>
                <w:sz w:val="20"/>
                <w:szCs w:val="20"/>
              </w:rPr>
              <w:t>IBAN</w:t>
            </w:r>
            <w:r>
              <w:rPr>
                <w:rFonts w:ascii="Arial" w:eastAsia="Arial" w:hAnsi="Arial" w:cs="Arial"/>
                <w:color w:val="000000"/>
                <w:sz w:val="20"/>
                <w:szCs w:val="20"/>
              </w:rPr>
              <w:t>}</w:t>
            </w:r>
          </w:p>
          <w:p w14:paraId="490AA06B" w14:textId="77777777" w:rsidR="007B3C24" w:rsidRDefault="007B3C24">
            <w:pPr>
              <w:ind w:left="0" w:hanging="2"/>
              <w:jc w:val="both"/>
              <w:rPr>
                <w:rFonts w:ascii="Arial" w:eastAsia="Arial" w:hAnsi="Arial" w:cs="Arial"/>
                <w:sz w:val="20"/>
                <w:szCs w:val="20"/>
              </w:rPr>
            </w:pPr>
          </w:p>
        </w:tc>
        <w:tc>
          <w:tcPr>
            <w:tcW w:w="4927" w:type="dxa"/>
            <w:tcBorders>
              <w:top w:val="nil"/>
              <w:left w:val="nil"/>
              <w:bottom w:val="nil"/>
              <w:right w:val="nil"/>
            </w:tcBorders>
          </w:tcPr>
          <w:p w14:paraId="37B9008A" w14:textId="77777777" w:rsidR="007B3C24"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Bank account: </w:t>
            </w:r>
          </w:p>
          <w:p w14:paraId="4F56758A" w14:textId="77777777" w:rsidR="007B3C24" w:rsidRDefault="00000000">
            <w:pPr>
              <w:ind w:left="0" w:hanging="2"/>
              <w:jc w:val="both"/>
              <w:rPr>
                <w:rFonts w:ascii="Arial" w:eastAsia="Arial" w:hAnsi="Arial" w:cs="Arial"/>
                <w:sz w:val="20"/>
                <w:szCs w:val="20"/>
              </w:rPr>
            </w:pPr>
            <w:r>
              <w:rPr>
                <w:rFonts w:ascii="Arial" w:eastAsia="Arial" w:hAnsi="Arial" w:cs="Arial"/>
                <w:sz w:val="20"/>
                <w:szCs w:val="20"/>
              </w:rPr>
              <w:t>NL23BNPA0227735366</w:t>
            </w:r>
          </w:p>
        </w:tc>
      </w:tr>
      <w:tr w:rsidR="007B3C24" w14:paraId="45E15627" w14:textId="77777777">
        <w:tc>
          <w:tcPr>
            <w:tcW w:w="4927" w:type="dxa"/>
            <w:tcBorders>
              <w:top w:val="nil"/>
              <w:left w:val="nil"/>
              <w:bottom w:val="nil"/>
              <w:right w:val="nil"/>
            </w:tcBorders>
          </w:tcPr>
          <w:p w14:paraId="5B456346" w14:textId="77777777" w:rsidR="007B3C24" w:rsidRDefault="007B3C24">
            <w:pPr>
              <w:tabs>
                <w:tab w:val="left" w:pos="4962"/>
              </w:tabs>
              <w:ind w:left="0" w:hanging="2"/>
              <w:jc w:val="both"/>
              <w:rPr>
                <w:rFonts w:ascii="Arial" w:eastAsia="Arial" w:hAnsi="Arial" w:cs="Arial"/>
                <w:sz w:val="20"/>
                <w:szCs w:val="20"/>
              </w:rPr>
            </w:pPr>
          </w:p>
          <w:p w14:paraId="0FFE5996" w14:textId="77777777" w:rsidR="007B3C24" w:rsidRDefault="007B3C24">
            <w:pPr>
              <w:tabs>
                <w:tab w:val="left" w:pos="4962"/>
              </w:tabs>
              <w:ind w:left="0" w:hanging="2"/>
              <w:jc w:val="both"/>
              <w:rPr>
                <w:rFonts w:ascii="Arial" w:eastAsia="Arial" w:hAnsi="Arial" w:cs="Arial"/>
                <w:sz w:val="20"/>
                <w:szCs w:val="20"/>
              </w:rPr>
            </w:pPr>
          </w:p>
          <w:p w14:paraId="2BBF8B36" w14:textId="77777777" w:rsidR="007B3C24" w:rsidRDefault="007B3C24">
            <w:pPr>
              <w:tabs>
                <w:tab w:val="left" w:pos="4962"/>
              </w:tabs>
              <w:ind w:left="0" w:hanging="2"/>
              <w:jc w:val="both"/>
              <w:rPr>
                <w:rFonts w:ascii="Arial" w:eastAsia="Arial" w:hAnsi="Arial" w:cs="Arial"/>
                <w:sz w:val="20"/>
                <w:szCs w:val="20"/>
              </w:rPr>
            </w:pPr>
          </w:p>
          <w:p w14:paraId="6E4C678A" w14:textId="72B3B927" w:rsidR="007B3C24" w:rsidRPr="00D0489F" w:rsidRDefault="00D0489F" w:rsidP="00D0489F">
            <w:pPr>
              <w:tabs>
                <w:tab w:val="left" w:pos="4962"/>
              </w:tabs>
              <w:ind w:left="0" w:hanging="2"/>
              <w:jc w:val="both"/>
              <w:rPr>
                <w:rFonts w:ascii="Arial" w:eastAsia="Arial" w:hAnsi="Arial" w:cs="Arial"/>
                <w:color w:val="FFFFFF" w:themeColor="background1"/>
                <w:sz w:val="20"/>
                <w:szCs w:val="20"/>
              </w:rPr>
            </w:pPr>
            <w:r w:rsidRPr="00D0489F">
              <w:rPr>
                <w:rFonts w:ascii="Arial" w:eastAsia="Arial" w:hAnsi="Arial" w:cs="Arial"/>
                <w:color w:val="FFFFFF" w:themeColor="background1"/>
                <w:sz w:val="20"/>
                <w:szCs w:val="20"/>
              </w:rPr>
              <w:t xml:space="preserve">          /sn1/</w:t>
            </w:r>
          </w:p>
          <w:p w14:paraId="042CF992"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4C6F00D3"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c>
          <w:tcPr>
            <w:tcW w:w="4927" w:type="dxa"/>
            <w:tcBorders>
              <w:top w:val="nil"/>
              <w:left w:val="nil"/>
              <w:bottom w:val="nil"/>
              <w:right w:val="nil"/>
            </w:tcBorders>
          </w:tcPr>
          <w:p w14:paraId="597F6DA0"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 xml:space="preserve">Proxy of the Seller </w:t>
            </w:r>
          </w:p>
          <w:p w14:paraId="089D7E34" w14:textId="0DE3A9B6" w:rsidR="007B3C24" w:rsidRPr="00C51637" w:rsidRDefault="00C51637">
            <w:pPr>
              <w:tabs>
                <w:tab w:val="left" w:pos="4962"/>
              </w:tabs>
              <w:ind w:left="0" w:hanging="2"/>
              <w:jc w:val="both"/>
              <w:rPr>
                <w:rFonts w:ascii="Arial" w:eastAsia="Arial" w:hAnsi="Arial" w:cs="Arial"/>
                <w:sz w:val="20"/>
                <w:szCs w:val="20"/>
              </w:rPr>
            </w:pPr>
            <w:r>
              <w:rPr>
                <w:rFonts w:ascii="Arial" w:eastAsia="Arial" w:hAnsi="Arial" w:cs="Arial"/>
                <w:b/>
                <w:sz w:val="20"/>
                <w:szCs w:val="20"/>
              </w:rPr>
              <w:t xml:space="preserve">Paulius </w:t>
            </w:r>
            <w:proofErr w:type="spellStart"/>
            <w:r>
              <w:rPr>
                <w:rFonts w:ascii="Arial" w:eastAsia="Arial" w:hAnsi="Arial" w:cs="Arial"/>
                <w:b/>
                <w:sz w:val="20"/>
                <w:szCs w:val="20"/>
              </w:rPr>
              <w:t>Vaitkevi</w:t>
            </w:r>
            <w:r>
              <w:rPr>
                <w:rFonts w:ascii="Arial" w:eastAsia="Arial" w:hAnsi="Arial" w:cs="Arial"/>
                <w:b/>
                <w:sz w:val="20"/>
                <w:szCs w:val="20"/>
                <w:lang w:val="lt-LT"/>
              </w:rPr>
              <w:t>čius</w:t>
            </w:r>
            <w:proofErr w:type="spellEnd"/>
          </w:p>
          <w:p w14:paraId="1CFF33A9" w14:textId="77777777" w:rsidR="007B3C24" w:rsidRDefault="007B3C24">
            <w:pPr>
              <w:tabs>
                <w:tab w:val="left" w:pos="4962"/>
              </w:tabs>
              <w:ind w:left="0" w:hanging="2"/>
              <w:jc w:val="both"/>
              <w:rPr>
                <w:rFonts w:ascii="Arial" w:eastAsia="Arial" w:hAnsi="Arial" w:cs="Arial"/>
                <w:sz w:val="20"/>
                <w:szCs w:val="20"/>
              </w:rPr>
            </w:pPr>
          </w:p>
          <w:p w14:paraId="056D98AA" w14:textId="75D1B7DC" w:rsidR="007B3C24" w:rsidRPr="00D0489F" w:rsidRDefault="00D0489F" w:rsidP="00D0489F">
            <w:pPr>
              <w:tabs>
                <w:tab w:val="left" w:pos="4962"/>
              </w:tabs>
              <w:ind w:left="0" w:hanging="2"/>
              <w:jc w:val="both"/>
              <w:rPr>
                <w:rFonts w:ascii="Arial" w:eastAsia="Arial" w:hAnsi="Arial" w:cs="Arial"/>
                <w:color w:val="FFFFFF" w:themeColor="background1"/>
                <w:sz w:val="20"/>
                <w:szCs w:val="20"/>
              </w:rPr>
            </w:pPr>
            <w:r w:rsidRPr="00D0489F">
              <w:rPr>
                <w:rFonts w:ascii="Arial" w:eastAsia="Arial" w:hAnsi="Arial" w:cs="Arial"/>
                <w:color w:val="FFFFFF" w:themeColor="background1"/>
                <w:sz w:val="20"/>
                <w:szCs w:val="20"/>
              </w:rPr>
              <w:t xml:space="preserve">          /sn</w:t>
            </w:r>
            <w:r w:rsidRPr="00D0489F">
              <w:rPr>
                <w:rFonts w:ascii="Arial" w:eastAsia="Arial" w:hAnsi="Arial" w:cs="Arial"/>
                <w:color w:val="FFFFFF" w:themeColor="background1"/>
                <w:sz w:val="20"/>
                <w:szCs w:val="20"/>
              </w:rPr>
              <w:t>2</w:t>
            </w:r>
            <w:r w:rsidRPr="00D0489F">
              <w:rPr>
                <w:rFonts w:ascii="Arial" w:eastAsia="Arial" w:hAnsi="Arial" w:cs="Arial"/>
                <w:color w:val="FFFFFF" w:themeColor="background1"/>
                <w:sz w:val="20"/>
                <w:szCs w:val="20"/>
              </w:rPr>
              <w:t>/</w:t>
            </w:r>
          </w:p>
          <w:p w14:paraId="5886630F"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36932438"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r>
    </w:tbl>
    <w:p w14:paraId="70B2FFE4" w14:textId="77777777" w:rsidR="007B3C24" w:rsidRDefault="007B3C24">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1E0FB2FC" w14:textId="77777777" w:rsidR="007B3C24"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7B3C24">
          <w:footerReference w:type="even" r:id="rId9"/>
          <w:footerReference w:type="default" r:id="rId10"/>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29CA91B5" w14:textId="77777777" w:rsidR="00C51637" w:rsidRPr="00C51637" w:rsidRDefault="00000000" w:rsidP="00C51637">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lastRenderedPageBreak/>
        <w:t>A</w:t>
      </w:r>
      <w:r>
        <w:rPr>
          <w:rFonts w:ascii="Arial" w:eastAsia="Arial" w:hAnsi="Arial" w:cs="Arial"/>
          <w:color w:val="000000"/>
          <w:sz w:val="20"/>
          <w:szCs w:val="20"/>
        </w:rPr>
        <w:t xml:space="preserve">nnex No 1 to the SALE AND PURCHASE AGREEMENT of </w:t>
      </w:r>
      <w:r w:rsidR="00C51637" w:rsidRPr="00C51637">
        <w:rPr>
          <w:rFonts w:ascii="Arial" w:eastAsia="Arial" w:hAnsi="Arial" w:cs="Arial"/>
          <w:color w:val="000000"/>
          <w:sz w:val="20"/>
          <w:szCs w:val="20"/>
        </w:rPr>
        <w:t>{</w:t>
      </w:r>
      <w:proofErr w:type="spellStart"/>
      <w:r w:rsidR="00C51637" w:rsidRPr="00C51637">
        <w:rPr>
          <w:rFonts w:ascii="Arial" w:eastAsia="Arial" w:hAnsi="Arial" w:cs="Arial"/>
          <w:color w:val="000000"/>
          <w:sz w:val="20"/>
          <w:szCs w:val="20"/>
        </w:rPr>
        <w:t>TodaysDate</w:t>
      </w:r>
      <w:proofErr w:type="spellEnd"/>
      <w:r w:rsidR="00C51637" w:rsidRPr="00C51637">
        <w:rPr>
          <w:rFonts w:ascii="Arial" w:eastAsia="Arial" w:hAnsi="Arial" w:cs="Arial"/>
          <w:color w:val="000000"/>
          <w:sz w:val="20"/>
          <w:szCs w:val="20"/>
        </w:rPr>
        <w:t>}</w:t>
      </w:r>
    </w:p>
    <w:p w14:paraId="5B52296A" w14:textId="5B449B81" w:rsidR="007B3C24"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 </w:t>
      </w:r>
    </w:p>
    <w:p w14:paraId="7A0BA65D" w14:textId="77777777" w:rsidR="007B3C24" w:rsidRDefault="007B3C24">
      <w:pPr>
        <w:ind w:left="0" w:hanging="2"/>
        <w:rPr>
          <w:rFonts w:ascii="Arial" w:eastAsia="Arial" w:hAnsi="Arial" w:cs="Arial"/>
          <w:color w:val="1F497D"/>
          <w:sz w:val="20"/>
          <w:szCs w:val="20"/>
        </w:rPr>
      </w:pPr>
    </w:p>
    <w:tbl>
      <w:tblPr>
        <w:tblStyle w:val="a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620"/>
        <w:gridCol w:w="4710"/>
        <w:gridCol w:w="2655"/>
      </w:tblGrid>
      <w:tr w:rsidR="007B3C24" w14:paraId="1E2B8356"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A3C57" w14:textId="77777777" w:rsidR="007B3C24"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E9A781" w14:textId="77777777" w:rsidR="007B3C24" w:rsidRDefault="00000000">
            <w:pPr>
              <w:ind w:left="0" w:hanging="2"/>
              <w:jc w:val="center"/>
              <w:rPr>
                <w:rFonts w:ascii="Arial" w:eastAsia="Arial" w:hAnsi="Arial" w:cs="Arial"/>
                <w:b/>
                <w:sz w:val="20"/>
                <w:szCs w:val="20"/>
              </w:rPr>
            </w:pPr>
            <w:r>
              <w:rPr>
                <w:rFonts w:ascii="Arial" w:eastAsia="Arial" w:hAnsi="Arial" w:cs="Arial"/>
                <w:b/>
                <w:sz w:val="20"/>
                <w:szCs w:val="20"/>
              </w:rPr>
              <w:t>Quantity (unit)</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CBC7CB" w14:textId="77777777" w:rsidR="007B3C24"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BC9EF9" w14:textId="77777777" w:rsidR="007B3C24" w:rsidRDefault="00000000">
            <w:pPr>
              <w:ind w:left="0" w:hanging="2"/>
              <w:jc w:val="center"/>
              <w:rPr>
                <w:rFonts w:ascii="Arial" w:eastAsia="Arial" w:hAnsi="Arial" w:cs="Arial"/>
                <w:b/>
                <w:sz w:val="20"/>
                <w:szCs w:val="20"/>
              </w:rPr>
            </w:pPr>
            <w:r>
              <w:rPr>
                <w:rFonts w:ascii="Arial" w:eastAsia="Arial" w:hAnsi="Arial" w:cs="Arial"/>
                <w:b/>
                <w:sz w:val="20"/>
                <w:szCs w:val="20"/>
              </w:rPr>
              <w:t>Final price, incl. VAT, EUR</w:t>
            </w:r>
          </w:p>
        </w:tc>
      </w:tr>
      <w:tr w:rsidR="007B3C24" w14:paraId="3C35248D"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A3BA9" w14:textId="77777777" w:rsidR="007B3C24"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AF6576" w14:textId="47C7E3B0" w:rsidR="007B3C24" w:rsidRPr="00C51637" w:rsidRDefault="00C51637">
            <w:pPr>
              <w:ind w:left="0" w:hanging="2"/>
              <w:jc w:val="center"/>
              <w:rPr>
                <w:rFonts w:ascii="Arial" w:eastAsia="Arial" w:hAnsi="Arial" w:cs="Arial"/>
                <w:sz w:val="20"/>
                <w:szCs w:val="20"/>
              </w:rPr>
            </w:pPr>
            <w:r>
              <w:rPr>
                <w:rFonts w:ascii="Arial" w:eastAsia="Arial" w:hAnsi="Arial" w:cs="Arial"/>
                <w:sz w:val="20"/>
                <w:szCs w:val="20"/>
              </w:rPr>
              <w:t>1</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29A841" w14:textId="77777777" w:rsidR="00C51637" w:rsidRPr="00F37653" w:rsidRDefault="00C51637" w:rsidP="00C51637">
            <w:pPr>
              <w:ind w:left="0" w:hanging="2"/>
              <w:jc w:val="center"/>
              <w:rPr>
                <w:rFonts w:ascii="Arial" w:eastAsia="Arial" w:hAnsi="Arial" w:cs="Arial"/>
                <w:sz w:val="20"/>
                <w:szCs w:val="20"/>
              </w:rPr>
            </w:pPr>
            <w:r>
              <w:rPr>
                <w:rFonts w:ascii="Arial" w:eastAsia="Arial" w:hAnsi="Arial" w:cs="Arial"/>
                <w:sz w:val="20"/>
                <w:szCs w:val="20"/>
              </w:rPr>
              <w:t>{</w:t>
            </w:r>
            <w:proofErr w:type="spellStart"/>
            <w:r w:rsidRPr="00F37653">
              <w:rPr>
                <w:rFonts w:ascii="Arial" w:eastAsia="Arial" w:hAnsi="Arial" w:cs="Arial"/>
                <w:sz w:val="20"/>
                <w:szCs w:val="20"/>
              </w:rPr>
              <w:t>Serialnumber</w:t>
            </w:r>
            <w:proofErr w:type="spellEnd"/>
            <w:r>
              <w:rPr>
                <w:rFonts w:ascii="Arial" w:eastAsia="Arial" w:hAnsi="Arial" w:cs="Arial"/>
                <w:sz w:val="20"/>
                <w:szCs w:val="20"/>
              </w:rPr>
              <w:t>}</w:t>
            </w:r>
          </w:p>
          <w:p w14:paraId="39D43A02" w14:textId="77777777" w:rsidR="007B3C24" w:rsidRDefault="007B3C24">
            <w:pPr>
              <w:ind w:left="0" w:hanging="2"/>
              <w:jc w:val="center"/>
              <w:rPr>
                <w:rFonts w:ascii="Arial" w:eastAsia="Arial" w:hAnsi="Arial" w:cs="Arial"/>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C225E9" w14:textId="7AC72822" w:rsidR="007B3C24" w:rsidRDefault="00C51637">
            <w:pPr>
              <w:ind w:left="0" w:hanging="2"/>
              <w:jc w:val="center"/>
              <w:rPr>
                <w:rFonts w:ascii="Arial" w:eastAsia="Arial" w:hAnsi="Arial" w:cs="Arial"/>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r w:rsidR="007B3C24" w14:paraId="19E677F3"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804F2" w14:textId="77777777" w:rsidR="007B3C24"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29BF1" w14:textId="77777777" w:rsidR="007B3C24" w:rsidRDefault="007B3C24">
            <w:pPr>
              <w:ind w:left="0" w:hanging="2"/>
              <w:jc w:val="center"/>
              <w:rPr>
                <w:rFonts w:ascii="Arial" w:eastAsia="Arial" w:hAnsi="Arial" w:cs="Arial"/>
                <w:sz w:val="20"/>
                <w:szCs w:val="20"/>
              </w:rPr>
            </w:pP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D55933" w14:textId="77777777" w:rsidR="007B3C24"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CBBB8A" w14:textId="77777777" w:rsidR="007B3C24"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7B3C24" w14:paraId="4ABB2919"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945E73" w14:textId="77777777" w:rsidR="007B3C24" w:rsidRDefault="00000000">
            <w:pPr>
              <w:ind w:left="0" w:hanging="2"/>
              <w:jc w:val="right"/>
              <w:rPr>
                <w:rFonts w:ascii="Arial" w:eastAsia="Arial" w:hAnsi="Arial" w:cs="Arial"/>
                <w:b/>
                <w:sz w:val="20"/>
                <w:szCs w:val="20"/>
              </w:rPr>
            </w:pPr>
            <w:r>
              <w:rPr>
                <w:rFonts w:ascii="Arial" w:eastAsia="Arial" w:hAnsi="Arial" w:cs="Arial"/>
                <w:b/>
                <w:sz w:val="20"/>
                <w:szCs w:val="20"/>
              </w:rPr>
              <w:t>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82BF6" w14:textId="1EF9DF95" w:rsidR="007B3C24" w:rsidRDefault="00C51637">
            <w:pPr>
              <w:ind w:left="0" w:hanging="2"/>
              <w:jc w:val="center"/>
              <w:rPr>
                <w:rFonts w:ascii="Arial" w:eastAsia="Arial" w:hAnsi="Arial" w:cs="Arial"/>
                <w:color w:val="1F497D"/>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bl>
    <w:p w14:paraId="09248EC9" w14:textId="77777777" w:rsidR="007B3C24" w:rsidRDefault="007B3C24">
      <w:pPr>
        <w:ind w:left="0" w:hanging="2"/>
        <w:jc w:val="right"/>
        <w:rPr>
          <w:rFonts w:ascii="Arial" w:eastAsia="Arial" w:hAnsi="Arial" w:cs="Arial"/>
          <w:sz w:val="20"/>
          <w:szCs w:val="20"/>
        </w:rPr>
      </w:pPr>
    </w:p>
    <w:p w14:paraId="5A865B4E" w14:textId="77777777" w:rsidR="007B3C24" w:rsidRDefault="007B3C24">
      <w:pPr>
        <w:ind w:left="0" w:hanging="2"/>
        <w:jc w:val="right"/>
        <w:rPr>
          <w:rFonts w:ascii="Arial" w:eastAsia="Arial" w:hAnsi="Arial" w:cs="Arial"/>
          <w:color w:val="1F497D"/>
          <w:sz w:val="20"/>
          <w:szCs w:val="20"/>
        </w:rPr>
      </w:pPr>
    </w:p>
    <w:p w14:paraId="6F69B891" w14:textId="77777777" w:rsidR="007B3C24" w:rsidRDefault="007B3C24">
      <w:pPr>
        <w:tabs>
          <w:tab w:val="left" w:pos="2580"/>
        </w:tabs>
        <w:ind w:left="0" w:hanging="2"/>
        <w:rPr>
          <w:rFonts w:ascii="Arial" w:eastAsia="Arial" w:hAnsi="Arial" w:cs="Arial"/>
          <w:sz w:val="20"/>
          <w:szCs w:val="20"/>
        </w:rPr>
      </w:pPr>
      <w:bookmarkStart w:id="0" w:name="_heading=h.gjdgxs" w:colFirst="0" w:colLast="0"/>
      <w:bookmarkEnd w:id="0"/>
    </w:p>
    <w:sectPr w:rsidR="007B3C24">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CB264" w14:textId="77777777" w:rsidR="00AA3508" w:rsidRDefault="00AA3508">
      <w:pPr>
        <w:spacing w:line="240" w:lineRule="auto"/>
        <w:ind w:left="0" w:hanging="2"/>
      </w:pPr>
      <w:r>
        <w:separator/>
      </w:r>
    </w:p>
  </w:endnote>
  <w:endnote w:type="continuationSeparator" w:id="0">
    <w:p w14:paraId="6135C34B" w14:textId="77777777" w:rsidR="00AA3508" w:rsidRDefault="00AA350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87FAB" w14:textId="77777777" w:rsidR="007B3C24"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BC69A8F" w14:textId="77777777" w:rsidR="007B3C24" w:rsidRDefault="007B3C24">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42BAC" w14:textId="77777777" w:rsidR="007B3C24"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51637">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18EC35A9" w14:textId="77777777" w:rsidR="007B3C24" w:rsidRDefault="007B3C24">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94AF4" w14:textId="77777777" w:rsidR="00AA3508" w:rsidRDefault="00AA3508">
      <w:pPr>
        <w:spacing w:line="240" w:lineRule="auto"/>
        <w:ind w:left="0" w:hanging="2"/>
      </w:pPr>
      <w:r>
        <w:separator/>
      </w:r>
    </w:p>
  </w:footnote>
  <w:footnote w:type="continuationSeparator" w:id="0">
    <w:p w14:paraId="012E8651" w14:textId="77777777" w:rsidR="00AA3508" w:rsidRDefault="00AA350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03FC"/>
    <w:multiLevelType w:val="multilevel"/>
    <w:tmpl w:val="361A0DE2"/>
    <w:lvl w:ilvl="0">
      <w:start w:val="1"/>
      <w:numFmt w:val="decimal"/>
      <w:pStyle w:val="H1Ashurst"/>
      <w:lvlText w:val="%1."/>
      <w:lvlJc w:val="right"/>
      <w:pPr>
        <w:ind w:left="720" w:hanging="360"/>
      </w:pPr>
      <w:rPr>
        <w:b/>
        <w:vertAlign w:val="baseline"/>
      </w:rPr>
    </w:lvl>
    <w:lvl w:ilvl="1">
      <w:start w:val="1"/>
      <w:numFmt w:val="decimal"/>
      <w:pStyle w:val="H2Ashurst"/>
      <w:lvlText w:val="%1.%2."/>
      <w:lvlJc w:val="right"/>
      <w:pPr>
        <w:ind w:left="810" w:hanging="270"/>
      </w:pPr>
      <w:rPr>
        <w:vertAlign w:val="baseline"/>
      </w:rPr>
    </w:lvl>
    <w:lvl w:ilvl="2">
      <w:start w:val="1"/>
      <w:numFmt w:val="decimal"/>
      <w:pStyle w:val="H3Ashurst"/>
      <w:lvlText w:val="%1.%2.%3."/>
      <w:lvlJc w:val="right"/>
      <w:pPr>
        <w:ind w:left="1800" w:hanging="720"/>
      </w:pPr>
      <w:rPr>
        <w:vertAlign w:val="baseline"/>
      </w:rPr>
    </w:lvl>
    <w:lvl w:ilvl="3">
      <w:start w:val="1"/>
      <w:numFmt w:val="decimal"/>
      <w:pStyle w:val="H4Ashurst"/>
      <w:lvlText w:val="%1.%2.%3.%4."/>
      <w:lvlJc w:val="right"/>
      <w:pPr>
        <w:ind w:left="2520" w:hanging="1080"/>
      </w:pPr>
      <w:rPr>
        <w:vertAlign w:val="baseline"/>
      </w:rPr>
    </w:lvl>
    <w:lvl w:ilvl="4">
      <w:start w:val="1"/>
      <w:numFmt w:val="decimal"/>
      <w:pStyle w:val="H5Ashurst"/>
      <w:lvlText w:val="%1.%2.%3.%4.%5."/>
      <w:lvlJc w:val="right"/>
      <w:pPr>
        <w:ind w:left="2880" w:hanging="1080"/>
      </w:pPr>
      <w:rPr>
        <w:vertAlign w:val="baseline"/>
      </w:rPr>
    </w:lvl>
    <w:lvl w:ilvl="5">
      <w:start w:val="1"/>
      <w:numFmt w:val="decimal"/>
      <w:pStyle w:val="H6Ashurst"/>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1" w15:restartNumberingAfterBreak="0">
    <w:nsid w:val="2A164FCD"/>
    <w:multiLevelType w:val="multilevel"/>
    <w:tmpl w:val="7110FBF0"/>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2" w15:restartNumberingAfterBreak="0">
    <w:nsid w:val="417C6720"/>
    <w:multiLevelType w:val="multilevel"/>
    <w:tmpl w:val="068EBAFC"/>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1976909860">
    <w:abstractNumId w:val="0"/>
  </w:num>
  <w:num w:numId="2" w16cid:durableId="720135957">
    <w:abstractNumId w:val="2"/>
  </w:num>
  <w:num w:numId="3" w16cid:durableId="30582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24"/>
    <w:rsid w:val="0037548C"/>
    <w:rsid w:val="0039796F"/>
    <w:rsid w:val="007B3C24"/>
    <w:rsid w:val="009566D7"/>
    <w:rsid w:val="00AA3508"/>
    <w:rsid w:val="00C51637"/>
    <w:rsid w:val="00D0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DFDD"/>
  <w15:docId w15:val="{58E9A49C-25C5-4C75-AF65-79F5190D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486744">
      <w:bodyDiv w:val="1"/>
      <w:marLeft w:val="0"/>
      <w:marRight w:val="0"/>
      <w:marTop w:val="0"/>
      <w:marBottom w:val="0"/>
      <w:divBdr>
        <w:top w:val="none" w:sz="0" w:space="0" w:color="auto"/>
        <w:left w:val="none" w:sz="0" w:space="0" w:color="auto"/>
        <w:bottom w:val="none" w:sz="0" w:space="0" w:color="auto"/>
        <w:right w:val="none" w:sz="0" w:space="0" w:color="auto"/>
      </w:divBdr>
    </w:div>
    <w:div w:id="983584669">
      <w:bodyDiv w:val="1"/>
      <w:marLeft w:val="0"/>
      <w:marRight w:val="0"/>
      <w:marTop w:val="0"/>
      <w:marBottom w:val="0"/>
      <w:divBdr>
        <w:top w:val="none" w:sz="0" w:space="0" w:color="auto"/>
        <w:left w:val="none" w:sz="0" w:space="0" w:color="auto"/>
        <w:bottom w:val="none" w:sz="0" w:space="0" w:color="auto"/>
        <w:right w:val="none" w:sz="0" w:space="0" w:color="auto"/>
      </w:divBdr>
    </w:div>
    <w:div w:id="1066804764">
      <w:bodyDiv w:val="1"/>
      <w:marLeft w:val="0"/>
      <w:marRight w:val="0"/>
      <w:marTop w:val="0"/>
      <w:marBottom w:val="0"/>
      <w:divBdr>
        <w:top w:val="none" w:sz="0" w:space="0" w:color="auto"/>
        <w:left w:val="none" w:sz="0" w:space="0" w:color="auto"/>
        <w:bottom w:val="none" w:sz="0" w:space="0" w:color="auto"/>
        <w:right w:val="none" w:sz="0" w:space="0" w:color="auto"/>
      </w:divBdr>
    </w:div>
    <w:div w:id="1685088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ZqLBSJPw+Q5V3dGOr+u76/pIw==">CgMxLjAyCGguZ2pkZ3hzOAByITE3U1RRVFBvaDNpSWpiaFFYa0VFNFNfbzZSbWlIdGlVUw==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3</cp:revision>
  <dcterms:created xsi:type="dcterms:W3CDTF">2022-02-10T15:17:00Z</dcterms:created>
  <dcterms:modified xsi:type="dcterms:W3CDTF">2024-10-30T13:50:00Z</dcterms:modified>
</cp:coreProperties>
</file>