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571CE2" wp14:paraId="7F62C3FD" wp14:textId="460A7627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  <w:rPr>
          <w:rFonts w:ascii="Calibri" w:hAnsi="Calibri" w:eastAsia="Calibri" w:cs="Calibri"/>
          <w:noProof w:val="0"/>
          <w:sz w:val="40"/>
          <w:szCs w:val="40"/>
          <w:lang w:val="it-IT"/>
        </w:rPr>
      </w:pPr>
      <w:r w:rsidRPr="43571CE2" w:rsidR="3FF92BBD">
        <w:rPr>
          <w:rFonts w:ascii="Calibri" w:hAnsi="Calibri" w:eastAsia="Calibri" w:cs="Calibri"/>
          <w:noProof w:val="0"/>
          <w:sz w:val="40"/>
          <w:szCs w:val="40"/>
          <w:lang w:val="it-IT"/>
        </w:rPr>
        <w:t>Report quinta settimana</w:t>
      </w:r>
    </w:p>
    <w:p xmlns:wp14="http://schemas.microsoft.com/office/word/2010/wordml" w:rsidP="43571CE2" wp14:paraId="69D68398" wp14:textId="1880BF3B">
      <w:pPr>
        <w:pStyle w:val="Heading2"/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1. Sintesi Strategica dell'Avanzamento Settimanale</w:t>
      </w:r>
    </w:p>
    <w:p xmlns:wp14="http://schemas.microsoft.com/office/word/2010/wordml" wp14:paraId="328BF7BA" wp14:textId="50EBD336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L'attività della quinta settimana ha segnato il passaggio critico dalla fase di test isolati alla convergenza sistemica tra validazione biologica e infrastruttura di monitoraggio digitale. Il focus è stato l'allineamento tra la cinetica di germinazione delle spore e la calibrazione del sistema Raspberry Pi/HQ Camera. L'integrazione di questi due domini è il prerequisito fondamentale per trasformare un evento biologico dinamico in un flusso di dati digitali quantificabili, garantendo la precisione necessaria per la prototipazione di un sensore automatizzato ad alta affidabilità.</w:t>
      </w:r>
    </w:p>
    <w:p xmlns:wp14="http://schemas.microsoft.com/office/word/2010/wordml" wp14:paraId="6147572C" wp14:textId="270069E4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Di seguito, la tabella riassuntiva degli obiettivi raggiunti: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460"/>
        <w:gridCol w:w="1440"/>
        <w:gridCol w:w="5228"/>
      </w:tblGrid>
      <w:tr w:rsidR="43571CE2" w:rsidTr="43571CE2" w14:paraId="74FA92C0">
        <w:trPr>
          <w:trHeight w:val="300"/>
        </w:trPr>
        <w:tc>
          <w:tcPr>
            <w:tcW w:w="2460" w:type="dxa"/>
            <w:tcMar/>
            <w:vAlign w:val="center"/>
          </w:tcPr>
          <w:p w:rsidR="43571CE2" w:rsidP="43571CE2" w:rsidRDefault="43571CE2" w14:paraId="74039F49" w14:textId="0B6E3A03">
            <w:pPr>
              <w:spacing w:before="0" w:beforeAutospacing="off" w:after="0" w:afterAutospacing="off"/>
            </w:pPr>
            <w:r w:rsidR="43571CE2">
              <w:rPr/>
              <w:t>Obiettivo</w:t>
            </w:r>
          </w:p>
        </w:tc>
        <w:tc>
          <w:tcPr>
            <w:tcW w:w="1440" w:type="dxa"/>
            <w:tcMar/>
            <w:vAlign w:val="center"/>
          </w:tcPr>
          <w:p w:rsidR="43571CE2" w:rsidP="43571CE2" w:rsidRDefault="43571CE2" w14:paraId="35863975" w14:textId="15BBFECC">
            <w:pPr>
              <w:spacing w:before="0" w:beforeAutospacing="off" w:after="0" w:afterAutospacing="off"/>
            </w:pPr>
            <w:r w:rsidR="43571CE2">
              <w:rPr/>
              <w:t>Stato</w:t>
            </w:r>
          </w:p>
        </w:tc>
        <w:tc>
          <w:tcPr>
            <w:tcW w:w="5228" w:type="dxa"/>
            <w:tcMar/>
            <w:vAlign w:val="center"/>
          </w:tcPr>
          <w:p w:rsidR="43571CE2" w:rsidP="43571CE2" w:rsidRDefault="43571CE2" w14:paraId="0CEB2FE9" w14:textId="5D8696CA">
            <w:pPr>
              <w:spacing w:before="0" w:beforeAutospacing="off" w:after="0" w:afterAutospacing="off"/>
            </w:pPr>
            <w:r w:rsidR="43571CE2">
              <w:rPr/>
              <w:t>Note Strategiche</w:t>
            </w:r>
          </w:p>
        </w:tc>
      </w:tr>
      <w:tr w:rsidR="43571CE2" w:rsidTr="43571CE2" w14:paraId="4AA55565">
        <w:trPr>
          <w:trHeight w:val="300"/>
        </w:trPr>
        <w:tc>
          <w:tcPr>
            <w:tcW w:w="2460" w:type="dxa"/>
            <w:tcMar/>
            <w:vAlign w:val="center"/>
          </w:tcPr>
          <w:p w:rsidR="43571CE2" w:rsidP="43571CE2" w:rsidRDefault="43571CE2" w14:paraId="5F88E1D2" w14:textId="19CD032D">
            <w:pPr>
              <w:spacing w:before="0" w:beforeAutospacing="off" w:after="0" w:afterAutospacing="off"/>
            </w:pPr>
            <w:r w:rsidRPr="43571CE2" w:rsidR="43571CE2">
              <w:rPr>
                <w:b w:val="1"/>
                <w:bCs w:val="1"/>
              </w:rPr>
              <w:t>Selezione della specie fungina</w:t>
            </w:r>
          </w:p>
        </w:tc>
        <w:tc>
          <w:tcPr>
            <w:tcW w:w="1440" w:type="dxa"/>
            <w:tcMar/>
            <w:vAlign w:val="center"/>
          </w:tcPr>
          <w:p w:rsidR="43571CE2" w:rsidP="43571CE2" w:rsidRDefault="43571CE2" w14:paraId="4B770736" w14:textId="622C89CA">
            <w:pPr>
              <w:spacing w:before="0" w:beforeAutospacing="off" w:after="0" w:afterAutospacing="off"/>
            </w:pPr>
            <w:r w:rsidR="43571CE2">
              <w:rPr/>
              <w:t>Completato</w:t>
            </w:r>
          </w:p>
        </w:tc>
        <w:tc>
          <w:tcPr>
            <w:tcW w:w="5228" w:type="dxa"/>
            <w:tcMar/>
            <w:vAlign w:val="center"/>
          </w:tcPr>
          <w:p w:rsidR="43571CE2" w:rsidP="43571CE2" w:rsidRDefault="43571CE2" w14:paraId="6365752B" w14:textId="01B1A1F9">
            <w:pPr>
              <w:spacing w:before="0" w:beforeAutospacing="off" w:after="0" w:afterAutospacing="off"/>
            </w:pPr>
            <w:r w:rsidR="43571CE2">
              <w:rPr/>
              <w:t xml:space="preserve">Scelta di </w:t>
            </w:r>
            <w:r w:rsidRPr="43571CE2" w:rsidR="43571CE2">
              <w:rPr>
                <w:i w:val="1"/>
                <w:iCs w:val="1"/>
              </w:rPr>
              <w:t>Aspergillus Niger</w:t>
            </w:r>
            <w:r w:rsidR="43571CE2">
              <w:rPr/>
              <w:t xml:space="preserve"> per ottimizzare i cicli di test (12h vs tempi xerofili).</w:t>
            </w:r>
          </w:p>
        </w:tc>
      </w:tr>
      <w:tr w:rsidR="43571CE2" w:rsidTr="43571CE2" w14:paraId="1DC72530">
        <w:trPr>
          <w:trHeight w:val="300"/>
        </w:trPr>
        <w:tc>
          <w:tcPr>
            <w:tcW w:w="2460" w:type="dxa"/>
            <w:tcMar/>
            <w:vAlign w:val="center"/>
          </w:tcPr>
          <w:p w:rsidR="43571CE2" w:rsidP="43571CE2" w:rsidRDefault="43571CE2" w14:paraId="738C40AA" w14:textId="648554C8">
            <w:pPr>
              <w:spacing w:before="0" w:beforeAutospacing="off" w:after="0" w:afterAutospacing="off"/>
            </w:pPr>
            <w:r w:rsidRPr="43571CE2" w:rsidR="43571CE2">
              <w:rPr>
                <w:b w:val="1"/>
                <w:bCs w:val="1"/>
              </w:rPr>
              <w:t>Hardware &amp; Environment</w:t>
            </w:r>
          </w:p>
        </w:tc>
        <w:tc>
          <w:tcPr>
            <w:tcW w:w="1440" w:type="dxa"/>
            <w:tcMar/>
            <w:vAlign w:val="center"/>
          </w:tcPr>
          <w:p w:rsidR="43571CE2" w:rsidP="43571CE2" w:rsidRDefault="43571CE2" w14:paraId="1544A9A0" w14:textId="5325E535">
            <w:pPr>
              <w:spacing w:before="0" w:beforeAutospacing="off" w:after="0" w:afterAutospacing="off"/>
            </w:pPr>
            <w:r w:rsidR="43571CE2">
              <w:rPr/>
              <w:t>Completato</w:t>
            </w:r>
          </w:p>
        </w:tc>
        <w:tc>
          <w:tcPr>
            <w:tcW w:w="5228" w:type="dxa"/>
            <w:tcMar/>
            <w:vAlign w:val="center"/>
          </w:tcPr>
          <w:p w:rsidR="43571CE2" w:rsidP="43571CE2" w:rsidRDefault="43571CE2" w14:paraId="482C14DB" w14:textId="5EC2A136">
            <w:pPr>
              <w:spacing w:before="0" w:beforeAutospacing="off" w:after="0" w:afterAutospacing="off"/>
            </w:pPr>
            <w:r w:rsidR="43571CE2">
              <w:rPr/>
              <w:t>Setup Raspberry Pi OS (Headless) e configurazione campana a umidità controllata.</w:t>
            </w:r>
          </w:p>
        </w:tc>
      </w:tr>
      <w:tr w:rsidR="43571CE2" w:rsidTr="43571CE2" w14:paraId="1129B77C">
        <w:trPr>
          <w:trHeight w:val="300"/>
        </w:trPr>
        <w:tc>
          <w:tcPr>
            <w:tcW w:w="2460" w:type="dxa"/>
            <w:tcMar/>
            <w:vAlign w:val="center"/>
          </w:tcPr>
          <w:p w:rsidR="43571CE2" w:rsidP="43571CE2" w:rsidRDefault="43571CE2" w14:paraId="05F729C9" w14:textId="3E2A1DE3">
            <w:pPr>
              <w:spacing w:before="0" w:beforeAutospacing="off" w:after="0" w:afterAutospacing="off"/>
            </w:pPr>
            <w:r w:rsidRPr="43571CE2" w:rsidR="43571CE2">
              <w:rPr>
                <w:b w:val="1"/>
                <w:bCs w:val="1"/>
              </w:rPr>
              <w:t>Criteri di Rilevazione</w:t>
            </w:r>
          </w:p>
        </w:tc>
        <w:tc>
          <w:tcPr>
            <w:tcW w:w="1440" w:type="dxa"/>
            <w:tcMar/>
            <w:vAlign w:val="center"/>
          </w:tcPr>
          <w:p w:rsidR="43571CE2" w:rsidP="43571CE2" w:rsidRDefault="43571CE2" w14:paraId="68BA57BA" w14:textId="614217BC">
            <w:pPr>
              <w:spacing w:before="0" w:beforeAutospacing="off" w:after="0" w:afterAutospacing="off"/>
            </w:pPr>
            <w:r w:rsidR="43571CE2">
              <w:rPr/>
              <w:t>Definito</w:t>
            </w:r>
          </w:p>
        </w:tc>
        <w:tc>
          <w:tcPr>
            <w:tcW w:w="5228" w:type="dxa"/>
            <w:tcMar/>
            <w:vAlign w:val="center"/>
          </w:tcPr>
          <w:p w:rsidR="43571CE2" w:rsidP="43571CE2" w:rsidRDefault="43571CE2" w14:paraId="13E9DFD7" w14:textId="414A5432">
            <w:pPr>
              <w:spacing w:before="0" w:beforeAutospacing="off" w:after="0" w:afterAutospacing="off"/>
            </w:pPr>
            <w:r w:rsidR="43571CE2">
              <w:rPr/>
              <w:t>Priorità alla variazione di densità e turgore rispetto alla sola morfologia.</w:t>
            </w:r>
          </w:p>
        </w:tc>
      </w:tr>
      <w:tr w:rsidR="43571CE2" w:rsidTr="43571CE2" w14:paraId="36B5D776">
        <w:trPr>
          <w:trHeight w:val="300"/>
        </w:trPr>
        <w:tc>
          <w:tcPr>
            <w:tcW w:w="2460" w:type="dxa"/>
            <w:tcMar/>
            <w:vAlign w:val="center"/>
          </w:tcPr>
          <w:p w:rsidR="43571CE2" w:rsidP="43571CE2" w:rsidRDefault="43571CE2" w14:paraId="4B794A24" w14:textId="66E4C14A">
            <w:pPr>
              <w:spacing w:before="0" w:beforeAutospacing="off" w:after="0" w:afterAutospacing="off"/>
            </w:pPr>
            <w:r w:rsidRPr="43571CE2" w:rsidR="43571CE2">
              <w:rPr>
                <w:b w:val="1"/>
                <w:bCs w:val="1"/>
              </w:rPr>
              <w:t>Workflow Software</w:t>
            </w:r>
          </w:p>
        </w:tc>
        <w:tc>
          <w:tcPr>
            <w:tcW w:w="1440" w:type="dxa"/>
            <w:tcMar/>
            <w:vAlign w:val="center"/>
          </w:tcPr>
          <w:p w:rsidR="43571CE2" w:rsidP="43571CE2" w:rsidRDefault="43571CE2" w14:paraId="6D328B97" w14:textId="06AF00C6">
            <w:pPr>
              <w:spacing w:before="0" w:beforeAutospacing="off" w:after="0" w:afterAutospacing="off"/>
            </w:pPr>
            <w:r w:rsidR="43571CE2">
              <w:rPr/>
              <w:t>Validato</w:t>
            </w:r>
          </w:p>
        </w:tc>
        <w:tc>
          <w:tcPr>
            <w:tcW w:w="5228" w:type="dxa"/>
            <w:tcMar/>
            <w:vAlign w:val="center"/>
          </w:tcPr>
          <w:p w:rsidR="43571CE2" w:rsidP="43571CE2" w:rsidRDefault="43571CE2" w14:paraId="4F523F44" w14:textId="1B1C4AE8">
            <w:pPr>
              <w:spacing w:before="0" w:beforeAutospacing="off" w:after="0" w:afterAutospacing="off"/>
            </w:pPr>
            <w:r w:rsidR="43571CE2">
              <w:rPr/>
              <w:t xml:space="preserve">Implementazione ambiente </w:t>
            </w:r>
            <w:r w:rsidRPr="43571CE2" w:rsidR="43571CE2">
              <w:rPr>
                <w:rFonts w:ascii="Consolas" w:hAnsi="Consolas" w:eastAsia="Consolas" w:cs="Consolas"/>
              </w:rPr>
              <w:t>uv</w:t>
            </w:r>
            <w:r w:rsidR="43571CE2">
              <w:rPr/>
              <w:t xml:space="preserve"> e test "camera-less" superati.</w:t>
            </w:r>
          </w:p>
        </w:tc>
      </w:tr>
    </w:tbl>
    <w:p xmlns:wp14="http://schemas.microsoft.com/office/word/2010/wordml" wp14:paraId="3AB51306" wp14:textId="0EE4ECDF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La scelta di operare prioritariamente con </w:t>
      </w:r>
      <w:r w:rsidRPr="43571CE2" w:rsidR="556C549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Aspergillus Niger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(costo stimato 150-200 euro) risulta strategica in questa fase: la sua rapidità di crescita rispetto a specie come </w:t>
      </w:r>
      <w:r w:rsidRPr="43571CE2" w:rsidR="556C549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Aspergillus Penicilloides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consente di accelerare la validazione del setup hardware, riducendo i tempi di attesa tra i cicli sperimentali e facilitando la creazione di una base biologica solida per la successiva configurazione dell'ambiente di test.</w:t>
      </w:r>
    </w:p>
    <w:p xmlns:wp14="http://schemas.microsoft.com/office/word/2010/wordml" w:rsidP="43571CE2" wp14:paraId="3993E09B" wp14:textId="3B63A64C">
      <w:pPr>
        <w:pStyle w:val="Heading2"/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2. Caratterizzazione Biologica e Dinamiche di Germinazione</w:t>
      </w:r>
    </w:p>
    <w:p xmlns:wp14="http://schemas.microsoft.com/office/word/2010/wordml" wp14:paraId="7BAF6712" wp14:textId="2A5E3121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Per l'automazione del sensore, è imperativo definire criteri biologici univoci che minimizzino l'ambiguità algoritmica. Abbiamo identificato nel turgore cellulare e nell'aumento della densità del campione i parametri primari di rilevazione. Questi indicatori precedono e accompagnano la fase di germinazione, permettendo una distinzione netta tra lo stato quiescente e l'attività metabolica attiva.</w:t>
      </w:r>
    </w:p>
    <w:p xmlns:wp14="http://schemas.microsoft.com/office/word/2010/wordml" wp14:paraId="0EB0D1C5" wp14:textId="74470E83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La caratterizzazione ha messo a confronto due specie chiave:</w:t>
      </w:r>
    </w:p>
    <w:p xmlns:wp14="http://schemas.microsoft.com/office/word/2010/wordml" w:rsidP="43571CE2" wp14:paraId="094A3782" wp14:textId="648E8DA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Aspergillus Penicilloides: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Organismo xerofilo (si sviluppa in ambienti aridi), ideale per scenari di scarsità d'acqua ma caratterizzato da una cinetica di crescita lenta.</w:t>
      </w:r>
    </w:p>
    <w:p xmlns:wp14="http://schemas.microsoft.com/office/word/2010/wordml" w:rsidP="43571CE2" wp14:paraId="3E83BDB3" wp14:textId="3251D6F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Aspergillus Niger: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Scelto per la fase di test per la velocità di risposta e l'abbondante produzione di spore.</w:t>
      </w:r>
    </w:p>
    <w:p xmlns:wp14="http://schemas.microsoft.com/office/word/2010/wordml" wp14:paraId="2EE5BA16" wp14:textId="3FA4FA5D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Le spore analizzate presentano dimensioni comprese tra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3 e 7/8 µm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. Il protocollo di monitoraggio segue finestre temporali precise: il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turgore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(aumento volumetrico di pochi micrometri) è visualizzabile dopo circa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6 ore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, mentre la comparsa del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tubetto germinativo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(ifa) avviene mediamente dopo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12 ore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. Ai fini dell'automazione, la misurazione dell'aumento di densità e dell'area occupata è stata giudicata superiore alla misurazione della lunghezza del tubetto germinativo; quest'ultimo, crescendo, potrebbe uscire dal campo visivo di 4 mm^2, rendendo il dato parziale o inutilizzabile. La stabilità del campione è garantita: una volta depositate nel pozzetto, le spore rimangono ferme, permettendo un monitoraggio continuo dello stesso punto.</w:t>
      </w:r>
    </w:p>
    <w:p xmlns:wp14="http://schemas.microsoft.com/office/word/2010/wordml" w:rsidP="43571CE2" wp14:paraId="268AE159" wp14:textId="12B63A26">
      <w:pPr>
        <w:pStyle w:val="Heading2"/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3. Configurazione del Setup Sperimentale e Controllo Ambientale</w:t>
      </w:r>
    </w:p>
    <w:p xmlns:wp14="http://schemas.microsoft.com/office/word/2010/wordml" wp14:paraId="199DFC6B" wp14:textId="21051C78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La replicabilità dei dati biologici è subordinata al controllo rigoroso delle variabili ambientali. Il setup attuale prevede una "campana" di test concepita come una struttura a pallone divisa in due comparti: una sezione inferiore contenente acqua e sali per la regolazione igroscopica e una superiore dedicata all'alloggiamento del sensore e del campione. Sebbene la germinazione possa iniziare a un'umidità relativa del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68%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, il target ottimale per la saturazione della campana è stato fissato tra l'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80% e il 95%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.</w:t>
      </w:r>
    </w:p>
    <w:p xmlns:wp14="http://schemas.microsoft.com/office/word/2010/wordml" wp14:paraId="72DD571A" wp14:textId="62EF9EF5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L'integrità del supporto è stata oggetto di analisi specifica:</w:t>
      </w:r>
    </w:p>
    <w:p xmlns:wp14="http://schemas.microsoft.com/office/word/2010/wordml" w:rsidP="43571CE2" wp14:paraId="0FBCBE70" wp14:textId="0AD93E7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Membrane Igroscopiche: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L'uso di acetato di cellulosa garantisce uno scambio continuo di vapore, regolando l'umidità interna ed evitando condensazioni parassite.</w:t>
      </w:r>
    </w:p>
    <w:p xmlns:wp14="http://schemas.microsoft.com/office/word/2010/wordml" w:rsidP="43571CE2" wp14:paraId="154C0B3C" wp14:textId="0CE30AA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Supporto Planare: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risolvere i problemi di tensione delle membrane, il protocollo suggerisce l'impiego di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cellulosa rigenerata da laboratorio (cellophane)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montata su telaio rigido. Questa soluzione assicura una superficie tesa e planare, fondamentale per mantenere il fuoco ottico costante.</w:t>
      </w:r>
    </w:p>
    <w:p xmlns:wp14="http://schemas.microsoft.com/office/word/2010/wordml" w:rsidP="43571CE2" wp14:paraId="3C2FB6C1" wp14:textId="5A751BF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Materiali valutati: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Sono stati testati film fotografici, PE e triacetati di cellulosa; tuttavia, il supporto rigido rimane la scelta preferenziale per ridurre le interferenze meccaniche durante l'acquisizione.</w:t>
      </w:r>
    </w:p>
    <w:p xmlns:wp14="http://schemas.microsoft.com/office/word/2010/wordml" wp14:paraId="40F07454" wp14:textId="2F9E7035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Questa stabilità fisica permette di procedere alla fase di acquisizione digitale tramite l'infrastruttura hardware dedicata.</w:t>
      </w:r>
    </w:p>
    <w:p xmlns:wp14="http://schemas.microsoft.com/office/word/2010/wordml" w:rsidP="43571CE2" wp14:paraId="613E8F6A" wp14:textId="769711D8">
      <w:pPr>
        <w:pStyle w:val="Heading2"/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4. Infrastruttura Hardware e Integrazione Software</w:t>
      </w:r>
    </w:p>
    <w:p xmlns:wp14="http://schemas.microsoft.com/office/word/2010/wordml" wp14:paraId="738A5995" wp14:textId="4EF89E62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L'infrastruttura di monitoraggio remoto è centrata su piattaforma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Raspberry Pi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, configurata come unità di elaborazione Edge. Per garantire la massima efficienza dei processi, il sistema opera in modalità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Headless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(senza interfaccia desktop). È stata esplicitamente rigettata l'opzione Raspberry Pi Connect a favore di una gestione via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SSH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ed estensione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VSCode Remote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, riducendo l'overhead del sistema operativo.</w:t>
      </w:r>
    </w:p>
    <w:p xmlns:wp14="http://schemas.microsoft.com/office/word/2010/wordml" wp14:paraId="083D6BDC" wp14:textId="2AF1CDBE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Il workflow di configurazione ha seguito passaggi tecnici rigorosi:</w:t>
      </w:r>
    </w:p>
    <w:p xmlns:wp14="http://schemas.microsoft.com/office/word/2010/wordml" w:rsidP="43571CE2" wp14:paraId="0103D976" wp14:textId="70DEC31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Inizializzazione: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Flash dell'OS tramite Raspberry Pi Imager e configurazione dei parametri di rete.</w:t>
      </w:r>
    </w:p>
    <w:p xmlns:wp14="http://schemas.microsoft.com/office/word/2010/wordml" w:rsidP="43571CE2" wp14:paraId="5E891A0A" wp14:textId="5E87E32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Gestione Dipendenze: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Utilizzo del packet manager </w:t>
      </w:r>
      <w:r w:rsidRPr="43571CE2" w:rsidR="556C5490">
        <w:rPr>
          <w:rFonts w:ascii="Consolas" w:hAnsi="Consolas" w:eastAsia="Consolas" w:cs="Consolas"/>
          <w:noProof w:val="0"/>
          <w:sz w:val="24"/>
          <w:szCs w:val="24"/>
          <w:lang w:val="it-IT"/>
        </w:rPr>
        <w:t>uv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l'isolamento dell'ambiente. Comando critico eseguito: </w:t>
      </w:r>
      <w:r w:rsidRPr="43571CE2" w:rsidR="556C5490">
        <w:rPr>
          <w:rFonts w:ascii="Consolas" w:hAnsi="Consolas" w:eastAsia="Consolas" w:cs="Consolas"/>
          <w:noProof w:val="0"/>
          <w:sz w:val="24"/>
          <w:szCs w:val="24"/>
          <w:lang w:val="it-IT"/>
        </w:rPr>
        <w:t>uv venv --system-site-packages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garantire l'accesso alle librerie di sistema come </w:t>
      </w:r>
      <w:r w:rsidRPr="43571CE2" w:rsidR="556C5490">
        <w:rPr>
          <w:rFonts w:ascii="Consolas" w:hAnsi="Consolas" w:eastAsia="Consolas" w:cs="Consolas"/>
          <w:noProof w:val="0"/>
          <w:sz w:val="24"/>
          <w:szCs w:val="24"/>
          <w:lang w:val="it-IT"/>
        </w:rPr>
        <w:t>Picamera2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.</w:t>
      </w:r>
    </w:p>
    <w:p xmlns:wp14="http://schemas.microsoft.com/office/word/2010/wordml" w:rsidP="43571CE2" wp14:paraId="5FF6C925" wp14:textId="0986356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Core Libraries: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Installazione di </w:t>
      </w:r>
      <w:r w:rsidRPr="43571CE2" w:rsidR="556C5490">
        <w:rPr>
          <w:rFonts w:ascii="Consolas" w:hAnsi="Consolas" w:eastAsia="Consolas" w:cs="Consolas"/>
          <w:noProof w:val="0"/>
          <w:sz w:val="24"/>
          <w:szCs w:val="24"/>
          <w:lang w:val="it-IT"/>
        </w:rPr>
        <w:t>OpenCV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e </w:t>
      </w:r>
      <w:r w:rsidRPr="43571CE2" w:rsidR="556C5490">
        <w:rPr>
          <w:rFonts w:ascii="Consolas" w:hAnsi="Consolas" w:eastAsia="Consolas" w:cs="Consolas"/>
          <w:noProof w:val="0"/>
          <w:sz w:val="24"/>
          <w:szCs w:val="24"/>
          <w:lang w:val="it-IT"/>
        </w:rPr>
        <w:t>NumPy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il processing dell'immagine.</w:t>
      </w:r>
    </w:p>
    <w:p xmlns:wp14="http://schemas.microsoft.com/office/word/2010/wordml" w:rsidP="43571CE2" wp14:paraId="03E3C98A" wp14:textId="50A0756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Testing Modulare: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Il codice è stato preventivamente validato "senza camera" utilizzando dataset locali, garantendo la robustezza della logica di analisi prima dell'integrazione hardware.</w:t>
      </w:r>
    </w:p>
    <w:p xmlns:wp14="http://schemas.microsoft.com/office/word/2010/wordml" wp14:paraId="6BFA6B70" wp14:textId="33A07229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L'integrazione della HQ Camera introduce la necessità della calibrazione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micrometro/pixel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mediante oggetto noto (es. vetrino micrometrico). Senza questo passaggio, ogni misurazione biologica rimarrebbe una mera stima priva di valore scientifico. Tale calibrazione è il ponte che permette di visualizzare con precisione i fenomeni di turgore precedentemente descritti.</w:t>
      </w:r>
    </w:p>
    <w:p xmlns:wp14="http://schemas.microsoft.com/office/word/2010/wordml" w:rsidP="43571CE2" wp14:paraId="44B58931" wp14:textId="5CCC6590">
      <w:pPr>
        <w:pStyle w:val="Heading2"/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5. Validazione del Sistema di Visione e Prototipazione Ottica</w:t>
      </w:r>
    </w:p>
    <w:p xmlns:wp14="http://schemas.microsoft.com/office/word/2010/wordml" w:rsidP="43571CE2" wp14:paraId="000ABEC0" wp14:textId="32574E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Il successo della rilevazione automatica dipende dalla capacità del sistema di distinguere le spore (target 10^5 di concentrazione) da falsi positivi quali polvere, bolle d'aria o artefatti visivi. Durante la fase di calibrazione dell'illuminazione, particolare attenzione </w:t>
      </w:r>
      <w:r w:rsidRPr="43571CE2" w:rsidR="27ED56C8">
        <w:rPr>
          <w:rFonts w:ascii="Calibri" w:hAnsi="Calibri" w:eastAsia="Calibri" w:cs="Calibri"/>
          <w:noProof w:val="0"/>
          <w:sz w:val="24"/>
          <w:szCs w:val="24"/>
          <w:lang w:val="it-IT"/>
        </w:rPr>
        <w:t>sarà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posta alla mitigazione di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aloni, bordi e riflessi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generati dall'interazione tra la luce e la membrana di cellulosa.</w:t>
      </w:r>
    </w:p>
    <w:p xmlns:wp14="http://schemas.microsoft.com/office/word/2010/wordml" wp14:paraId="69D7B8EA" wp14:textId="509BC706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Specifiche tecniche del setup ottico:</w:t>
      </w:r>
    </w:p>
    <w:p xmlns:wp14="http://schemas.microsoft.com/office/word/2010/wordml" w:rsidP="43571CE2" wp14:paraId="00ABE9A3" wp14:textId="55EA8F3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Ottica: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Obiettivo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10x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con risoluzione fino a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4 µm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, ottimale per la dimensione delle spore (3-7/8 µm).</w:t>
      </w:r>
    </w:p>
    <w:p xmlns:wp14="http://schemas.microsoft.com/office/word/2010/wordml" w:rsidP="43571CE2" wp14:paraId="0A218C5D" wp14:textId="5FBFC8C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Supporto Campione: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Pozzetti con diametro di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0,5 cm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, altezza compresa tra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6 mm e 10 mm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e spessore di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1 mm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. Il fondo piatto è obbligatorio per garantire la planarità del piano focale rispetto ai pozzetti concavi.</w:t>
      </w:r>
    </w:p>
    <w:p xmlns:wp14="http://schemas.microsoft.com/office/word/2010/wordml" w:rsidP="43571CE2" wp14:paraId="3AD0FF5D" wp14:textId="1E0B7CD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Architettura Meccanica: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Sebbene il setup 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SeedStudio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sia eccellente per esperimenti sulla luce, la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CoreBox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UC2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43571CE2" w:rsidR="77780BDD">
        <w:rPr>
          <w:rFonts w:ascii="Calibri" w:hAnsi="Calibri" w:eastAsia="Calibri" w:cs="Calibri"/>
          <w:noProof w:val="0"/>
          <w:sz w:val="24"/>
          <w:szCs w:val="24"/>
          <w:lang w:val="it-IT"/>
        </w:rPr>
        <w:t>sarebbe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preferita per le analisi biologiche grazie alla modularità dei suoi cubi da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50x50x50 mm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, che offrono una flessibilità superiore nell'alloggiamento dei componenti.</w:t>
      </w:r>
    </w:p>
    <w:p xmlns:wp14="http://schemas.microsoft.com/office/word/2010/wordml" w:rsidP="43571CE2" wp14:paraId="1072D1FB" wp14:textId="57DDDCE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Parametri Operativi: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Acquisizione di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una foto all'ora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. L'illuminazione LED viene attivata esclusivamente durante lo scatto per prevenire stress termici sul campione.</w:t>
      </w:r>
    </w:p>
    <w:p xmlns:wp14="http://schemas.microsoft.com/office/word/2010/wordml" w:rsidP="43571CE2" wp14:paraId="4CE4676A" wp14:textId="191A38C1">
      <w:pPr>
        <w:pStyle w:val="Heading2"/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6. Prospettive di Sviluppo e Gestione delle Criticità</w:t>
      </w:r>
    </w:p>
    <w:p xmlns:wp14="http://schemas.microsoft.com/office/word/2010/wordml" wp14:paraId="58FFC4D6" wp14:textId="35AD928B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L'avanzamento del progetto è solido, ma l'analisi R&amp;D ha evidenziato criticità operative che richiedono risoluzione immediata. La gestione del cablaggio all'interno della campana sigillata e la prevenzione della contaminazione tra ceppi di spore differenti rappresentano le priorità per la prossima settimana.</w:t>
      </w:r>
    </w:p>
    <w:p xmlns:wp14="http://schemas.microsoft.com/office/word/2010/wordml" wp14:paraId="024D82DB" wp14:textId="7059AEF4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Sul piano biotecnologico, l'eventuale sviluppo futuro verso sensori basati su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Green Fluorescent Protein (GFP)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è stato classificato come attività ad alta complessità, richiedente competenze biotecnologiche avanzate per l'integrazione tra segnalazione biologica e sensore fisico.</w:t>
      </w:r>
    </w:p>
    <w:p xmlns:wp14="http://schemas.microsoft.com/office/word/2010/wordml" wp14:paraId="57A025DD" wp14:textId="5BD909DF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I prossimi step operativi includono:</w:t>
      </w:r>
    </w:p>
    <w:p xmlns:wp14="http://schemas.microsoft.com/office/word/2010/wordml" w:rsidP="43571CE2" wp14:paraId="349B326D" wp14:textId="0E62A7B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Implementazione di servizi </w:t>
      </w:r>
      <w:r w:rsidRPr="43571CE2" w:rsidR="556C5490">
        <w:rPr>
          <w:rFonts w:ascii="Consolas" w:hAnsi="Consolas" w:eastAsia="Consolas" w:cs="Consolas"/>
          <w:noProof w:val="0"/>
          <w:sz w:val="24"/>
          <w:szCs w:val="24"/>
          <w:lang w:val="it-IT"/>
        </w:rPr>
        <w:t>systemd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l'automatizzazione dei processi di avvio (script </w:t>
      </w:r>
      <w:r w:rsidRPr="43571CE2" w:rsidR="556C5490">
        <w:rPr>
          <w:rFonts w:ascii="Consolas" w:hAnsi="Consolas" w:eastAsia="Consolas" w:cs="Consolas"/>
          <w:noProof w:val="0"/>
          <w:sz w:val="24"/>
          <w:szCs w:val="24"/>
          <w:lang w:val="it-IT"/>
        </w:rPr>
        <w:t>run-sensor.sh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).</w:t>
      </w:r>
    </w:p>
    <w:p xmlns:wp14="http://schemas.microsoft.com/office/word/2010/wordml" w:rsidP="43571CE2" wp14:paraId="38F70737" wp14:textId="57B16EE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Configurazione di un sistema di </w:t>
      </w:r>
      <w:r w:rsidRPr="43571CE2" w:rsidR="556C54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salvataggio locale dei dati</w:t>
      </w:r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garantire la continuità del dataset in caso di interruzione della connessione MQTT.</w:t>
      </w:r>
    </w:p>
    <w:p xmlns:wp14="http://schemas.microsoft.com/office/word/2010/wordml" wp14:paraId="4F8F4832" wp14:textId="4C8DC8B6">
      <w:r w:rsidRPr="43571CE2" w:rsidR="556C5490">
        <w:rPr>
          <w:rFonts w:ascii="Calibri" w:hAnsi="Calibri" w:eastAsia="Calibri" w:cs="Calibri"/>
          <w:noProof w:val="0"/>
          <w:sz w:val="24"/>
          <w:szCs w:val="24"/>
          <w:lang w:val="it-IT"/>
        </w:rPr>
        <w:t>Il progresso registrato conferma la correttezza della direzione intrapresa, consolidando le basi per un "Sensore Biologico" pienamente funzionale e autonomo.</w:t>
      </w:r>
    </w:p>
    <w:p xmlns:wp14="http://schemas.microsoft.com/office/word/2010/wordml" w:rsidP="43571CE2" wp14:paraId="1B8B5055" wp14:textId="0EFD1C2C">
      <w:pPr>
        <w:bidi w:val="0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43571CE2" w:rsidR="2D9A7E1A">
        <w:rPr>
          <w:rFonts w:ascii="Calibri" w:hAnsi="Calibri" w:eastAsia="Calibri" w:cs="Calibri"/>
          <w:noProof w:val="0"/>
          <w:sz w:val="24"/>
          <w:szCs w:val="24"/>
          <w:lang w:val="it-IT"/>
        </w:rPr>
        <w:t>In questo momento si sta attendendo l’arrivo della camera HQ per procedere al montaggio e alla calibrazione, necessaria per avviare la fase di test.</w:t>
      </w:r>
    </w:p>
    <w:p xmlns:wp14="http://schemas.microsoft.com/office/word/2010/wordml" wp14:paraId="2DC08235" wp14:textId="368AA47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1d0b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7c4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7e51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c4e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950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5E74F"/>
    <w:rsid w:val="13895234"/>
    <w:rsid w:val="24FE8BA0"/>
    <w:rsid w:val="27ED56C8"/>
    <w:rsid w:val="2D9A7E1A"/>
    <w:rsid w:val="2E1B026B"/>
    <w:rsid w:val="3FF92BBD"/>
    <w:rsid w:val="43571CE2"/>
    <w:rsid w:val="46251B96"/>
    <w:rsid w:val="46A5E74F"/>
    <w:rsid w:val="556C5490"/>
    <w:rsid w:val="5FB65FF0"/>
    <w:rsid w:val="5FB65FF0"/>
    <w:rsid w:val="7778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473C"/>
  <w15:chartTrackingRefBased/>
  <w15:docId w15:val="{76BE9625-006F-4059-BE5B-395B51D105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571C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571C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3571CE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b0b0e49f624c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2026-06-15T07:30:13.6475873Z</dcterms:created>
  <dcterms:modified xsi:type="dcterms:W3CDTF">2026-06-15T07:39:35.8459584Z</dcterms:modified>
  <dc:creator>pierpaolo</dc:creator>
  <lastModifiedBy>pierpaolo</lastModifiedBy>
</coreProperties>
</file>