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BF3FA11" wp14:paraId="2C0A09DF" wp14:textId="0DF3C5E2">
      <w:pPr>
        <w:pStyle w:val="Heading1"/>
      </w:pPr>
      <w:r w:rsidRPr="3BF3FA11" w:rsidR="35D0A0C4">
        <w:rPr>
          <w:rFonts w:ascii="Aptos" w:hAnsi="Aptos" w:eastAsia="Aptos" w:cs="Aptos"/>
          <w:noProof w:val="0"/>
          <w:sz w:val="24"/>
          <w:szCs w:val="24"/>
          <w:lang w:val="it-IT"/>
        </w:rPr>
        <w:t>Report Settimanale di Progetto: Definizione del Sistema Ottico e Hardware per il Rilevamento di Spore</w:t>
      </w:r>
    </w:p>
    <w:p xmlns:wp14="http://schemas.microsoft.com/office/word/2010/wordml" w:rsidP="3BF3FA11" wp14:paraId="4B12A8E7" wp14:textId="3665F44B">
      <w:pPr>
        <w:pStyle w:val="Heading2"/>
      </w:pPr>
      <w:r w:rsidRPr="3BF3FA11" w:rsidR="35D0A0C4">
        <w:rPr>
          <w:rFonts w:ascii="Aptos" w:hAnsi="Aptos" w:eastAsia="Aptos" w:cs="Aptos"/>
          <w:noProof w:val="0"/>
          <w:sz w:val="24"/>
          <w:szCs w:val="24"/>
          <w:lang w:val="it-IT"/>
        </w:rPr>
        <w:t>1. Visione Strategica e Sintesi delle Scelte Progettuali</w:t>
      </w:r>
    </w:p>
    <w:p xmlns:wp14="http://schemas.microsoft.com/office/word/2010/wordml" wp14:paraId="1369E67A" wp14:textId="4B701C59">
      <w:r w:rsidRPr="3BF3FA11" w:rsidR="35D0A0C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La Settimana 3 ha segnato un punto di svolta decisivo nella definizione della fattibilità tecnica, imponendo un cambio di paradigma: la transizione da un approccio software-driven a una strategia </w:t>
      </w:r>
      <w:r w:rsidRPr="3BF3FA11" w:rsidR="35D0A0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hardware-centrica</w:t>
      </w:r>
      <w:r w:rsidRPr="3BF3FA11" w:rsidR="35D0A0C4">
        <w:rPr>
          <w:rFonts w:ascii="Aptos" w:hAnsi="Aptos" w:eastAsia="Aptos" w:cs="Aptos"/>
          <w:noProof w:val="0"/>
          <w:sz w:val="24"/>
          <w:szCs w:val="24"/>
          <w:lang w:val="it-IT"/>
        </w:rPr>
        <w:t>. I requisiti di sistema hanno dettato questo spostamento, basandosi sul principio ingegneristico fondamentale per cui l'intelligenza artificiale non può ricostruire informazioni che il sistema ottico non ha acquisito fisicamente.</w:t>
      </w:r>
    </w:p>
    <w:p xmlns:wp14="http://schemas.microsoft.com/office/word/2010/wordml" w:rsidP="3BF3FA11" wp14:paraId="2A49F3E1" wp14:textId="47F38AC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3BF3FA11" w:rsidR="35D0A0C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L'affidabilità del sistema poggia sulla </w:t>
      </w:r>
      <w:r w:rsidRPr="3BF3FA11" w:rsidR="35D0A0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"regola dei pixel"</w:t>
      </w:r>
      <w:r w:rsidRPr="3BF3FA11" w:rsidR="35D0A0C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, derivata dalla necessità di avere un margine geometrico sufficiente per l'analisi morfologica (area, </w:t>
      </w:r>
      <w:r w:rsidRPr="3BF3FA11" w:rsidR="35D0A0C4">
        <w:rPr>
          <w:rFonts w:ascii="Aptos" w:hAnsi="Aptos" w:eastAsia="Aptos" w:cs="Aptos"/>
          <w:noProof w:val="0"/>
          <w:sz w:val="24"/>
          <w:szCs w:val="24"/>
          <w:lang w:val="it-IT"/>
        </w:rPr>
        <w:t>aspect</w:t>
      </w:r>
      <w:r w:rsidRPr="3BF3FA11" w:rsidR="35D0A0C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ratio e stato di germinazione). Per garantire che una spora di 10 µm non sia un mero artefatto, il sistema deve garantire un diametro di acquisizione di almeno </w:t>
      </w:r>
      <w:r w:rsidRPr="3BF3FA11" w:rsidR="0D5BCAF9">
        <w:rPr>
          <w:rFonts w:ascii="Aptos" w:hAnsi="Aptos" w:eastAsia="Aptos" w:cs="Aptos"/>
          <w:noProof w:val="0"/>
          <w:sz w:val="24"/>
          <w:szCs w:val="24"/>
          <w:lang w:val="it-IT"/>
        </w:rPr>
        <w:t>15-30</w:t>
      </w:r>
      <w:r w:rsidRPr="3BF3FA11" w:rsidR="35D0A0C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pixel. Tale densità campionaria, ispirata ai criteri del teorema di Nyquist-Shannon per la fedeltà del segnale, è il prerequisito non negoziabile per innestare qualsiasi pipeline di classificazione affidabile.</w:t>
      </w:r>
    </w:p>
    <w:p xmlns:wp14="http://schemas.microsoft.com/office/word/2010/wordml" w:rsidP="3BF3FA11" wp14:paraId="45A3F590" wp14:textId="004FDAC2">
      <w:pPr>
        <w:pStyle w:val="Heading2"/>
      </w:pPr>
      <w:r w:rsidRPr="3BF3FA11" w:rsidR="35D0A0C4">
        <w:rPr>
          <w:rFonts w:ascii="Aptos" w:hAnsi="Aptos" w:eastAsia="Aptos" w:cs="Aptos"/>
          <w:noProof w:val="0"/>
          <w:sz w:val="24"/>
          <w:szCs w:val="24"/>
          <w:lang w:val="it-IT"/>
        </w:rPr>
        <w:t>2. Architettura Hardware e Vincoli di Interfaccia</w:t>
      </w:r>
    </w:p>
    <w:p xmlns:wp14="http://schemas.microsoft.com/office/word/2010/wordml" wp14:paraId="79688CF1" wp14:textId="77D373EC">
      <w:r w:rsidRPr="3BF3FA11" w:rsidR="35D0A0C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L'architettura hardware è condizionata dai vincoli del </w:t>
      </w:r>
      <w:r w:rsidRPr="3BF3FA11" w:rsidR="35D0A0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RevPi Core S</w:t>
      </w:r>
      <w:r w:rsidRPr="3BF3FA11" w:rsidR="35D0A0C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, un'unità industriale che, a differenza dei Raspberry Pi consumer, non dispone di connettore CSI. Questa limitazione è stata trasformata in un vantaggio strategico: l'adozione dello standard </w:t>
      </w:r>
      <w:r w:rsidRPr="3BF3FA11" w:rsidR="35D0A0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USB con attacco C/CS-mount</w:t>
      </w:r>
      <w:r w:rsidRPr="3BF3FA11" w:rsidR="35D0A0C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permette di svincolarsi dall'ecosistema proprietario Raspberry Pi, abilitando l'uso di ottiche industriali standard e garantendo stabilità operativa in ambiente Linux.</w:t>
      </w:r>
    </w:p>
    <w:p xmlns:wp14="http://schemas.microsoft.com/office/word/2010/wordml" wp14:paraId="65B903A9" wp14:textId="0F2A49AC">
      <w:r w:rsidRPr="755903BA" w:rsidR="10B008EA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L'integrazione di un </w:t>
      </w:r>
      <w:r w:rsidRPr="755903BA" w:rsidR="10B008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ESP32</w:t>
      </w:r>
      <w:r w:rsidRPr="755903BA" w:rsidR="10B008EA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è stata declassata da unità di calcolo (ritenuta inadatta per </w:t>
      </w:r>
      <w:r w:rsidRPr="755903BA" w:rsidR="10B008EA">
        <w:rPr>
          <w:rFonts w:ascii="Aptos" w:hAnsi="Aptos" w:eastAsia="Aptos" w:cs="Aptos"/>
          <w:noProof w:val="0"/>
          <w:sz w:val="24"/>
          <w:szCs w:val="24"/>
          <w:lang w:val="it-IT"/>
        </w:rPr>
        <w:t>OpenCV</w:t>
      </w:r>
      <w:r w:rsidRPr="755903BA" w:rsidR="10B008EA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) </w:t>
      </w:r>
    </w:p>
    <w:p xmlns:wp14="http://schemas.microsoft.com/office/word/2010/wordml" w:rsidP="3BF3FA11" wp14:paraId="27ED56C4" wp14:textId="0DE943AB">
      <w:pPr>
        <w:pStyle w:val="Heading2"/>
      </w:pPr>
      <w:r w:rsidRPr="3BF3FA11" w:rsidR="35D0A0C4">
        <w:rPr>
          <w:rFonts w:ascii="Aptos" w:hAnsi="Aptos" w:eastAsia="Aptos" w:cs="Aptos"/>
          <w:noProof w:val="0"/>
          <w:sz w:val="24"/>
          <w:szCs w:val="24"/>
          <w:lang w:val="it-IT"/>
        </w:rPr>
        <w:t>3. Valutazione delle Soluzioni Ottiche e Calcoli di Risoluzione</w:t>
      </w:r>
    </w:p>
    <w:p xmlns:wp14="http://schemas.microsoft.com/office/word/2010/wordml" wp14:paraId="71C2CCF8" wp14:textId="30A0414D">
      <w:r w:rsidRPr="3BF3FA11" w:rsidR="35D0A0C4">
        <w:rPr>
          <w:rFonts w:ascii="Aptos" w:hAnsi="Aptos" w:eastAsia="Aptos" w:cs="Aptos"/>
          <w:noProof w:val="0"/>
          <w:sz w:val="24"/>
          <w:szCs w:val="24"/>
          <w:lang w:val="it-IT"/>
        </w:rPr>
        <w:t>La risoluzione micrometrica è il parametro critico che determina la capacità del sistema di discriminare la morfologia delle spore. Con un sensore IMX415 (pixel pitch di 1.45 µm), abbiamo analizzato due configurazioni ottiche principali:</w:t>
      </w:r>
    </w:p>
    <w:p xmlns:wp14="http://schemas.microsoft.com/office/word/2010/wordml" w:rsidP="3BF3FA11" wp14:paraId="0BE466E3" wp14:textId="58E2F43E">
      <w:pPr>
        <w:pStyle w:val="Heading3"/>
      </w:pPr>
      <w:r w:rsidRPr="3BF3FA11" w:rsidR="35D0A0C4">
        <w:rPr>
          <w:rFonts w:ascii="Aptos" w:hAnsi="Aptos" w:eastAsia="Aptos" w:cs="Aptos"/>
          <w:noProof w:val="0"/>
          <w:sz w:val="24"/>
          <w:szCs w:val="24"/>
          <w:lang w:val="it-IT"/>
        </w:rPr>
        <w:t>Zoom Ottico Zongmai (0.7x - 5.6x)</w:t>
      </w:r>
    </w:p>
    <w:p xmlns:wp14="http://schemas.microsoft.com/office/word/2010/wordml" wp14:paraId="7AF4135C" wp14:textId="0AA6456A">
      <w:r w:rsidRPr="3BF3FA11" w:rsidR="35D0A0C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Questa soluzione (costo ~67€) è stata validata come </w:t>
      </w:r>
      <w:r w:rsidRPr="3BF3FA11" w:rsidR="35D0A0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"OTTIMA"</w:t>
      </w:r>
      <w:r w:rsidRPr="3BF3FA11" w:rsidR="35D0A0C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per la flessibilità operativa.</w:t>
      </w:r>
    </w:p>
    <w:p xmlns:wp14="http://schemas.microsoft.com/office/word/2010/wordml" w:rsidP="3BF3FA11" wp14:paraId="6AC2AF5C" wp14:textId="62A4D820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BF3FA11" w:rsidR="35D0A0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Risoluzione al massimo ingrandimento (5.6x):</w:t>
      </w:r>
      <w:r w:rsidRPr="3BF3FA11" w:rsidR="35D0A0C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1.45\,\mu\text{m} / 5.6 = 0.26\,\mu\text{m/pixel}.</w:t>
      </w:r>
    </w:p>
    <w:p xmlns:wp14="http://schemas.microsoft.com/office/word/2010/wordml" w:rsidP="3BF3FA11" wp14:paraId="15723F2F" wp14:textId="4A3C61FB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BF3FA11" w:rsidR="35D0A0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Diametro Spora (10 µm):</w:t>
      </w:r>
      <w:r w:rsidRPr="3BF3FA11" w:rsidR="35D0A0C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\approx \mathbf{38\,pixel}. Supera la soglia critica di 32 pixel fissata per una segmentazione di alta qualità.</w:t>
      </w:r>
    </w:p>
    <w:p xmlns:wp14="http://schemas.microsoft.com/office/word/2010/wordml" w:rsidP="3BF3FA11" wp14:paraId="6AF44F65" wp14:textId="569E3A40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BF3FA11" w:rsidR="35D0A0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Area Occupata:</w:t>
      </w:r>
      <w:r w:rsidRPr="3BF3FA11" w:rsidR="35D0A0C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A = \pi \times r^2 \approx \mathbf{1133\,pixel}. Questa densità di dati permette l'uso di </w:t>
      </w:r>
      <w:r w:rsidRPr="3BF3FA11" w:rsidR="35D0A0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Region of Interest (ROI)</w:t>
      </w:r>
      <w:r w:rsidRPr="3BF3FA11" w:rsidR="35D0A0C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in OpenCV, ottimizzando i tempi di calcolo senza degradare la precisione.</w:t>
      </w:r>
    </w:p>
    <w:p xmlns:wp14="http://schemas.microsoft.com/office/word/2010/wordml" w:rsidP="3BF3FA11" wp14:paraId="6E2B83FF" wp14:textId="3BFEF672">
      <w:pPr>
        <w:pStyle w:val="Heading3"/>
      </w:pPr>
      <w:r w:rsidRPr="3BF3FA11" w:rsidR="35D0A0C4">
        <w:rPr>
          <w:rFonts w:ascii="Aptos" w:hAnsi="Aptos" w:eastAsia="Aptos" w:cs="Aptos"/>
          <w:noProof w:val="0"/>
          <w:sz w:val="24"/>
          <w:szCs w:val="24"/>
          <w:lang w:val="it-IT"/>
        </w:rPr>
        <w:t>Obiettivo da Microscopio 10x</w:t>
      </w:r>
    </w:p>
    <w:p xmlns:wp14="http://schemas.microsoft.com/office/word/2010/wordml" wp14:paraId="34780DEB" wp14:textId="680F47A4">
      <w:r w:rsidRPr="3BF3FA11" w:rsidR="35D0A0C4">
        <w:rPr>
          <w:rFonts w:ascii="Aptos" w:hAnsi="Aptos" w:eastAsia="Aptos" w:cs="Aptos"/>
          <w:noProof w:val="0"/>
          <w:sz w:val="24"/>
          <w:szCs w:val="24"/>
          <w:lang w:val="it-IT"/>
        </w:rPr>
        <w:t>Rappresenta lo standard di precisione per il rilevamento avanzato.</w:t>
      </w:r>
    </w:p>
    <w:p xmlns:wp14="http://schemas.microsoft.com/office/word/2010/wordml" w:rsidP="3BF3FA11" wp14:paraId="770BB947" wp14:textId="445537BF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BF3FA11" w:rsidR="35D0A0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Specifiche:</w:t>
      </w:r>
      <w:r w:rsidRPr="3BF3FA11" w:rsidR="35D0A0C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10x / 0.25 / 160 / 0.17.</w:t>
      </w:r>
    </w:p>
    <w:p xmlns:wp14="http://schemas.microsoft.com/office/word/2010/wordml" w:rsidP="3BF3FA11" wp14:paraId="6AE6213F" wp14:textId="056D4974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BF3FA11" w:rsidR="35D0A0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Risoluzione al sensore:</w:t>
      </w:r>
      <w:r w:rsidRPr="3BF3FA11" w:rsidR="35D0A0C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Con ingrandimento 10x e pixel pitch 1.45 µm, la risoluzione è di </w:t>
      </w:r>
      <w:r w:rsidRPr="3BF3FA11" w:rsidR="35D0A0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0.145 µm/pixel</w:t>
      </w:r>
      <w:r w:rsidRPr="3BF3FA11" w:rsidR="35D0A0C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, portando il diametro di una spora da 10 µm a circa </w:t>
      </w:r>
      <w:r w:rsidRPr="3BF3FA11" w:rsidR="35D0A0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69 pixel</w:t>
      </w:r>
      <w:r w:rsidRPr="3BF3FA11" w:rsidR="35D0A0C4">
        <w:rPr>
          <w:rFonts w:ascii="Aptos" w:hAnsi="Aptos" w:eastAsia="Aptos" w:cs="Aptos"/>
          <w:noProof w:val="0"/>
          <w:sz w:val="24"/>
          <w:szCs w:val="24"/>
          <w:lang w:val="it-IT"/>
        </w:rPr>
        <w:t>.</w:t>
      </w:r>
    </w:p>
    <w:p xmlns:wp14="http://schemas.microsoft.com/office/word/2010/wordml" w:rsidP="3BF3FA11" wp14:paraId="16B2B84A" wp14:textId="7E6C7FE5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BF3FA11" w:rsidR="35D0A0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Vincoli Meccanici:</w:t>
      </w:r>
      <w:r w:rsidRPr="3BF3FA11" w:rsidR="35D0A0C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Apertura Numerica (NA) 0.25 e Working Distance (WD) estremamente ridotta (5-7 mm).</w:t>
      </w:r>
    </w:p>
    <w:p xmlns:wp14="http://schemas.microsoft.com/office/word/2010/wordml" w:rsidP="3BF3FA11" wp14:paraId="4DED4E6B" wp14:textId="7C5F9487">
      <w:pPr>
        <w:pStyle w:val="Heading2"/>
      </w:pPr>
      <w:r w:rsidRPr="3BF3FA11" w:rsidR="35D0A0C4">
        <w:rPr>
          <w:rFonts w:ascii="Aptos" w:hAnsi="Aptos" w:eastAsia="Aptos" w:cs="Aptos"/>
          <w:noProof w:val="0"/>
          <w:sz w:val="24"/>
          <w:szCs w:val="24"/>
          <w:lang w:val="it-IT"/>
        </w:rPr>
        <w:t>4. Progettazione Meccanica e Sistema di Messa a Fuoco</w:t>
      </w:r>
    </w:p>
    <w:p xmlns:wp14="http://schemas.microsoft.com/office/word/2010/wordml" wp14:paraId="24E67550" wp14:textId="0C46DFB9">
      <w:r w:rsidRPr="3BF3FA11" w:rsidR="35D0A0C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La stabilità meccanica è fondamentale per prevenire il </w:t>
      </w:r>
      <w:r w:rsidRPr="3BF3FA11" w:rsidR="35D0A0C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it-IT"/>
        </w:rPr>
        <w:t>blur</w:t>
      </w:r>
      <w:r w:rsidRPr="3BF3FA11" w:rsidR="35D0A0C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cinetico e mantenere il piano focale. La progettazione del prototipo segue una gerarchia verticale rigorosa. Un punto critico chiarito in questa fase riguarda la specifica "160 mm" dell'obiettivo 10x: essa indica la </w:t>
      </w:r>
      <w:r w:rsidRPr="3BF3FA11" w:rsidR="35D0A0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lunghezza del tubo ottico richiesta</w:t>
      </w:r>
      <w:r w:rsidRPr="3BF3FA11" w:rsidR="35D0A0C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per la corretta proiezione dell'immagine sul sensore, non la distanza di lavoro (WD), che rimane confinata a 5-7 mm dal campione.</w:t>
      </w:r>
    </w:p>
    <w:p xmlns:wp14="http://schemas.microsoft.com/office/word/2010/wordml" wp14:paraId="54892ED3" wp14:textId="4BF2A8C8">
      <w:r w:rsidRPr="3BF3FA11" w:rsidR="35D0A0C4">
        <w:rPr>
          <w:rFonts w:ascii="Aptos" w:hAnsi="Aptos" w:eastAsia="Aptos" w:cs="Aptos"/>
          <w:noProof w:val="0"/>
          <w:sz w:val="24"/>
          <w:szCs w:val="24"/>
          <w:lang w:val="it-IT"/>
        </w:rPr>
        <w:t>Il percorso ottico implementato sarà:</w:t>
      </w:r>
    </w:p>
    <w:p xmlns:wp14="http://schemas.microsoft.com/office/word/2010/wordml" w:rsidP="3BF3FA11" wp14:paraId="337E6071" wp14:textId="12E42516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BF3FA11" w:rsidR="35D0A0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Camera USB:</w:t>
      </w:r>
      <w:r w:rsidRPr="3BF3FA11" w:rsidR="35D0A0C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Sensore IMX415 con adattatore CS-to-C (3€).</w:t>
      </w:r>
    </w:p>
    <w:p xmlns:wp14="http://schemas.microsoft.com/office/word/2010/wordml" w:rsidP="3BF3FA11" wp14:paraId="67125060" wp14:textId="68D15CAF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BF3FA11" w:rsidR="35D0A0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Tubi di estensione:</w:t>
      </w:r>
      <w:r w:rsidRPr="3BF3FA11" w:rsidR="35D0A0C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Necessari per rispettare la lunghezza ottica di 160 mm.</w:t>
      </w:r>
    </w:p>
    <w:p xmlns:wp14="http://schemas.microsoft.com/office/word/2010/wordml" w:rsidP="3BF3FA11" wp14:paraId="1B1DDBBC" wp14:textId="7694A2DA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BF3FA11" w:rsidR="35D0A0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Adattatore RMS-C:</w:t>
      </w:r>
      <w:r w:rsidRPr="3BF3FA11" w:rsidR="35D0A0C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Per l'interfaccia meccanica dell'obiettivo.</w:t>
      </w:r>
    </w:p>
    <w:p xmlns:wp14="http://schemas.microsoft.com/office/word/2010/wordml" w:rsidP="3BF3FA11" wp14:paraId="0FF1FC8E" wp14:textId="5C108681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BF3FA11" w:rsidR="35D0A0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Obiettivo 10x:</w:t>
      </w:r>
      <w:r w:rsidRPr="3BF3FA11" w:rsidR="35D0A0C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Elemento terminale del blocco mobile.</w:t>
      </w:r>
    </w:p>
    <w:p xmlns:wp14="http://schemas.microsoft.com/office/word/2010/wordml" w:rsidP="3BF3FA11" wp14:paraId="12B16506" wp14:textId="4D8114F8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BF3FA11" w:rsidR="35D0A0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Campione:</w:t>
      </w:r>
      <w:r w:rsidRPr="3BF3FA11" w:rsidR="35D0A0C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Su vetrino fisso, illuminato dal basso tramite LED bianco </w:t>
      </w:r>
      <w:r w:rsidRPr="3BF3FA11" w:rsidR="3A4B155D">
        <w:rPr>
          <w:rFonts w:ascii="Aptos" w:hAnsi="Aptos" w:eastAsia="Aptos" w:cs="Aptos"/>
          <w:noProof w:val="0"/>
          <w:sz w:val="24"/>
          <w:szCs w:val="24"/>
          <w:lang w:val="it-IT"/>
        </w:rPr>
        <w:t>(</w:t>
      </w:r>
      <w:r w:rsidRPr="3BF3FA11" w:rsidR="35D0A0C4">
        <w:rPr>
          <w:rFonts w:ascii="Aptos" w:hAnsi="Aptos" w:eastAsia="Aptos" w:cs="Aptos"/>
          <w:noProof w:val="0"/>
          <w:sz w:val="24"/>
          <w:szCs w:val="24"/>
          <w:lang w:val="it-IT"/>
        </w:rPr>
        <w:t>e diffusore opalino</w:t>
      </w:r>
      <w:r w:rsidRPr="3BF3FA11" w:rsidR="130FE37E">
        <w:rPr>
          <w:rFonts w:ascii="Aptos" w:hAnsi="Aptos" w:eastAsia="Aptos" w:cs="Aptos"/>
          <w:noProof w:val="0"/>
          <w:sz w:val="24"/>
          <w:szCs w:val="24"/>
          <w:lang w:val="it-IT"/>
        </w:rPr>
        <w:t>)</w:t>
      </w:r>
      <w:r w:rsidRPr="3BF3FA11" w:rsidR="35D0A0C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per garantire uno sfondo uniforme e facilitare la segmentazione.</w:t>
      </w:r>
    </w:p>
    <w:p xmlns:wp14="http://schemas.microsoft.com/office/word/2010/wordml" wp14:paraId="13A6CC74" wp14:textId="50D0FDF0">
      <w:r w:rsidRPr="3BF3FA11" w:rsidR="35D0A0C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La regolazione del fuoco sarà affidata a una </w:t>
      </w:r>
      <w:r w:rsidRPr="3BF3FA11" w:rsidR="35D0A0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slitta verticale sull'asse Z</w:t>
      </w:r>
      <w:r w:rsidRPr="3BF3FA11" w:rsidR="35D0A0C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, essenziale per la ripetibilità del posizionamento micrometrico.</w:t>
      </w:r>
    </w:p>
    <w:p xmlns:wp14="http://schemas.microsoft.com/office/word/2010/wordml" w:rsidP="3BF3FA11" wp14:paraId="784C21FD" wp14:textId="294AFA8F">
      <w:pPr>
        <w:pStyle w:val="Heading2"/>
      </w:pPr>
      <w:r w:rsidRPr="3BF3FA11" w:rsidR="35D0A0C4">
        <w:rPr>
          <w:rFonts w:ascii="Aptos" w:hAnsi="Aptos" w:eastAsia="Aptos" w:cs="Aptos"/>
          <w:noProof w:val="0"/>
          <w:sz w:val="24"/>
          <w:szCs w:val="24"/>
          <w:lang w:val="it-IT"/>
        </w:rPr>
        <w:t>5. Pipeline Software: OpenCV e Roadmap AI</w:t>
      </w:r>
    </w:p>
    <w:p xmlns:wp14="http://schemas.microsoft.com/office/word/2010/wordml" wp14:paraId="526FDB53" wp14:textId="03F237EA">
      <w:r w:rsidRPr="3BF3FA11" w:rsidR="35D0A0C4">
        <w:rPr>
          <w:rFonts w:ascii="Aptos" w:hAnsi="Aptos" w:eastAsia="Aptos" w:cs="Aptos"/>
          <w:noProof w:val="0"/>
          <w:sz w:val="24"/>
          <w:szCs w:val="24"/>
          <w:lang w:val="it-IT"/>
        </w:rPr>
        <w:t>La strategia software separa nettamente l'estrazione deterministica dei dati dalla classificazione probabilistica:</w:t>
      </w:r>
    </w:p>
    <w:p xmlns:wp14="http://schemas.microsoft.com/office/word/2010/wordml" w:rsidP="3BF3FA11" wp14:paraId="3D695368" wp14:textId="6FB6F612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BF3FA11" w:rsidR="35D0A0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OpenCV (Core Engine):</w:t>
      </w:r>
      <w:r w:rsidRPr="3BF3FA11" w:rsidR="35D0A0C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Utilizzata per la segmentazione, l'estrazione dei contorni e il calcolo dei parametri geometrici (area, perimetro, aspect ratio). La pulizia del dato grezzo ottenuta grazie all'ottica rende questa fase estremamente robusta.</w:t>
      </w:r>
    </w:p>
    <w:p xmlns:wp14="http://schemas.microsoft.com/office/word/2010/wordml" w:rsidP="3BF3FA11" wp14:paraId="3EA4FBE7" wp14:textId="486481A7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BF3FA11" w:rsidR="35D0A0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Roadmap AI (MobileNetV3 Small):</w:t>
      </w:r>
      <w:r w:rsidRPr="3BF3FA11" w:rsidR="35D0A0C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L'integrazione del machine learning avverrà tramite modelli convertiti in </w:t>
      </w:r>
      <w:r w:rsidRPr="3BF3FA11" w:rsidR="35D0A0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TensorFlow Lite</w:t>
      </w:r>
      <w:r w:rsidRPr="3BF3FA11" w:rsidR="35D0A0C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. La </w:t>
      </w:r>
      <w:r w:rsidRPr="3BF3FA11" w:rsidR="35D0A0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quantizzazione INT8</w:t>
      </w:r>
      <w:r w:rsidRPr="3BF3FA11" w:rsidR="35D0A0C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è un requisito mandatorio per massimizzare l'efficienza sull'architettura Broadcom del RevPi, riducendo la latenza di inferenza per la classificazione (germinata/non germinata).</w:t>
      </w:r>
    </w:p>
    <w:p xmlns:wp14="http://schemas.microsoft.com/office/word/2010/wordml" w:rsidP="3BF3FA11" wp14:paraId="2C2ED013" wp14:textId="30EFDCB0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BF3FA11" w:rsidR="35D0A0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Architettura dei Dati:</w:t>
      </w:r>
      <w:r w:rsidRPr="3BF3FA11" w:rsidR="35D0A0C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L'uso di </w:t>
      </w:r>
      <w:r w:rsidRPr="3BF3FA11" w:rsidR="35D0A0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Docker</w:t>
      </w:r>
      <w:r w:rsidRPr="3BF3FA11" w:rsidR="35D0A0C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garantirà l'omogeneità tra l'ambiente di sviluppo e quello di produzione ("environment parity"), mentre </w:t>
      </w:r>
      <w:r w:rsidRPr="3BF3FA11" w:rsidR="35D0A0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MQTT</w:t>
      </w:r>
      <w:r w:rsidRPr="3BF3FA11" w:rsidR="35D0A0C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sarà il protocollo di elezione per la telemetria leggera dei risultati.</w:t>
      </w:r>
    </w:p>
    <w:p xmlns:wp14="http://schemas.microsoft.com/office/word/2010/wordml" w:rsidP="3BF3FA11" wp14:paraId="16E8F96A" wp14:textId="000E4055">
      <w:pPr>
        <w:pStyle w:val="Heading2"/>
      </w:pPr>
      <w:r w:rsidRPr="3BF3FA11" w:rsidR="35D0A0C4">
        <w:rPr>
          <w:rFonts w:ascii="Aptos" w:hAnsi="Aptos" w:eastAsia="Aptos" w:cs="Aptos"/>
          <w:noProof w:val="0"/>
          <w:sz w:val="24"/>
          <w:szCs w:val="24"/>
          <w:lang w:val="it-IT"/>
        </w:rPr>
        <w:t>6. Piano Operativo e Prossimi Step</w:t>
      </w:r>
    </w:p>
    <w:p xmlns:wp14="http://schemas.microsoft.com/office/word/2010/wordml" wp14:paraId="5E796277" wp14:textId="4C56ABBB">
      <w:r w:rsidRPr="3BF3FA11" w:rsidR="35D0A0C4">
        <w:rPr>
          <w:rFonts w:ascii="Aptos" w:hAnsi="Aptos" w:eastAsia="Aptos" w:cs="Aptos"/>
          <w:noProof w:val="0"/>
          <w:sz w:val="24"/>
          <w:szCs w:val="24"/>
          <w:lang w:val="it-IT"/>
        </w:rPr>
        <w:t>Il focus della prossima settimana si sposterà dalla teoria alla validazione sperimentale delle ipotesi di risoluzione. La priorità assoluta è la calibrazione fisica del sistema per confermare il rapporto µm/pixel calcolato.</w:t>
      </w:r>
    </w:p>
    <w:p xmlns:wp14="http://schemas.microsoft.com/office/word/2010/wordml" wp14:paraId="76EFA140" wp14:textId="48E760FF">
      <w:r w:rsidRPr="3BF3FA11" w:rsidR="35D0A0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Attività prioritarie:</w:t>
      </w:r>
    </w:p>
    <w:p xmlns:wp14="http://schemas.microsoft.com/office/word/2010/wordml" w:rsidP="3BF3FA11" wp14:paraId="7CCB111B" wp14:textId="60E79FB9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BF3FA11" w:rsidR="35D0A0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Realizzazione meccanica:</w:t>
      </w:r>
      <w:r w:rsidRPr="3BF3FA11" w:rsidR="35D0A0C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Assemblaggio del supporto Z-axis e integrazione dei tubi di estensione per il blocco 160 mm.</w:t>
      </w:r>
    </w:p>
    <w:p xmlns:wp14="http://schemas.microsoft.com/office/word/2010/wordml" w:rsidP="3BF3FA11" wp14:paraId="2292D876" wp14:textId="3C264F12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BF3FA11" w:rsidR="35D0A0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Validazione Ottica:</w:t>
      </w:r>
      <w:r w:rsidRPr="3BF3FA11" w:rsidR="35D0A0C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Calibrazione tramite </w:t>
      </w:r>
      <w:r w:rsidRPr="3BF3FA11" w:rsidR="35D0A0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vetrino micrometrico</w:t>
      </w:r>
      <w:r w:rsidRPr="3BF3FA11" w:rsidR="35D0A0C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e </w:t>
      </w:r>
      <w:r w:rsidRPr="3BF3FA11" w:rsidR="35D0A0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microsfere da 10 µm</w:t>
      </w:r>
      <w:r w:rsidRPr="3BF3FA11" w:rsidR="35D0A0C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per verificare la risoluzione effettiva e la ripetibilità del fuoco.</w:t>
      </w:r>
    </w:p>
    <w:p xmlns:wp14="http://schemas.microsoft.com/office/word/2010/wordml" w:rsidP="3BF3FA11" wp14:paraId="2E95C5D4" wp14:textId="2829C03D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BF3FA11" w:rsidR="35D0A0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Benchmarking Pipeline:</w:t>
      </w:r>
      <w:r w:rsidRPr="3BF3FA11" w:rsidR="35D0A0C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Test di segmentazione OpenCV su campioni reali per validare la soglia di 38 pixel (Zongmai) e 69 pixel (10x).</w:t>
      </w:r>
    </w:p>
    <w:p xmlns:wp14="http://schemas.microsoft.com/office/word/2010/wordml" w:rsidP="3BF3FA11" wp14:paraId="35583C04" wp14:textId="2B2233A5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BF3FA11" w:rsidR="35D0A0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Setup Telemetria:</w:t>
      </w:r>
      <w:r w:rsidRPr="3BF3FA11" w:rsidR="35D0A0C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Implementazione del broker MQTT per la trasmissione dei dati di test.</w:t>
      </w:r>
    </w:p>
    <w:p xmlns:wp14="http://schemas.microsoft.com/office/word/2010/wordml" wp14:paraId="7729D50D" wp14:textId="15899427">
      <w:r w:rsidRPr="3BF3FA11" w:rsidR="35D0A0C4">
        <w:rPr>
          <w:rFonts w:ascii="Aptos" w:hAnsi="Aptos" w:eastAsia="Aptos" w:cs="Aptos"/>
          <w:noProof w:val="0"/>
          <w:sz w:val="24"/>
          <w:szCs w:val="24"/>
          <w:lang w:val="it-IT"/>
        </w:rPr>
        <w:t>Il sistema, pur basandosi su ottica tradizionale per garantire la massima affidabilità nel breve termine, rimane aperto a future integrazioni di microscopia lensless per una potenziale riduzione del fattore di forma nelle versioni successive.</w:t>
      </w:r>
    </w:p>
    <w:p xmlns:wp14="http://schemas.microsoft.com/office/word/2010/wordml" wp14:paraId="2DC08235" wp14:textId="72FD0EC3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3566a1c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64cb4f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1a5a24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54f3a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42b47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C2F324E"/>
    <w:rsid w:val="0D5BCAF9"/>
    <w:rsid w:val="10B008EA"/>
    <w:rsid w:val="130FE37E"/>
    <w:rsid w:val="2BE38C39"/>
    <w:rsid w:val="35D0A0C4"/>
    <w:rsid w:val="3A4B155D"/>
    <w:rsid w:val="3BF3FA11"/>
    <w:rsid w:val="3C2F324E"/>
    <w:rsid w:val="447BD28D"/>
    <w:rsid w:val="4513A9AF"/>
    <w:rsid w:val="75590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242B1"/>
  <w15:chartTrackingRefBased/>
  <w15:docId w15:val="{A047A0C6-EED4-4454-8A1A-B4631A24321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it-I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BF3FA1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BF3FA1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BF3FA1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BF3FA1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02c51234bb94a8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2026-05-21T16:02:56.0588954Z</dcterms:created>
  <dcterms:modified xsi:type="dcterms:W3CDTF">2026-05-26T10:15:45.9384971Z</dcterms:modified>
  <dc:creator>pierpaolo</dc:creator>
  <lastModifiedBy>pierpaolo</lastModifiedBy>
</coreProperties>
</file>