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E5395"/>
          <w:sz w:val="20"/>
          <w:szCs w:val="20"/>
        </w:rPr>
        <w:t xml:space="preserve">DYNAMICS TRANSPORT — SOLE PROPRIETORSHIP</w:t>
      </w:r>
    </w:p>
    <w:p>
      <w:pPr>
        <w:spacing w:after="60"/>
      </w:pPr>
      <w:r>
        <w:rPr>
          <w:b/>
          <w:bCs/>
          <w:color w:val="1F3864"/>
          <w:sz w:val="44"/>
          <w:szCs w:val="44"/>
        </w:rPr>
        <w:t xml:space="preserve">Comprehensive Feasibility Study</w:t>
      </w:r>
    </w:p>
    <w:p>
      <w:pPr>
        <w:spacing w:after="300"/>
      </w:pPr>
      <w:r>
        <w:rPr>
          <w:i/>
          <w:iCs/>
          <w:color w:val="2E5395"/>
          <w:sz w:val="26"/>
          <w:szCs w:val="26"/>
        </w:rPr>
        <w:t xml:space="preserve">B2B Digital Freight Transport Platform in Ethiopia</w:t>
      </w:r>
    </w:p>
    <w:p>
      <w:pPr>
        <w:spacing w:after="30"/>
      </w:pPr>
      <w:r>
        <w:rPr>
          <w:sz w:val="21"/>
          <w:szCs w:val="21"/>
        </w:rPr>
        <w:t xml:space="preserve">Founder: Marew Masresha (Full-Stack Developer)</w:t>
      </w:r>
    </w:p>
    <w:p>
      <w:pPr>
        <w:spacing w:after="30"/>
      </w:pPr>
      <w:r>
        <w:rPr>
          <w:sz w:val="21"/>
          <w:szCs w:val="21"/>
        </w:rPr>
        <w:t xml:space="preserve">Country: Ethiopia</w:t>
      </w:r>
    </w:p>
    <w:p>
      <w:pPr>
        <w:spacing w:after="30"/>
      </w:pPr>
      <w:r>
        <w:rPr>
          <w:sz w:val="21"/>
          <w:szCs w:val="21"/>
        </w:rPr>
        <w:t xml:space="preserve">Prepared by: Claude (Anthropic), acting as feasibility-study consultant</w:t>
      </w:r>
    </w:p>
    <w:p>
      <w:pPr>
        <w:spacing w:after="400"/>
      </w:pPr>
      <w:r>
        <w:rPr>
          <w:sz w:val="21"/>
          <w:szCs w:val="21"/>
        </w:rPr>
        <w:t xml:space="preserve">September 2026</w:t>
      </w:r>
    </w:p>
    <w:p>
      <w:pPr>
        <w:pBdr>
          <w:top w:val="single" w:color="E8B979" w:sz="8" w:space="6"/>
          <w:bottom w:val="single" w:color="E8B979" w:sz="8" w:space="6"/>
          <w:left w:val="single" w:color="E8B979" w:sz="8" w:space="6"/>
          <w:right w:val="single" w:color="E8B979" w:sz="8" w:space="6"/>
        </w:pBdr>
        <w:shd w:fill="FDF3E7" w:color="auto" w:val="clear"/>
        <w:spacing w:after="200"/>
      </w:pPr>
      <w:r>
        <w:rPr>
          <w:i/>
          <w:iCs/>
          <w:color w:val="6B4A1E"/>
          <w:sz w:val="20"/>
          <w:szCs w:val="20"/>
        </w:rPr>
        <w:t xml:space="preserve">  Methodology note: This study combines current, cited secondary research (news reporting, government directives, industry data, and identified competitors) with an explicit, clearly-labeled set of financial and market-sizing assumptions. Wherever primary data (customer interviews, pilot volumes, signed commitments) does not yet exist, the figures below are best-estimate planning assumptions, not verified facts. Section 8 sets out the field validation Dynamics Transport should run before committing significant capital, and every assumption used in the financial model is flagged as such.  </w:t>
      </w:r>
    </w:p>
    <w:p>
      <w:pPr>
        <w:pStyle w:val="Heading1"/>
        <w:pageBreakBefore/>
        <w:pBdr>
          <w:bottom w:val="single" w:color="BFBFBF" w:sz="6" w:space="4"/>
        </w:pBdr>
        <w:spacing w:after="160" w:before="320"/>
      </w:pPr>
      <w:r>
        <w:rPr>
          <w:b/>
          <w:bCs/>
          <w:color w:val="1F3864"/>
          <w:sz w:val="30"/>
          <w:szCs w:val="30"/>
        </w:rPr>
        <w:t xml:space="preserve">Executive Summary</w:t>
      </w:r>
    </w:p>
    <w:p>
      <w:pPr>
        <w:spacing w:after="140" w:line="300"/>
      </w:pPr>
      <w:r>
        <w:rPr>
          <w:sz w:val="22"/>
          <w:szCs w:val="22"/>
        </w:rPr>
        <w:t xml:space="preserve">Dynamics Transport is a proposed B2B digital freight transport platform intended to connect Ethiopian manufacturing/FMCG shippers with truck capacity, initially targeting cement, beverage, and consumer-goods producers. This study evaluates whether that business is commercially, operationally, legally, and financially viable.</w:t>
      </w:r>
    </w:p>
    <w:p>
      <w:pPr>
        <w:pStyle w:val="Heading3"/>
        <w:spacing w:after="80" w:before="180"/>
      </w:pPr>
      <w:r>
        <w:rPr>
          <w:b/>
          <w:bCs/>
          <w:sz w:val="22"/>
          <w:szCs w:val="22"/>
        </w:rPr>
        <w:t xml:space="preserve">Headline findings</w:t>
      </w:r>
    </w:p>
    <w:p>
      <w:pPr>
        <w:pStyle w:val="ListParagraph"/>
        <w:numPr>
          <w:ilvl w:val="0"/>
          <w:numId w:val="2"/>
        </w:numPr>
        <w:spacing w:after="60" w:line="280"/>
      </w:pPr>
      <w:r>
        <w:rPr>
          <w:b/>
          <w:bCs/>
          <w:sz w:val="22"/>
          <w:szCs w:val="22"/>
        </w:rPr>
        <w:t xml:space="preserve">The underlying problem is real. </w:t>
      </w:r>
      <w:r>
        <w:rPr>
          <w:sz w:val="22"/>
          <w:szCs w:val="22"/>
        </w:rPr>
        <w:t xml:space="preserve">Ethiopia's freight system is still largely analog — phone-based load-finding, cash settlement, paper documentation — and road transport demand structurally exceeds truck supply, even after the state carrier's recent fleet expansion.</w:t>
      </w:r>
    </w:p>
    <w:p>
      <w:pPr>
        <w:pStyle w:val="ListParagraph"/>
        <w:numPr>
          <w:ilvl w:val="0"/>
          <w:numId w:val="2"/>
        </w:numPr>
        <w:spacing w:after="60" w:line="280"/>
      </w:pPr>
      <w:r>
        <w:rPr>
          <w:b/>
          <w:bCs/>
          <w:sz w:val="22"/>
          <w:szCs w:val="22"/>
        </w:rPr>
        <w:t xml:space="preserve">The market is not empty — it is already competitive. </w:t>
      </w:r>
      <w:r>
        <w:rPr>
          <w:sz w:val="22"/>
          <w:szCs w:val="22"/>
        </w:rPr>
        <w:t xml:space="preserve">At least six identifiable players are active or launching digital or quasi-digital freight-matching in Ethiopia as of 2026: TOLO Freight, Wetruck AI, Garri, Across Express, DHL's Saloodo!, and a free platform built by the Ethiopian Transport Employers Federation (ETEF) for its own member-owned trucks (which control roughly 90% of the country's truck fleet). This is the single most important finding of this study: Dynamics Transport cannot treat this as a blue-ocean opportunity.</w:t>
      </w:r>
    </w:p>
    <w:p>
      <w:pPr>
        <w:pStyle w:val="ListParagraph"/>
        <w:numPr>
          <w:ilvl w:val="0"/>
          <w:numId w:val="2"/>
        </w:numPr>
        <w:spacing w:after="60" w:line="280"/>
      </w:pPr>
      <w:r>
        <w:rPr>
          <w:b/>
          <w:bCs/>
          <w:sz w:val="22"/>
          <w:szCs w:val="22"/>
        </w:rPr>
        <w:t xml:space="preserve">A defensible niche is still available. </w:t>
      </w:r>
      <w:r>
        <w:rPr>
          <w:sz w:val="22"/>
          <w:szCs w:val="22"/>
        </w:rPr>
        <w:t xml:space="preserve">Most existing entrants are optimized for import/export corridor freight (Djibouti) or general load-matching. A platform purpose-built for the operational and reporting needs of manufacturing/FMCG shippers — recurring lane bidding, transporter performance scorecards, proof-of-delivery tied to production and distribution planning — is not clearly occupied yet, though it must be validated directly with target customers before build.</w:t>
      </w:r>
    </w:p>
    <w:p>
      <w:pPr>
        <w:pStyle w:val="ListParagraph"/>
        <w:numPr>
          <w:ilvl w:val="0"/>
          <w:numId w:val="2"/>
        </w:numPr>
        <w:spacing w:after="60" w:line="280"/>
      </w:pPr>
      <w:r>
        <w:rPr>
          <w:b/>
          <w:bCs/>
          <w:sz w:val="22"/>
          <w:szCs w:val="22"/>
        </w:rPr>
        <w:t xml:space="preserve">Cash-based settlement is a market reality, not a bug to design around. </w:t>
      </w:r>
      <w:r>
        <w:rPr>
          <w:sz w:val="22"/>
          <w:szCs w:val="22"/>
        </w:rPr>
        <w:t xml:space="preserve">Mobile money penetration remains low (about 5% of adults held a mobile money account in 2022, though telebirr has since scaled its user base substantially). TOLO Freight's founders explicitly designed around this by separating digital load-matching from cash settlement — Dynamics Transport should assume the same constraint rather than build a cashless-first product.</w:t>
      </w:r>
    </w:p>
    <w:p>
      <w:pPr>
        <w:pStyle w:val="ListParagraph"/>
        <w:numPr>
          <w:ilvl w:val="0"/>
          <w:numId w:val="2"/>
        </w:numPr>
        <w:spacing w:after="60" w:line="280"/>
      </w:pPr>
      <w:r>
        <w:rPr>
          <w:b/>
          <w:bCs/>
          <w:sz w:val="22"/>
          <w:szCs w:val="22"/>
        </w:rPr>
        <w:t xml:space="preserve">Regulatory exposure depends on what Dynamics Transport actually does. </w:t>
      </w:r>
      <w:r>
        <w:rPr>
          <w:sz w:val="22"/>
          <w:szCs w:val="22"/>
        </w:rPr>
        <w:t xml:space="preserve">If the platform only matches shippers and carriers (a technology marketplace), it likely falls outside the heaviest logistics licensing regime. If it acts as a freight forwarder, holds cargo liability, or issues transport documents itself, it risks falling under Ethiopia's Multi-Modal Transport Operators Directive (No. 1140/2026), which sets a USD 1 million paid-up capital threshold, dedicated terminal/warehouse infrastructure, and multi-year experience requirements — currently out of reach for a bootstrapped sole proprietorship. This distinction should shape the legal structure of the MVP from day one.</w:t>
      </w:r>
    </w:p>
    <w:p>
      <w:pPr>
        <w:pStyle w:val="ListParagraph"/>
        <w:numPr>
          <w:ilvl w:val="0"/>
          <w:numId w:val="2"/>
        </w:numPr>
        <w:spacing w:after="60" w:line="280"/>
      </w:pPr>
      <w:r>
        <w:rPr>
          <w:b/>
          <w:bCs/>
          <w:sz w:val="22"/>
          <w:szCs w:val="22"/>
        </w:rPr>
        <w:t xml:space="preserve">Recommendation: proceed, but narrow the scope. </w:t>
      </w:r>
      <w:r>
        <w:rPr>
          <w:sz w:val="22"/>
          <w:szCs w:val="22"/>
        </w:rPr>
        <w:t xml:space="preserve">Dynamics Transport should not attempt to build a general-purpose freight marketplace competing head-on with funded entrants. It should validate a focused wedge — manufacturing/FMCG shippers on 2–4 specific corridors — through direct customer discovery and a paid pilot before committing to full platform development. Sections 7–14 lay out the customer validation plan, market sizing, financial assumptions, and risk register needed to make that call with evidence rather than optimism.</w:t>
      </w:r>
    </w:p>
    <w:p>
      <w:pPr>
        <w:pStyle w:val="Heading1"/>
        <w:pageBreakBefore/>
        <w:pBdr>
          <w:bottom w:val="single" w:color="BFBFBF" w:sz="6" w:space="4"/>
        </w:pBdr>
        <w:spacing w:after="160" w:before="320"/>
      </w:pPr>
      <w:r>
        <w:rPr>
          <w:b/>
          <w:bCs/>
          <w:color w:val="1F3864"/>
          <w:sz w:val="30"/>
          <w:szCs w:val="30"/>
        </w:rPr>
        <w:t xml:space="preserve">1. Business Background and Core Concept</w:t>
      </w:r>
    </w:p>
    <w:p>
      <w:pPr>
        <w:spacing w:after="140" w:line="300"/>
      </w:pPr>
      <w:r>
        <w:rPr>
          <w:sz w:val="22"/>
          <w:szCs w:val="22"/>
        </w:rPr>
        <w:t xml:space="preserve">Dynamics Transport, a sole proprietorship established by Marew Masresha, proposes to build a B2B digital platform connecting Ethiopian businesses that need freight transportation with transport providers able to fulfil it. The initial target market is manufacturing and FMCG companies — cement, beverages, and consumer goods — with potential expansion to importers, distributors, and agricultural exporters.</w:t>
      </w:r>
    </w:p>
    <w:p>
      <w:pPr>
        <w:spacing w:after="140" w:line="300"/>
      </w:pPr>
      <w:r>
        <w:rPr>
          <w:sz w:val="22"/>
          <w:szCs w:val="22"/>
        </w:rPr>
        <w:t xml:space="preserve">The platform is intended to address a well-documented set of problems in Ethiopia's freight market: difficulty finding reliable trucks, a fragmented and largely informal brokerage market, empty return trips, opaque pricing, weak shipment visibility, manual paperwork, and no shared record of transporter performance. This study does not assume these problems automatically translate into a paying business — that assumption is tested explicitly in Sections 7–9.</w:t>
      </w:r>
    </w:p>
    <w:p>
      <w:pPr>
        <w:pStyle w:val="Heading3"/>
        <w:spacing w:after="80" w:before="180"/>
      </w:pPr>
      <w:r>
        <w:rPr>
          <w:b/>
          <w:bCs/>
          <w:sz w:val="22"/>
          <w:szCs w:val="22"/>
        </w:rPr>
        <w:t xml:space="preserve">Core feature set under consideration</w:t>
      </w:r>
    </w:p>
    <w:p>
      <w:pPr>
        <w:spacing w:after="140" w:line="300"/>
      </w:pPr>
      <w:r>
        <w:rPr>
          <w:sz w:val="22"/>
          <w:szCs w:val="22"/>
        </w:rPr>
        <w:t xml:space="preserve">For shippers (manufacturers/FMCG): digital freight booking, transport-provider discovery, quotation and digital tendering, shipment tracking, proof of delivery, transporter performance history, cost visibility, and reporting dashboards.</w:t>
      </w:r>
    </w:p>
    <w:p>
      <w:pPr>
        <w:spacing w:after="140" w:line="300"/>
      </w:pPr>
      <w:r>
        <w:rPr>
          <w:sz w:val="22"/>
          <w:szCs w:val="22"/>
        </w:rPr>
        <w:t xml:space="preserve">For transporters/truck owners: access to freight demand, load matching, reduced empty kilometers, digital trip management, and payment visibility.</w:t>
      </w:r>
    </w:p>
    <w:p>
      <w:pPr>
        <w:spacing w:after="140" w:line="300"/>
      </w:pPr>
      <w:r>
        <w:rPr>
          <w:sz w:val="22"/>
          <w:szCs w:val="22"/>
        </w:rPr>
        <w:t xml:space="preserve">For drivers (later phase): trip assignments, navigation support, digital proof of delivery, and driver communication.</w:t>
      </w:r>
    </w:p>
    <w:p>
      <w:pPr>
        <w:spacing w:after="160" w:line="280"/>
      </w:pPr>
      <w:r>
        <w:rPr>
          <w:i/>
          <w:iCs/>
          <w:color w:val="555555"/>
          <w:sz w:val="20"/>
          <w:szCs w:val="20"/>
        </w:rPr>
        <w:t xml:space="preserve">MVP scoping guidance appears in Section 10. As a general principle for a resource-constrained sole proprietorship: ship the smallest version of the shipper-side booking and tracking workflow that a single target segment will actually pay for, and treat driver-facing features as a Phase 2 investment once transporter supply is proven.</w:t>
      </w:r>
    </w:p>
    <w:p>
      <w:pPr>
        <w:pStyle w:val="Heading1"/>
        <w:pBdr>
          <w:bottom w:val="single" w:color="BFBFBF" w:sz="6" w:space="4"/>
        </w:pBdr>
        <w:spacing w:after="160" w:before="320"/>
      </w:pPr>
      <w:r>
        <w:rPr>
          <w:b/>
          <w:bCs/>
          <w:color w:val="1F3864"/>
          <w:sz w:val="30"/>
          <w:szCs w:val="30"/>
        </w:rPr>
        <w:t xml:space="preserve">2. Key Research Question</w:t>
      </w:r>
    </w:p>
    <w:p>
      <w:pPr>
        <w:spacing w:after="140" w:line="300"/>
      </w:pPr>
      <w:r>
        <w:rPr>
          <w:sz w:val="22"/>
          <w:szCs w:val="22"/>
        </w:rPr>
        <w:t xml:space="preserve">Can Dynamics Transport build and operate a commercially viable, scalable, and profitable B2B digital freight transport platform in Ethiopia — initially serving manufacturing and FMCG companies — by connecting freight demand with transport capacity more efficiently than existing market practices and existing digital competitors?</w:t>
      </w:r>
    </w:p>
    <w:p>
      <w:pPr>
        <w:spacing w:after="140" w:line="300"/>
      </w:pPr>
      <w:r>
        <w:rPr>
          <w:sz w:val="22"/>
          <w:szCs w:val="22"/>
        </w:rPr>
        <w:t xml:space="preserve">Twenty supporting objectives from the founder's brief are addressed across this document: market size and accessibility, unmet customer problems, willingness to use and pay for a digital platform, strongest initial segments, current freight-sourcing practice, the competitive set, customer alternatives, defensibility, transport-capacity onboarding, marketplace liquidity, technology requirements, regulatory requirements, investment requirements, operating costs, revenue model, break-even timing, 3/5/10-year growth scenarios, major risks, and a final go/no-go recommendation.</w:t>
      </w:r>
    </w:p>
    <w:p>
      <w:pPr>
        <w:pStyle w:val="Heading1"/>
        <w:pageBreakBefore/>
        <w:pBdr>
          <w:bottom w:val="single" w:color="BFBFBF" w:sz="6" w:space="4"/>
        </w:pBdr>
        <w:spacing w:after="160" w:before="320"/>
      </w:pPr>
      <w:r>
        <w:rPr>
          <w:b/>
          <w:bCs/>
          <w:color w:val="1F3864"/>
          <w:sz w:val="30"/>
          <w:szCs w:val="30"/>
        </w:rPr>
        <w:t xml:space="preserve">3. Ethiopia Freight &amp; Logistics Market Analysis</w:t>
      </w:r>
    </w:p>
    <w:p>
      <w:pPr>
        <w:pStyle w:val="Heading2"/>
        <w:spacing w:after="100" w:before="260"/>
      </w:pPr>
      <w:r>
        <w:rPr>
          <w:b/>
          <w:bCs/>
          <w:color w:val="2E5395"/>
          <w:sz w:val="24"/>
          <w:szCs w:val="24"/>
        </w:rPr>
        <w:t xml:space="preserve">3.1 Structure of the market</w:t>
      </w:r>
    </w:p>
    <w:p>
      <w:pPr>
        <w:pStyle w:val="ListParagraph"/>
        <w:numPr>
          <w:ilvl w:val="0"/>
          <w:numId w:val="2"/>
        </w:numPr>
        <w:spacing w:after="60" w:line="280"/>
      </w:pPr>
      <w:r>
        <w:rPr>
          <w:b/>
          <w:bCs/>
          <w:sz w:val="22"/>
          <w:szCs w:val="22"/>
        </w:rPr>
        <w:t xml:space="preserve">Road dominates. </w:t>
      </w:r>
      <w:r>
        <w:rPr>
          <w:sz w:val="22"/>
          <w:szCs w:val="22"/>
        </w:rPr>
        <w:t xml:space="preserve">Road transport carries roughly 80% of Ethiopia's international trade freight by tonnage (about 14.08 million tons in the most recent annual figures available), versus about 19% for the Ethio-Djibouti Railway and under 1% for air cargo. Ethiopia is landlocked and relies on the Port of Djibouti for the large majority of its international trade.</w:t>
      </w:r>
    </w:p>
    <w:p>
      <w:pPr>
        <w:pStyle w:val="ListParagraph"/>
        <w:numPr>
          <w:ilvl w:val="0"/>
          <w:numId w:val="2"/>
        </w:numPr>
        <w:spacing w:after="60" w:line="280"/>
      </w:pPr>
      <w:r>
        <w:rPr>
          <w:b/>
          <w:bCs/>
          <w:sz w:val="22"/>
          <w:szCs w:val="22"/>
        </w:rPr>
        <w:t xml:space="preserve">Demand structurally exceeds supply. </w:t>
      </w:r>
      <w:r>
        <w:rPr>
          <w:sz w:val="22"/>
          <w:szCs w:val="22"/>
        </w:rPr>
        <w:t xml:space="preserve">Ethiopian Shipping and Logistics (ESL), the dominant state-owned carrier, has been expanding its fleet toward 1,000 trucks (from roughly 600) and still leases significant additional truck capacity every year to meet demand — evidence that inland freight requirements outstrip available capacity even for the largest operator in the country.</w:t>
      </w:r>
    </w:p>
    <w:p>
      <w:pPr>
        <w:pStyle w:val="ListParagraph"/>
        <w:numPr>
          <w:ilvl w:val="0"/>
          <w:numId w:val="2"/>
        </w:numPr>
        <w:spacing w:after="60" w:line="280"/>
      </w:pPr>
      <w:r>
        <w:rPr>
          <w:b/>
          <w:bCs/>
          <w:sz w:val="22"/>
          <w:szCs w:val="22"/>
        </w:rPr>
        <w:t xml:space="preserve">Truck fleet size and composition. </w:t>
      </w:r>
      <w:r>
        <w:rPr>
          <w:sz w:val="22"/>
          <w:szCs w:val="22"/>
        </w:rPr>
        <w:t xml:space="preserve">Ethiopia has approximately 12,766 cross-border cargo vehicles (WFP transporter data), with roughly 60% of that fleet rated at 38 metric tons or above. Around 45% of cross-border trucks are 10 years old or newer, but a meaningful share (about 19%) are over 20 years old. National vehicle registration figures (last published around 2020) showed roughly 1.2 million total registered vehicles, of which "dry cargo" trucks were about 220,000 (18% of the total) — both figures are dated and should be refreshed with current Ministry of Transport &amp; Logistics data before finalizing a business plan.</w:t>
      </w:r>
    </w:p>
    <w:p>
      <w:pPr>
        <w:pStyle w:val="ListParagraph"/>
        <w:numPr>
          <w:ilvl w:val="0"/>
          <w:numId w:val="2"/>
        </w:numPr>
        <w:spacing w:after="60" w:line="280"/>
      </w:pPr>
      <w:r>
        <w:rPr>
          <w:b/>
          <w:bCs/>
          <w:sz w:val="22"/>
          <w:szCs w:val="22"/>
        </w:rPr>
        <w:t xml:space="preserve">Infrastructure hubs. </w:t>
      </w:r>
      <w:r>
        <w:rPr>
          <w:sz w:val="22"/>
          <w:szCs w:val="22"/>
        </w:rPr>
        <w:t xml:space="preserve">Modjo Dry Port, about 70 km from Addis Ababa, is the country's central logistics node, historically handling around 70% or more of Ethiopia's imports and undergoing a World Bank-backed expansion to become a multi-user, multi-purpose logistics facility rather than a single-user customs-clearance site. Ethiopia operates roughly seven to eight dry ports in total (including Dire Dawa, Mekelle, Kombolcha, Semera, Gelan, and Qality), and manufacturing activity clusters around industrial parks such as Hawassa Industrial Park, Bole Lemi, Mekelle Industrial Park, and the Eastern Industry Zone.</w:t>
      </w:r>
    </w:p>
    <w:p>
      <w:pPr>
        <w:pStyle w:val="ListParagraph"/>
        <w:numPr>
          <w:ilvl w:val="0"/>
          <w:numId w:val="2"/>
        </w:numPr>
        <w:spacing w:after="60" w:line="280"/>
      </w:pPr>
      <w:r>
        <w:rPr>
          <w:b/>
          <w:bCs/>
          <w:sz w:val="22"/>
          <w:szCs w:val="22"/>
        </w:rPr>
        <w:t xml:space="preserve">Ownership and brokerage structure. </w:t>
      </w:r>
      <w:r>
        <w:rPr>
          <w:sz w:val="22"/>
          <w:szCs w:val="22"/>
        </w:rPr>
        <w:t xml:space="preserve">The Ethiopian Transport Employers Federation (ETEF) states its member operators own close to 90% of the country's trucks, meaning truck supply is concentrated in the hands of a relatively small number of transport associations and companies rather than being purely fragmented among thousands of independent owner-operators. Historically, freight has moved through personal relationships and brokers/middlemen, particularly for import cargo moving from Djibouti.</w:t>
      </w:r>
    </w:p>
    <w:p>
      <w:pPr>
        <w:pStyle w:val="ListParagraph"/>
        <w:numPr>
          <w:ilvl w:val="0"/>
          <w:numId w:val="2"/>
        </w:numPr>
        <w:spacing w:after="60" w:line="280"/>
      </w:pPr>
      <w:r>
        <w:rPr>
          <w:b/>
          <w:bCs/>
          <w:sz w:val="22"/>
          <w:szCs w:val="22"/>
        </w:rPr>
        <w:t xml:space="preserve">Pricing and settlement. </w:t>
      </w:r>
      <w:r>
        <w:rPr>
          <w:sz w:val="22"/>
          <w:szCs w:val="22"/>
        </w:rPr>
        <w:t xml:space="preserve">Freight pricing has traditionally been negotiated informally and settled in cash; digital payment/mobile money adoption in Ethiopia remains comparatively low even as telebirr (Ethio Telecom's mobile money product) scales its subscriber base into the tens of millions and integrates with government payment flows such as customs and fuel subsidies.</w:t>
      </w:r>
    </w:p>
    <w:p>
      <w:pPr>
        <w:pStyle w:val="ListParagraph"/>
        <w:numPr>
          <w:ilvl w:val="0"/>
          <w:numId w:val="2"/>
        </w:numPr>
        <w:spacing w:after="60" w:line="280"/>
      </w:pPr>
      <w:r>
        <w:rPr>
          <w:b/>
          <w:bCs/>
          <w:sz w:val="22"/>
          <w:szCs w:val="22"/>
        </w:rPr>
        <w:t xml:space="preserve">Reform is underway. </w:t>
      </w:r>
      <w:r>
        <w:rPr>
          <w:sz w:val="22"/>
          <w:szCs w:val="22"/>
        </w:rPr>
        <w:t xml:space="preserve">The Ministry of Transport &amp; Logistics has been actively restructuring the sector's regulatory framework — commercializing transport associations, and, as of May 2026, removing the prior 49% foreign-ownership cap on freight forwarding and multimodal transport, while simultaneously tightening capital, infrastructure, and governance requirements for that category of license. Ethiopia ranked 111th on the World Bank Logistics Performance Index as of 2022, reflecting the scale of the inefficiency the sector reform and any digital platform are both trying to address.</w:t>
      </w:r>
    </w:p>
    <w:p>
      <w:pPr>
        <w:pStyle w:val="Heading2"/>
        <w:spacing w:after="100" w:before="260"/>
      </w:pPr>
      <w:r>
        <w:rPr>
          <w:b/>
          <w:bCs/>
          <w:color w:val="2E5395"/>
          <w:sz w:val="24"/>
          <w:szCs w:val="24"/>
        </w:rPr>
        <w:t xml:space="preserve">3.2 Digitalization level</w:t>
      </w:r>
    </w:p>
    <w:p>
      <w:pPr>
        <w:spacing w:after="140" w:line="300"/>
      </w:pPr>
      <w:r>
        <w:rPr>
          <w:sz w:val="22"/>
          <w:szCs w:val="22"/>
        </w:rPr>
        <w:t xml:space="preserve">Freight operations in Ethiopia today are described consistently, across multiple independent sources, as running "largely on phone calls, paper documents and cash deals." Digitalization is emerging but early: several platforms (detailed in Section 6) have launched or are launching between 2019 and 2026, mobile penetration is rising, and the government is actively pushing digital payment rails through telebirr and customs digitization — but none of this has yet become the default way freight is booked and paid for.</w:t>
      </w:r>
    </w:p>
    <w:p>
      <w:pPr>
        <w:pStyle w:val="Heading2"/>
        <w:spacing w:after="100" w:before="260"/>
      </w:pPr>
      <w:r>
        <w:rPr>
          <w:b/>
          <w:bCs/>
          <w:color w:val="2E5395"/>
          <w:sz w:val="24"/>
          <w:szCs w:val="24"/>
        </w:rPr>
        <w:t xml:space="preserve">3.3 Seasonality</w:t>
      </w:r>
    </w:p>
    <w:p>
      <w:pPr>
        <w:spacing w:after="140" w:line="300"/>
      </w:pPr>
      <w:r>
        <w:rPr>
          <w:sz w:val="22"/>
          <w:szCs w:val="22"/>
        </w:rPr>
        <w:t xml:space="preserve">Freight demand in Ethiopia is influenced by agricultural export seasons (coffee and horticulture harvest and export windows), the rainy season (roughly June–September), which affects road conditions on unpaved and rural routes, and periodic congestion at Djibouti-corridor points tied to port throughput and customs processing capacity. A pilot program should be timed to avoid launching during the heaviest rainy-season disruption.</w:t>
      </w:r>
    </w:p>
    <w:p>
      <w:pPr>
        <w:pStyle w:val="Heading1"/>
        <w:pBdr>
          <w:bottom w:val="single" w:color="BFBFBF" w:sz="6" w:space="4"/>
        </w:pBdr>
        <w:spacing w:after="160" w:before="320"/>
      </w:pPr>
      <w:r>
        <w:rPr>
          <w:b/>
          <w:bCs/>
          <w:color w:val="1F3864"/>
          <w:sz w:val="30"/>
          <w:szCs w:val="30"/>
        </w:rPr>
        <w:t xml:space="preserve">4. Priority Launch Corridors</w:t>
      </w:r>
    </w:p>
    <w:p>
      <w:pPr>
        <w:spacing w:after="140" w:line="300"/>
      </w:pPr>
      <w:r>
        <w:rPr>
          <w:sz w:val="22"/>
          <w:szCs w:val="22"/>
        </w:rPr>
        <w:t xml:space="preserve">Corridors are ranked by commercial freight demand, customer concentration, route economics, transport-capacity availability, existing competitive activity, and suitability for a digital platform — not by geography alone.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6300"/>
      </w:tblGrid>
      <w:tr>
        <w:trPr>
          <w:tblHeader/>
        </w:trPr>
        <w:tc>
          <w:tcPr>
            <w:tcW w:type="dxa" w:w="10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Rank</w:t>
            </w:r>
          </w:p>
        </w:tc>
        <w:tc>
          <w:tcPr>
            <w:tcW w:type="dxa" w:w="32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Corridor</w:t>
            </w:r>
          </w:p>
        </w:tc>
        <w:tc>
          <w:tcPr>
            <w:tcW w:type="dxa" w:w="63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Rationale</w:t>
            </w:r>
          </w:p>
        </w:tc>
      </w:tr>
      <w:tr>
        <w:tc>
          <w:tcPr>
            <w:tcW w:type="dxa" w:w="1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Addis Ababa – Djibouti (via Modjo)</w:t>
            </w:r>
          </w:p>
        </w:tc>
        <w:tc>
          <w:tcPr>
            <w:tcW w:type="dxa" w:w="6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Highest freight volume and value in the country; handles the large majority of Ethiopia's international trade; concentrated customer base of importers, forwarders, and large manufacturers; but also the corridor with the most existing digital competition (TOLO Freight, DHL Saloodo!, ETEF platform all target it).</w:t>
            </w:r>
          </w:p>
        </w:tc>
      </w:tr>
      <w:tr>
        <w:tc>
          <w:tcPr>
            <w:tcW w:type="dxa" w:w="1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2</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Addis Ababa – Adama – Modjo</w:t>
            </w:r>
          </w:p>
        </w:tc>
        <w:tc>
          <w:tcPr>
            <w:tcW w:type="dxa" w:w="6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Sits on the same corridor as #1 but captures the dense cluster of cement, beverage, and industrial manufacturing near Adama/Modjo; shorter, more predictable trips are easier to service reliably with a small initial transporter pool.</w:t>
            </w:r>
          </w:p>
        </w:tc>
      </w:tr>
      <w:tr>
        <w:tc>
          <w:tcPr>
            <w:tcW w:type="dxa" w:w="1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3</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Addis Ababa – Dire Dawa</w:t>
            </w:r>
          </w:p>
        </w:tc>
        <w:tc>
          <w:tcPr>
            <w:tcW w:type="dxa" w:w="6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Second-largest industrial and freight hub; has its own dry port and manufacturing base (cement, textiles, coffee processing); relevant for diversification beyond the primary corridor.</w:t>
            </w:r>
          </w:p>
        </w:tc>
      </w:tr>
      <w:tr>
        <w:tc>
          <w:tcPr>
            <w:tcW w:type="dxa" w:w="1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4</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Addis Ababa – Hawassa</w:t>
            </w:r>
          </w:p>
        </w:tc>
        <w:tc>
          <w:tcPr>
            <w:tcW w:type="dxa" w:w="6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Anchored by Hawassa Industrial Park (garment/textile export manufacturing); high-value, schedule-sensitive freight, but a narrower shipper base than cement/beverage corridors.</w:t>
            </w:r>
          </w:p>
        </w:tc>
      </w:tr>
      <w:tr>
        <w:tc>
          <w:tcPr>
            <w:tcW w:type="dxa" w:w="1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5</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Addis Ababa – Bahir Dar / Mekelle</w:t>
            </w:r>
          </w:p>
        </w:tc>
        <w:tc>
          <w:tcPr>
            <w:tcW w:type="dxa" w:w="6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Longer-haul regional distribution routes for FMCG/beverage distribution into northern and northwestern markets; lower customer concentration and, depending on the period, exposure to regional security and access disruptions.</w:t>
            </w:r>
          </w:p>
        </w:tc>
      </w:tr>
      <w:tr>
        <w:tc>
          <w:tcPr>
            <w:tcW w:type="dxa" w:w="1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6</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Addis Ababa – Jimma / Wolkite</w:t>
            </w:r>
          </w:p>
        </w:tc>
        <w:tc>
          <w:tcPr>
            <w:tcW w:type="dxa" w:w="6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Relevant mainly for agricultural (coffee) freight; lower priority for an initial manufacturing/FMCG-focused launch.</w:t>
            </w:r>
          </w:p>
        </w:tc>
      </w:tr>
    </w:tbl>
    <w:p>
      <w:pPr>
        <w:spacing w:after="160" w:line="280"/>
      </w:pPr>
      <w:r>
        <w:rPr>
          <w:i/>
          <w:iCs/>
          <w:color w:val="555555"/>
          <w:sz w:val="20"/>
          <w:szCs w:val="20"/>
        </w:rPr>
        <w:t xml:space="preserve">Recommendation: launch on corridor #2 (Addis–Adama–Modjo) first, where a small number of large cement/beverage manufacturers generate dense, repeatable freight, before expanding onto the higher-volume but more contested Djibouti corridor.</w:t>
      </w:r>
    </w:p>
    <w:p>
      <w:pPr>
        <w:pStyle w:val="Heading1"/>
        <w:pageBreakBefore/>
        <w:pBdr>
          <w:bottom w:val="single" w:color="BFBFBF" w:sz="6" w:space="4"/>
        </w:pBdr>
        <w:spacing w:after="160" w:before="320"/>
      </w:pPr>
      <w:r>
        <w:rPr>
          <w:b/>
          <w:bCs/>
          <w:color w:val="1F3864"/>
          <w:sz w:val="30"/>
          <w:szCs w:val="30"/>
        </w:rPr>
        <w:t xml:space="preserve">5. Target Customer Analysis</w:t>
      </w:r>
    </w:p>
    <w:p>
      <w:pPr>
        <w:spacing w:after="140" w:line="300"/>
      </w:pPr>
      <w:r>
        <w:rPr>
          <w:sz w:val="22"/>
          <w:szCs w:val="22"/>
        </w:rPr>
        <w:t xml:space="preserve">The table below expands the customer-segment ranking previously delivered, adding the operational detail needed for go-to-market planning: concentration, decision-maker, and validation status.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900"/>
        <w:gridCol w:w="2100"/>
        <w:gridCol w:w="2400"/>
      </w:tblGrid>
      <w:tr>
        <w:trPr>
          <w:tblHeader/>
        </w:trPr>
        <w:tc>
          <w:tcPr>
            <w:tcW w:type="dxa" w:w="19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Segment</w:t>
            </w:r>
          </w:p>
        </w:tc>
        <w:tc>
          <w:tcPr>
            <w:tcW w:type="dxa" w:w="22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Concentration</w:t>
            </w:r>
          </w:p>
        </w:tc>
        <w:tc>
          <w:tcPr>
            <w:tcW w:type="dxa" w:w="19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Decision-maker(s)</w:t>
            </w:r>
          </w:p>
        </w:tc>
        <w:tc>
          <w:tcPr>
            <w:tcW w:type="dxa" w:w="21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Primary pain point</w:t>
            </w:r>
          </w:p>
        </w:tc>
        <w:tc>
          <w:tcPr>
            <w:tcW w:type="dxa" w:w="24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Willingness to pay (unverified)</w:t>
            </w:r>
          </w:p>
        </w:tc>
      </w:tr>
      <w:tr>
        <w:tc>
          <w:tcPr>
            <w:tcW w:type="dxa" w:w="1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Cement manufacturers</w:t>
            </w:r>
          </w:p>
        </w:tc>
        <w:tc>
          <w:tcPr>
            <w:tcW w:type="dxa" w:w="2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Very few large players (e.g., Derba Midroc, Muger, Dangote-type operators) — a handful of firms account for most national output</w:t>
            </w:r>
          </w:p>
        </w:tc>
        <w:tc>
          <w:tcPr>
            <w:tcW w:type="dxa" w:w="1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Logistics/distribution manager; procurement head</w:t>
            </w:r>
          </w:p>
        </w:tc>
        <w:tc>
          <w:tcPr>
            <w:tcW w:type="dxa" w:w="21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Truck availability at peak demand; cost of empty backhaul</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Likely high — large recurring freight spend, but strong existing carrier relationships to displace</w:t>
            </w:r>
          </w:p>
        </w:tc>
      </w:tr>
      <w:tr>
        <w:tc>
          <w:tcPr>
            <w:tcW w:type="dxa" w:w="1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Beverage manufacturers</w:t>
            </w:r>
          </w:p>
        </w:tc>
        <w:tc>
          <w:tcPr>
            <w:tcW w:type="dxa" w:w="2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Concentrated among a few large groups (e.g., BGI Ethiopia, Dashen Brewery, Moha Soft Drinks / East Africa Bottling)</w:t>
            </w:r>
          </w:p>
        </w:tc>
        <w:tc>
          <w:tcPr>
            <w:tcW w:type="dxa" w:w="1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Supply chain / distribution manager</w:t>
            </w:r>
          </w:p>
        </w:tc>
        <w:tc>
          <w:tcPr>
            <w:tcW w:type="dxa" w:w="21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Distribution reliability to retail/wholesale network; return-trip efficiency</w:t>
            </w:r>
          </w:p>
        </w:tc>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Likely medium-high — valued for visibility/reporting more than raw cost savings</w:t>
            </w:r>
          </w:p>
        </w:tc>
      </w:tr>
      <w:tr>
        <w:tc>
          <w:tcPr>
            <w:tcW w:type="dxa" w:w="1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Consumer goods / FMCG manufacturers</w:t>
            </w:r>
          </w:p>
        </w:tc>
        <w:tc>
          <w:tcPr>
            <w:tcW w:type="dxa" w:w="2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Moderately concentrated; more players than cement/beverage but still dominated by established manufacturers</w:t>
            </w:r>
          </w:p>
        </w:tc>
        <w:tc>
          <w:tcPr>
            <w:tcW w:type="dxa" w:w="1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Operations or logistics manager</w:t>
            </w:r>
          </w:p>
        </w:tc>
        <w:tc>
          <w:tcPr>
            <w:tcW w:type="dxa" w:w="21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Fragmented, informal carrier sourcing; limited shipment visibility</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 — price-sensitive, decision often influenced by existing broker relationships</w:t>
            </w:r>
          </w:p>
        </w:tc>
      </w:tr>
      <w:tr>
        <w:tc>
          <w:tcPr>
            <w:tcW w:type="dxa" w:w="1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Large distributors / wholesalers</w:t>
            </w:r>
          </w:p>
        </w:tc>
        <w:tc>
          <w:tcPr>
            <w:tcW w:type="dxa" w:w="2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Fragmented; many regional and city-level distributors</w:t>
            </w:r>
          </w:p>
        </w:tc>
        <w:tc>
          <w:tcPr>
            <w:tcW w:type="dxa" w:w="1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Owner-operator or logistics lead</w:t>
            </w:r>
          </w:p>
        </w:tc>
        <w:tc>
          <w:tcPr>
            <w:tcW w:type="dxa" w:w="21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Manual coordination, cash settlement risk, no performance record on carriers</w:t>
            </w:r>
          </w:p>
        </w:tc>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 — harder to reach as a concentrated segment; higher acquisition cost per customer</w:t>
            </w:r>
          </w:p>
        </w:tc>
      </w:tr>
      <w:tr>
        <w:tc>
          <w:tcPr>
            <w:tcW w:type="dxa" w:w="1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Importers / customs clearing agents</w:t>
            </w:r>
          </w:p>
        </w:tc>
        <w:tc>
          <w:tcPr>
            <w:tcW w:type="dxa" w:w="2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Moderately concentrated around Addis-based forwarding firms</w:t>
            </w:r>
          </w:p>
        </w:tc>
        <w:tc>
          <w:tcPr>
            <w:tcW w:type="dxa" w:w="1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Operations manager / owner</w:t>
            </w:r>
          </w:p>
        </w:tc>
        <w:tc>
          <w:tcPr>
            <w:tcW w:type="dxa" w:w="21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Truck scarcity and cost volatility at Djibouti corridor; customs/documentation friction</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Likely high, but this segment already has the most digital competition (Section 6)</w:t>
            </w:r>
          </w:p>
        </w:tc>
      </w:tr>
    </w:tbl>
    <w:p>
      <w:pPr>
        <w:pStyle w:val="Heading2"/>
        <w:spacing w:after="100" w:before="260"/>
      </w:pPr>
      <w:r>
        <w:rPr>
          <w:b/>
          <w:bCs/>
          <w:color w:val="2E5395"/>
          <w:sz w:val="24"/>
          <w:szCs w:val="24"/>
        </w:rPr>
        <w:t xml:space="preserve">5.1 Ideal Customer Profile (ICP)</w:t>
      </w:r>
    </w:p>
    <w:p>
      <w:pPr>
        <w:spacing w:after="140" w:line="300"/>
      </w:pPr>
      <w:r>
        <w:rPr>
          <w:sz w:val="22"/>
          <w:szCs w:val="22"/>
        </w:rPr>
        <w:t xml:space="preserve">Based on the above, the strongest initial ICP for Dynamics Transport is: a mid-to-large cement or beverage manufacturer, headquartered in or near Addis Ababa, shipping finished goods or raw materials on a recurring basis over the Addis–Adama–Modjo corridor, currently relying on personal broker relationships and phone/WhatsApp coordination, with a named logistics or distribution manager empowered to trial a new vendor without main-board approval. This profile combines high shipment frequency, a reachable and identifiable decision-maker, and a corridor where Dynamics Transport can credibly build a reliable transporter pool before attempting the more contested Djibouti corridor.</w:t>
      </w:r>
    </w:p>
    <w:p>
      <w:pPr>
        <w:pStyle w:val="Heading1"/>
        <w:pageBreakBefore/>
        <w:pBdr>
          <w:bottom w:val="single" w:color="BFBFBF" w:sz="6" w:space="4"/>
        </w:pBdr>
        <w:spacing w:after="160" w:before="320"/>
      </w:pPr>
      <w:r>
        <w:rPr>
          <w:b/>
          <w:bCs/>
          <w:color w:val="1F3864"/>
          <w:sz w:val="30"/>
          <w:szCs w:val="30"/>
        </w:rPr>
        <w:t xml:space="preserve">6. Competitive Analysis</w:t>
      </w:r>
    </w:p>
    <w:p>
      <w:pPr>
        <w:spacing w:after="140" w:line="300"/>
      </w:pPr>
      <w:r>
        <w:rPr>
          <w:sz w:val="22"/>
          <w:szCs w:val="22"/>
        </w:rPr>
        <w:t xml:space="preserve">This is the most consequential finding of the study. Ethiopia's digital freight-matching space, while still early, is not empty. At least six relevant players were identified as active, funded, or launching as of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600"/>
      </w:tblGrid>
      <w:tr>
        <w:trPr>
          <w:tblHeader/>
        </w:trPr>
        <w:tc>
          <w:tcPr>
            <w:tcW w:type="dxa" w:w="15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Player</w:t>
            </w:r>
          </w:p>
        </w:tc>
        <w:tc>
          <w:tcPr>
            <w:tcW w:type="dxa" w:w="20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Type</w:t>
            </w:r>
          </w:p>
        </w:tc>
        <w:tc>
          <w:tcPr>
            <w:tcW w:type="dxa" w:w="24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Focus</w:t>
            </w:r>
          </w:p>
        </w:tc>
        <w:tc>
          <w:tcPr>
            <w:tcW w:type="dxa" w:w="36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Notable strength / threat</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TOLO Freight</w:t>
            </w:r>
          </w:p>
        </w:tc>
        <w:tc>
          <w:tcPr>
            <w:tcW w:type="dxa" w:w="2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Homegrown digital freight marketplace (app)</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Matches shippers, carriers, and brokers; Djibouti corridor and general road freight</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Deliberately designed around cash settlement (separates matching from payment) — addresses the exact market reality most "clean" digital models get wrong in Ethiopia; multilingual</w:t>
            </w:r>
          </w:p>
        </w:tc>
      </w:tr>
      <w:tr>
        <w:tc>
          <w:tcPr>
            <w:tcW w:type="dxa" w:w="15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Wetruck AI (WeTruck TechEnable Solutions)</w:t>
            </w:r>
          </w:p>
        </w:tc>
        <w:tc>
          <w:tcPr>
            <w:tcW w:type="dxa" w:w="2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AI-powered digital freight platform, seed-funded</w:t>
            </w:r>
          </w:p>
        </w:tc>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Connects manufacturers/cargo owners with truck operators; route optimization, dynamic pricing, smart dispatch</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Backed by international seed investment (Global Mofy AI) and an advisory team including a former DHL Ethiopia freight executive — well capitalized and targeting the same manufacturer segment Dynamics Transport is considering</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Garri (Transporter app)</w:t>
            </w:r>
          </w:p>
        </w:tc>
        <w:tc>
          <w:tcPr>
            <w:tcW w:type="dxa" w:w="2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Mobile app (iOS) for transporters</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Job-finding, fleet/driver management, GPS tracking for transporters</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Already live with paying-adjacent features (finance management for transporters); primarily supply-side focused</w:t>
            </w:r>
          </w:p>
        </w:tc>
      </w:tr>
      <w:tr>
        <w:tc>
          <w:tcPr>
            <w:tcW w:type="dxa" w:w="15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Across Express</w:t>
            </w:r>
          </w:p>
        </w:tc>
        <w:tc>
          <w:tcPr>
            <w:tcW w:type="dxa" w:w="2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Web-based marketplace, seed-funded (since 2019)</w:t>
            </w:r>
          </w:p>
        </w:tc>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Connects shippers with carriers/agents; also offers warehousing and finance/payment options</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Longest-operating homegrown platform in this list; broader service bundle (warehousing, finance) than a pure matching app</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ETEF / United Africa Logistics platform</w:t>
            </w:r>
          </w:p>
        </w:tc>
        <w:tc>
          <w:tcPr>
            <w:tcW w:type="dxa" w:w="2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Trade-association-led digital platform (free to members)</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Importer booking, real-time tracking, direct communication, bypassing brokers</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Built by the federation whose members own ~90% of the country's trucks, and offered free — an extremely difficult structural competitor to out-price on the Djibouti corridor specifically</w:t>
            </w:r>
          </w:p>
        </w:tc>
      </w:tr>
      <w:tr>
        <w:tc>
          <w:tcPr>
            <w:tcW w:type="dxa" w:w="15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DHL Saloodo!</w:t>
            </w:r>
          </w:p>
        </w:tc>
        <w:tc>
          <w:tcPr>
            <w:tcW w:type="dxa" w:w="2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International digital road-freight platform, free-to-use</w:t>
            </w:r>
          </w:p>
        </w:tc>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Shipper-to-carrier matching backed by DHL's global/regional logistics network</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Global brand trust and existing enterprise relationships with large shippers; free pricing removes a monetization lever from a direct copy of this model</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Ethiopian Shipping &amp; Logistics (ESL)</w:t>
            </w:r>
          </w:p>
        </w:tc>
        <w:tc>
          <w:tcPr>
            <w:tcW w:type="dxa" w:w="2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State-owned incumbent carrier/broker</w:t>
            </w:r>
          </w:p>
        </w:tc>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Owns and leases the largest single truck fleet in the country; dominant on the Djibouti corridor</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Not a digital-first competitor, but its scale, political weight, and practice of leasing private capacity make it the default choice for many large shippers regardless of a platform's technology</w:t>
            </w:r>
          </w:p>
        </w:tc>
      </w:tr>
    </w:tbl>
    <w:p>
      <w:pPr>
        <w:pStyle w:val="Heading2"/>
        <w:spacing w:after="100" w:before="260"/>
      </w:pPr>
      <w:r>
        <w:rPr>
          <w:b/>
          <w:bCs/>
          <w:color w:val="2E5395"/>
          <w:sz w:val="24"/>
          <w:szCs w:val="24"/>
        </w:rPr>
        <w:t xml:space="preserve">6.1 Implications for Dynamics Transport</w:t>
      </w:r>
    </w:p>
    <w:p>
      <w:pPr>
        <w:pStyle w:val="ListParagraph"/>
        <w:numPr>
          <w:ilvl w:val="0"/>
          <w:numId w:val="2"/>
        </w:numPr>
        <w:spacing w:after="60" w:line="280"/>
      </w:pPr>
      <w:r>
        <w:rPr>
          <w:b/>
          <w:bCs/>
          <w:sz w:val="22"/>
          <w:szCs w:val="22"/>
        </w:rPr>
        <w:t xml:space="preserve">Head-on competition on the Djibouti corridor is not advisable. </w:t>
      </w:r>
      <w:r>
        <w:rPr>
          <w:sz w:val="22"/>
          <w:szCs w:val="22"/>
        </w:rPr>
        <w:t xml:space="preserve">A free, association-backed platform (ETEF) with access to ~90% of the country's trucks, plus a global brand (DHL Saloodo!, also free), plus a funded AI-driven entrant (Wetruck AI) targeting manufacturers specifically, together make that corridor and that customer segment expensive to contest without significant capital or a sharply different value proposition.</w:t>
      </w:r>
    </w:p>
    <w:p>
      <w:pPr>
        <w:pStyle w:val="ListParagraph"/>
        <w:numPr>
          <w:ilvl w:val="0"/>
          <w:numId w:val="2"/>
        </w:numPr>
        <w:spacing w:after="60" w:line="280"/>
      </w:pPr>
      <w:r>
        <w:rPr>
          <w:b/>
          <w:bCs/>
          <w:sz w:val="22"/>
          <w:szCs w:val="22"/>
        </w:rPr>
        <w:t xml:space="preserve">Differentiation must be specific, not generic. </w:t>
      </w:r>
      <w:r>
        <w:rPr>
          <w:sz w:val="22"/>
          <w:szCs w:val="22"/>
        </w:rPr>
        <w:t xml:space="preserve">"Digital freight matching" is no longer a novel pitch in Ethiopia. A credible wedge for Dynamics Transport would need to combine: (a) a narrower corridor focus where incumbents are thin (e.g., Addis–Adama–Modjo intra-industrial freight rather than the full Djibouti corridor), (b) deeper integration into a shipper's own operations (e.g., production-linked dispatch, transporter performance scorecards tailored to a manufacturer's SLAs) rather than a general marketplace, and/or (c) a founder-led, high-touch account-management model that a well-funded but leaner competitor may not replicate at small scale.</w:t>
      </w:r>
    </w:p>
    <w:p>
      <w:pPr>
        <w:pStyle w:val="ListParagraph"/>
        <w:numPr>
          <w:ilvl w:val="0"/>
          <w:numId w:val="2"/>
        </w:numPr>
        <w:spacing w:after="60" w:line="280"/>
      </w:pPr>
      <w:r>
        <w:rPr>
          <w:b/>
          <w:bCs/>
          <w:sz w:val="22"/>
          <w:szCs w:val="22"/>
        </w:rPr>
        <w:t xml:space="preserve">Validate before building. </w:t>
      </w:r>
      <w:r>
        <w:rPr>
          <w:sz w:val="22"/>
          <w:szCs w:val="22"/>
        </w:rPr>
        <w:t xml:space="preserve">Given how many well-positioned competitors already exist, Section 8's customer discovery step is not optional — it is the gating decision for whether Dynamics Transport should build a platform at all, versus finding a narrower service or partnership angle (e.g., specializing in transporter performance/verification data that other platforms could license, or focusing purely on one currently underserved manufacturing cluster).</w:t>
      </w:r>
    </w:p>
    <w:p>
      <w:pPr>
        <w:pStyle w:val="Heading1"/>
        <w:pageBreakBefore/>
        <w:pBdr>
          <w:bottom w:val="single" w:color="BFBFBF" w:sz="6" w:space="4"/>
        </w:pBdr>
        <w:spacing w:after="160" w:before="320"/>
      </w:pPr>
      <w:r>
        <w:rPr>
          <w:b/>
          <w:bCs/>
          <w:color w:val="1F3864"/>
          <w:sz w:val="30"/>
          <w:szCs w:val="30"/>
        </w:rPr>
        <w:t xml:space="preserve">7. Customer Discovery and Validation Methodology</w:t>
      </w:r>
    </w:p>
    <w:p>
      <w:pPr>
        <w:spacing w:after="140" w:line="300"/>
      </w:pPr>
      <w:r>
        <w:rPr>
          <w:sz w:val="22"/>
          <w:szCs w:val="22"/>
        </w:rPr>
        <w:t xml:space="preserve">The study's brief is explicit that "customers say they like the idea" is not evidence of viability. The methodology below is designed to distinguish polite interest from real commitment.</w:t>
      </w:r>
    </w:p>
    <w:p>
      <w:pPr>
        <w:pStyle w:val="Heading2"/>
        <w:spacing w:after="100" w:before="260"/>
      </w:pPr>
      <w:r>
        <w:rPr>
          <w:b/>
          <w:bCs/>
          <w:color w:val="2E5395"/>
          <w:sz w:val="24"/>
          <w:szCs w:val="24"/>
        </w:rPr>
        <w:t xml:space="preserve">7.1 Shipper-side interviews</w:t>
      </w:r>
    </w:p>
    <w:p>
      <w:pPr>
        <w:pStyle w:val="ListParagraph"/>
        <w:numPr>
          <w:ilvl w:val="0"/>
          <w:numId w:val="2"/>
        </w:numPr>
        <w:spacing w:after="60" w:line="280"/>
      </w:pPr>
      <w:r>
        <w:rPr>
          <w:b/>
          <w:bCs/>
          <w:sz w:val="22"/>
          <w:szCs w:val="22"/>
        </w:rPr>
        <w:t xml:space="preserve">Who: </w:t>
      </w:r>
      <w:r>
        <w:rPr>
          <w:sz w:val="22"/>
          <w:szCs w:val="22"/>
        </w:rPr>
        <w:t xml:space="preserve">procurement managers, logistics/supply-chain managers, distribution managers, finance managers, and operations managers at cement, beverage, and FMCG manufacturers.</w:t>
      </w:r>
    </w:p>
    <w:p>
      <w:pPr>
        <w:pStyle w:val="ListParagraph"/>
        <w:numPr>
          <w:ilvl w:val="0"/>
          <w:numId w:val="2"/>
        </w:numPr>
        <w:spacing w:after="60" w:line="280"/>
      </w:pPr>
      <w:r>
        <w:rPr>
          <w:b/>
          <w:bCs/>
          <w:sz w:val="22"/>
          <w:szCs w:val="22"/>
        </w:rPr>
        <w:t xml:space="preserve">Minimum sample: </w:t>
      </w:r>
      <w:r>
        <w:rPr>
          <w:sz w:val="22"/>
          <w:szCs w:val="22"/>
        </w:rPr>
        <w:t xml:space="preserve">20–25 structured interviews across at least 8–10 distinct companies, weighted toward the Addis–Adama–Modjo corridor, before drawing conclusions about segment viability.</w:t>
      </w:r>
    </w:p>
    <w:p>
      <w:pPr>
        <w:pStyle w:val="ListParagraph"/>
        <w:numPr>
          <w:ilvl w:val="0"/>
          <w:numId w:val="2"/>
        </w:numPr>
        <w:spacing w:after="60" w:line="280"/>
      </w:pPr>
      <w:r>
        <w:rPr>
          <w:b/>
          <w:bCs/>
          <w:sz w:val="22"/>
          <w:szCs w:val="22"/>
        </w:rPr>
        <w:t xml:space="preserve">Core questions: </w:t>
      </w:r>
      <w:r>
        <w:rPr>
          <w:sz w:val="22"/>
          <w:szCs w:val="22"/>
        </w:rPr>
        <w:t xml:space="preserve">How is freight sourced today (broker, personal relationship, in-house fleet)? How many shipments per week/month, and what is the average load value? What specifically goes wrong most often (truck no-shows, delays, damage, pricing disputes, lack of visibility)? What would a switch away from the current method require (contract terms, insurance, proof of reliability)? Who signs off on a new transport vendor, and what is that approval process? Would they commit to a paid pilot (with a defined volume and duration) rather than just "trying the app"?</w:t>
      </w:r>
    </w:p>
    <w:p>
      <w:pPr>
        <w:pStyle w:val="Heading2"/>
        <w:spacing w:after="100" w:before="260"/>
      </w:pPr>
      <w:r>
        <w:rPr>
          <w:b/>
          <w:bCs/>
          <w:color w:val="2E5395"/>
          <w:sz w:val="24"/>
          <w:szCs w:val="24"/>
        </w:rPr>
        <w:t xml:space="preserve">7.2 Transporter-side interviews</w:t>
      </w:r>
    </w:p>
    <w:p>
      <w:pPr>
        <w:pStyle w:val="ListParagraph"/>
        <w:numPr>
          <w:ilvl w:val="0"/>
          <w:numId w:val="2"/>
        </w:numPr>
        <w:spacing w:after="60" w:line="280"/>
      </w:pPr>
      <w:r>
        <w:rPr>
          <w:b/>
          <w:bCs/>
          <w:sz w:val="22"/>
          <w:szCs w:val="22"/>
        </w:rPr>
        <w:t xml:space="preserve">Who: </w:t>
      </w:r>
      <w:r>
        <w:rPr>
          <w:sz w:val="22"/>
          <w:szCs w:val="22"/>
        </w:rPr>
        <w:t xml:space="preserve">fleet owners, transport companies, independent truck owners, dispatchers, and a smaller sample of drivers, sourced partly through transport associations (including ETEF-affiliated operators, understanding they already have a free alternative) and partly through independent owner-operators outside association structures.</w:t>
      </w:r>
    </w:p>
    <w:p>
      <w:pPr>
        <w:pStyle w:val="ListParagraph"/>
        <w:numPr>
          <w:ilvl w:val="0"/>
          <w:numId w:val="2"/>
        </w:numPr>
        <w:spacing w:after="60" w:line="280"/>
      </w:pPr>
      <w:r>
        <w:rPr>
          <w:b/>
          <w:bCs/>
          <w:sz w:val="22"/>
          <w:szCs w:val="22"/>
        </w:rPr>
        <w:t xml:space="preserve">Minimum sample: </w:t>
      </w:r>
      <w:r>
        <w:rPr>
          <w:sz w:val="22"/>
          <w:szCs w:val="22"/>
        </w:rPr>
        <w:t xml:space="preserve">15–20 interviews, covering a mix of large fleet operators and independent single/few-truck owners, to test whether independent owners (who lack ETEF's free platform) are a more reachable supply-side wedge than association members.</w:t>
      </w:r>
    </w:p>
    <w:p>
      <w:pPr>
        <w:pStyle w:val="ListParagraph"/>
        <w:numPr>
          <w:ilvl w:val="0"/>
          <w:numId w:val="2"/>
        </w:numPr>
        <w:spacing w:after="60" w:line="280"/>
      </w:pPr>
      <w:r>
        <w:rPr>
          <w:b/>
          <w:bCs/>
          <w:sz w:val="22"/>
          <w:szCs w:val="22"/>
        </w:rPr>
        <w:t xml:space="preserve">Core questions: </w:t>
      </w:r>
      <w:r>
        <w:rPr>
          <w:sz w:val="22"/>
          <w:szCs w:val="22"/>
        </w:rPr>
        <w:t xml:space="preserve">How often do trucks run empty or idle, and why? How are jobs currently found? What would make them list availability on a new platform (cost, ease of use, guaranteed payment terms, trust)? What is an acceptable commission or subscription cost?</w:t>
      </w:r>
    </w:p>
    <w:p>
      <w:pPr>
        <w:pStyle w:val="Heading2"/>
        <w:spacing w:after="100" w:before="260"/>
      </w:pPr>
      <w:r>
        <w:rPr>
          <w:b/>
          <w:bCs/>
          <w:color w:val="2E5395"/>
          <w:sz w:val="24"/>
          <w:szCs w:val="24"/>
        </w:rPr>
        <w:t xml:space="preserve">7.3 Distinguishing interest from commitment</w:t>
      </w:r>
    </w:p>
    <w:p>
      <w:pPr>
        <w:spacing w:after="140" w:line="300"/>
      </w:pPr>
      <w:r>
        <w:rPr>
          <w:sz w:val="22"/>
          <w:szCs w:val="22"/>
        </w:rPr>
        <w:t xml:space="preserve">"Customers say they like the idea" means positive verbal feedback with no resource commitment. "Customers demonstrate willingness to pay or commit freight volume" means one or more of the following concrete signals:</w:t>
      </w:r>
    </w:p>
    <w:p>
      <w:pPr>
        <w:pStyle w:val="ListParagraph"/>
        <w:numPr>
          <w:ilvl w:val="0"/>
          <w:numId w:val="2"/>
        </w:numPr>
        <w:spacing w:after="60" w:line="280"/>
      </w:pPr>
      <w:r>
        <w:rPr>
          <w:sz w:val="22"/>
          <w:szCs w:val="22"/>
        </w:rPr>
        <w:t xml:space="preserve">A signed letter of intent specifying an approximate monthly shipment volume.</w:t>
      </w:r>
    </w:p>
    <w:p>
      <w:pPr>
        <w:pStyle w:val="ListParagraph"/>
        <w:numPr>
          <w:ilvl w:val="0"/>
          <w:numId w:val="2"/>
        </w:numPr>
        <w:spacing w:after="60" w:line="280"/>
      </w:pPr>
      <w:r>
        <w:rPr>
          <w:sz w:val="22"/>
          <w:szCs w:val="22"/>
        </w:rPr>
        <w:t xml:space="preserve">Agreement to a paid pilot (even a small, discounted fee) rather than a free trial only.</w:t>
      </w:r>
    </w:p>
    <w:p>
      <w:pPr>
        <w:pStyle w:val="ListParagraph"/>
        <w:numPr>
          <w:ilvl w:val="0"/>
          <w:numId w:val="2"/>
        </w:numPr>
        <w:spacing w:after="60" w:line="280"/>
      </w:pPr>
      <w:r>
        <w:rPr>
          <w:sz w:val="22"/>
          <w:szCs w:val="22"/>
        </w:rPr>
        <w:t xml:space="preserve">A completed trial shipment booked and paid for through the platform or a manual proxy of it.</w:t>
      </w:r>
    </w:p>
    <w:p>
      <w:pPr>
        <w:pStyle w:val="ListParagraph"/>
        <w:numPr>
          <w:ilvl w:val="0"/>
          <w:numId w:val="2"/>
        </w:numPr>
        <w:spacing w:after="60" w:line="280"/>
      </w:pPr>
      <w:r>
        <w:rPr>
          <w:sz w:val="22"/>
          <w:szCs w:val="22"/>
        </w:rPr>
        <w:t xml:space="preserve">A transporter's agreement to list a specific number of trucks/routes for a defined trial period.</w:t>
      </w:r>
    </w:p>
    <w:p>
      <w:pPr>
        <w:spacing w:after="140" w:line="300"/>
      </w:pPr>
      <w:r>
        <w:rPr>
          <w:sz w:val="22"/>
          <w:szCs w:val="22"/>
        </w:rPr>
        <w:t xml:space="preserve">Dynamics Transport should treat anything short of these signals as unvalidated interest, regardless of how enthusiastic the conversation was.</w:t>
      </w:r>
    </w:p>
    <w:p>
      <w:pPr>
        <w:pStyle w:val="Heading1"/>
        <w:pageBreakBefore/>
        <w:pBdr>
          <w:bottom w:val="single" w:color="BFBFBF" w:sz="6" w:space="4"/>
        </w:pBdr>
        <w:spacing w:after="160" w:before="320"/>
      </w:pPr>
      <w:r>
        <w:rPr>
          <w:b/>
          <w:bCs/>
          <w:color w:val="1F3864"/>
          <w:sz w:val="30"/>
          <w:szCs w:val="30"/>
        </w:rPr>
        <w:t xml:space="preserve">8. Market Sizing: TAM, SAM, SOM</w:t>
      </w:r>
    </w:p>
    <w:p>
      <w:pPr>
        <w:spacing w:after="160" w:line="280"/>
      </w:pPr>
      <w:r>
        <w:rPr>
          <w:i/>
          <w:iCs/>
          <w:color w:val="555555"/>
          <w:sz w:val="20"/>
          <w:szCs w:val="20"/>
        </w:rPr>
        <w:t xml:space="preserve">Every figure below is either a cited data point (marked “sourced”) or an explicit planning assumption (marked “assumption”) requiring validation through Section 7's discovery process before being used in fundraising or investment decisions.</w:t>
      </w:r>
    </w:p>
    <w:p>
      <w:pPr>
        <w:pStyle w:val="Heading2"/>
        <w:spacing w:after="100" w:before="260"/>
      </w:pPr>
      <w:r>
        <w:rPr>
          <w:b/>
          <w:bCs/>
          <w:color w:val="2E5395"/>
          <w:sz w:val="24"/>
          <w:szCs w:val="24"/>
        </w:rPr>
        <w:t xml:space="preserve">8.1 Top-down TAM</w:t>
      </w:r>
    </w:p>
    <w:p>
      <w:pPr>
        <w:pStyle w:val="ListParagraph"/>
        <w:numPr>
          <w:ilvl w:val="0"/>
          <w:numId w:val="2"/>
        </w:numPr>
        <w:spacing w:after="60" w:line="280"/>
      </w:pPr>
      <w:r>
        <w:rPr>
          <w:b/>
          <w:bCs/>
          <w:sz w:val="22"/>
          <w:szCs w:val="22"/>
        </w:rPr>
        <w:t xml:space="preserve">International trade freight (sourced): </w:t>
      </w:r>
      <w:r>
        <w:rPr>
          <w:sz w:val="22"/>
          <w:szCs w:val="22"/>
        </w:rPr>
        <w:t xml:space="preserve">Ethiopia moved approximately 17.6 million tons of international trade freight in the most recent annual period with available data, of which road transport carried about 14.08 million tons (roughly 80%), rail about 3.32 million tons, and air about 165,000 tons. This is the outer boundary of the corridor-freight opportunity, not Dynamics Transport's addressable market.</w:t>
      </w:r>
    </w:p>
    <w:p>
      <w:pPr>
        <w:pStyle w:val="ListParagraph"/>
        <w:numPr>
          <w:ilvl w:val="0"/>
          <w:numId w:val="2"/>
        </w:numPr>
        <w:spacing w:after="60" w:line="280"/>
      </w:pPr>
      <w:r>
        <w:rPr>
          <w:b/>
          <w:bCs/>
          <w:sz w:val="22"/>
          <w:szCs w:val="22"/>
        </w:rPr>
        <w:t xml:space="preserve">Domestic freight (assumption — data gap): </w:t>
      </w:r>
      <w:r>
        <w:rPr>
          <w:sz w:val="22"/>
          <w:szCs w:val="22"/>
        </w:rPr>
        <w:t xml:space="preserve">No single reliable public figure for total domestic (non-export) road freight tonnage or value was found in this research; Ethiopia's Ministry of Transport &amp; Logistics and the Central Statistics Service are the appropriate primary sources to request this data directly, and this gap should be closed before finalizing a business plan.</w:t>
      </w:r>
    </w:p>
    <w:p>
      <w:pPr>
        <w:pStyle w:val="ListParagraph"/>
        <w:numPr>
          <w:ilvl w:val="0"/>
          <w:numId w:val="2"/>
        </w:numPr>
        <w:spacing w:after="60" w:line="280"/>
      </w:pPr>
      <w:r>
        <w:rPr>
          <w:b/>
          <w:bCs/>
          <w:sz w:val="22"/>
          <w:szCs w:val="22"/>
        </w:rPr>
        <w:t xml:space="preserve">Illustrative top-down freight-spend TAM (assumption): </w:t>
      </w:r>
      <w:r>
        <w:rPr>
          <w:sz w:val="22"/>
          <w:szCs w:val="22"/>
        </w:rPr>
        <w:t xml:space="preserve">If domestic manufacturing/FMCG road-freight spend is conservatively assumed to be on the same order of magnitude as the international corridor freight bill — an assumption, not a sourced figure — the total addressable domestic manufacturing freight spend plausibly sits in the low hundreds of millions of USD per year. This figure should be treated as a placeholder only.</w:t>
      </w:r>
    </w:p>
    <w:p>
      <w:pPr>
        <w:pStyle w:val="Heading2"/>
        <w:spacing w:after="100" w:before="260"/>
      </w:pPr>
      <w:r>
        <w:rPr>
          <w:b/>
          <w:bCs/>
          <w:color w:val="2E5395"/>
          <w:sz w:val="24"/>
          <w:szCs w:val="24"/>
        </w:rPr>
        <w:t xml:space="preserve">8.2 Bottom-up TAM/SAM/SOM (illustrative model — all inputs are assumptions pending validation)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900"/>
      </w:tblGrid>
      <w:tr>
        <w:trPr>
          <w:tblHeader/>
        </w:trPr>
        <w:tc>
          <w:tcPr>
            <w:tcW w:type="dxa" w:w="24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Input</w:t>
            </w:r>
          </w:p>
        </w:tc>
        <w:tc>
          <w:tcPr>
            <w:tcW w:type="dxa" w:w="32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Assumption</w:t>
            </w:r>
          </w:p>
        </w:tc>
        <w:tc>
          <w:tcPr>
            <w:tcW w:type="dxa" w:w="49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Basis</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Target companies (cement, beverage, large FMCG) in initial corridor</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40–60 companies</w:t>
            </w:r>
          </w:p>
        </w:tc>
        <w:tc>
          <w:tcPr>
            <w:tcW w:type="dxa" w:w="4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Small number of large, identifiable manufacturers cluster around Addis/Adama/Modjo per industrial-park and factory listings reviewed</w:t>
            </w:r>
          </w:p>
        </w:tc>
      </w:tr>
      <w:tr>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Average shipments per company per month</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40–150</w:t>
            </w:r>
          </w:p>
        </w:tc>
        <w:tc>
          <w:tcPr>
            <w:tcW w:type="dxa" w:w="4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Assumption — varies hugely by company size; must be confirmed per Section 7 interviews</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Average freight value per shipment</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USD 150–400</w:t>
            </w:r>
          </w:p>
        </w:tc>
        <w:tc>
          <w:tcPr>
            <w:tcW w:type="dxa" w:w="4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Assumption based on typical domestic full-truckload distances and load sizes; requires validation</w:t>
            </w:r>
          </w:p>
        </w:tc>
      </w:tr>
      <w:tr>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Platform take rate / commission</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3–6% of freight value, or a flat per-shipment/subscription fee</w:t>
            </w:r>
          </w:p>
        </w:tc>
        <w:tc>
          <w:tcPr>
            <w:tcW w:type="dxa" w:w="4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Consistent with typical asset-light freight-marketplace commission ranges; must be tested against what shippers/transporters will tolerate in a cash-settled market</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SAM (Serviceable Available Market)</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Segment/geography-restricted portion of TAM: manufacturing/FMCG shippers on the top 2–3 corridors identified in Section 4</w:t>
            </w:r>
          </w:p>
        </w:tc>
        <w:tc>
          <w:tcPr>
            <w:tcW w:type="dxa" w:w="4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Excludes agricultural export, government/NGO, and fuel/bulk segments not targeted at launch</w:t>
            </w:r>
          </w:p>
        </w:tc>
      </w:tr>
      <w:tr>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SOM Year 1</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Low single-digit number of anchor customers (illustrative: 3–8 companies) and a modest transporter pool (illustrative: 30–80 trucks)</w:t>
            </w:r>
          </w:p>
        </w:tc>
        <w:tc>
          <w:tcPr>
            <w:tcW w:type="dxa" w:w="4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Reflects a founder-led, capital-constrained launch focused on one corridor</w:t>
            </w:r>
          </w:p>
        </w:tc>
      </w:tr>
      <w:tr>
        <w:tc>
          <w:tcPr>
            <w:tcW w:type="dxa" w:w="24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SOM Year 3</w:t>
            </w:r>
          </w:p>
        </w:tc>
        <w:tc>
          <w:tcPr>
            <w:tcW w:type="dxa" w:w="32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Expansion to a second corridor and a larger customer base (illustrative: 20–40 companies) if Year 1 retention and unit economics hold</w:t>
            </w:r>
          </w:p>
        </w:tc>
        <w:tc>
          <w:tcPr>
            <w:tcW w:type="dxa" w:w="4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Contingent on proving liquidity and repeat usage in Year 1</w:t>
            </w:r>
          </w:p>
        </w:tc>
      </w:tr>
      <w:tr>
        <w:tc>
          <w:tcPr>
            <w:tcW w:type="dxa" w:w="24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SOM Year 5</w:t>
            </w:r>
          </w:p>
        </w:tc>
        <w:tc>
          <w:tcPr>
            <w:tcW w:type="dxa" w:w="32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Multi-corridor platform with a meaningfully larger transporter network, assuming continued differentiation from better-funded competitors</w:t>
            </w:r>
          </w:p>
        </w:tc>
        <w:tc>
          <w:tcPr>
            <w:tcW w:type="dxa" w:w="4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Contingent on defensible differentiation per Section 6.1; not assured</w:t>
            </w:r>
          </w:p>
        </w:tc>
      </w:tr>
    </w:tbl>
    <w:p>
      <w:pPr>
        <w:spacing w:after="160" w:line="280"/>
      </w:pPr>
      <w:r>
        <w:rPr>
          <w:i/>
          <w:iCs/>
          <w:color w:val="555555"/>
          <w:sz w:val="20"/>
          <w:szCs w:val="20"/>
        </w:rPr>
        <w:t xml:space="preserve">The Year 1–5 SOM figures are illustrative placeholders for planning discussion, not forecasts. They should be replaced with real numbers once Section 7's interviews and pilot data exist.</w:t>
      </w:r>
    </w:p>
    <w:p>
      <w:pPr>
        <w:pStyle w:val="Heading1"/>
        <w:pageBreakBefore/>
        <w:pBdr>
          <w:bottom w:val="single" w:color="BFBFBF" w:sz="6" w:space="4"/>
        </w:pBdr>
        <w:spacing w:after="160" w:before="320"/>
      </w:pPr>
      <w:r>
        <w:rPr>
          <w:b/>
          <w:bCs/>
          <w:color w:val="1F3864"/>
          <w:sz w:val="30"/>
          <w:szCs w:val="30"/>
        </w:rPr>
        <w:t xml:space="preserve">9. Regulatory and Legal Considerations</w:t>
      </w:r>
    </w:p>
    <w:p>
      <w:pPr>
        <w:pStyle w:val="ListParagraph"/>
        <w:numPr>
          <w:ilvl w:val="0"/>
          <w:numId w:val="2"/>
        </w:numPr>
        <w:spacing w:after="60" w:line="280"/>
      </w:pPr>
      <w:r>
        <w:rPr>
          <w:b/>
          <w:bCs/>
          <w:sz w:val="22"/>
          <w:szCs w:val="22"/>
        </w:rPr>
        <w:t xml:space="preserve">Business registration. </w:t>
      </w:r>
      <w:r>
        <w:rPr>
          <w:sz w:val="22"/>
          <w:szCs w:val="22"/>
        </w:rPr>
        <w:t xml:space="preserve">Dynamics Transport is already structured as a sole proprietorship. A sole proprietorship structure limits ability to raise outside equity investment and exposes the founder to unlimited personal liability; converting to a private limited company (PLC) is worth considering once the business moves beyond a validation-stage MVP, particularly if outside investment or larger enterprise contracts require a corporate counterparty.</w:t>
      </w:r>
    </w:p>
    <w:p>
      <w:pPr>
        <w:pStyle w:val="ListParagraph"/>
        <w:numPr>
          <w:ilvl w:val="0"/>
          <w:numId w:val="2"/>
        </w:numPr>
        <w:spacing w:after="60" w:line="280"/>
      </w:pPr>
      <w:r>
        <w:rPr>
          <w:b/>
          <w:bCs/>
          <w:sz w:val="22"/>
          <w:szCs w:val="22"/>
        </w:rPr>
        <w:t xml:space="preserve">Core licensing question: is the platform a technology marketplace or a logistics operator? </w:t>
      </w:r>
      <w:r>
        <w:rPr>
          <w:sz w:val="22"/>
          <w:szCs w:val="22"/>
        </w:rPr>
        <w:t xml:space="preserve">This is the single most important legal question for the business model. If Dynamics Transport purely provides software that connects shippers and transporters (without taking on cargo liability, issuing waybills/bills of lading, or holding itself out as a carrier), it likely sits outside Ethiopia's heaviest freight-forwarding and multimodal-transport licensing regime, similar to how a listings/matching platform differs from a licensed carrier. If Dynamics Transport takes on any forwarding, consolidation, or carrier-of-record role, it is likely to fall under stricter rules.</w:t>
      </w:r>
    </w:p>
    <w:p>
      <w:pPr>
        <w:pStyle w:val="ListParagraph"/>
        <w:numPr>
          <w:ilvl w:val="0"/>
          <w:numId w:val="2"/>
        </w:numPr>
        <w:spacing w:after="60" w:line="280"/>
      </w:pPr>
      <w:r>
        <w:rPr>
          <w:b/>
          <w:bCs/>
          <w:sz w:val="22"/>
          <w:szCs w:val="22"/>
        </w:rPr>
        <w:t xml:space="preserve">Multi-Modal Transport Operators Directive No. 1140/2026. </w:t>
      </w:r>
      <w:r>
        <w:rPr>
          <w:sz w:val="22"/>
          <w:szCs w:val="22"/>
        </w:rPr>
        <w:t xml:space="preserve">This 2026 directive (which replaced a 2021 regulation) sets requirements for companies conducting multimodal transport/freight-forwarding activity: minimum paid-up capital of USD 1 million (with 10% deposited in a recognized bank), ownership or a minimum two-year lease of at least one hectare of terminal land with fencing, security, and a closed concrete warehouse, and at least three years of relevant sector experience for the company or its shareholders. These thresholds are far beyond what a bootstrapped sole proprietorship can meet and should be treated as a hard boundary defining what Dynamics Transport must not become, at least at launch.</w:t>
      </w:r>
    </w:p>
    <w:p>
      <w:pPr>
        <w:pStyle w:val="ListParagraph"/>
        <w:numPr>
          <w:ilvl w:val="0"/>
          <w:numId w:val="2"/>
        </w:numPr>
        <w:spacing w:after="60" w:line="280"/>
      </w:pPr>
      <w:r>
        <w:rPr>
          <w:b/>
          <w:bCs/>
          <w:sz w:val="22"/>
          <w:szCs w:val="22"/>
        </w:rPr>
        <w:t xml:space="preserve">Foreign ownership reform. </w:t>
      </w:r>
      <w:r>
        <w:rPr>
          <w:sz w:val="22"/>
          <w:szCs w:val="22"/>
        </w:rPr>
        <w:t xml:space="preserve">As of the Ethiopian Investment Board's decision of 25 May 2026, the prior 49% foreign-ownership cap on freight forwarding was removed, opening the sector to full foreign ownership — relevant primarily if Dynamics Transport later seeks foreign investment or a foreign technology/logistics partner, and a sign that competitors with foreign capital (e.g., Wetruck AI) may find it easier to scale capital-intensive parts of the business than a purely domestic entrant.</w:t>
      </w:r>
    </w:p>
    <w:p>
      <w:pPr>
        <w:pStyle w:val="ListParagraph"/>
        <w:numPr>
          <w:ilvl w:val="0"/>
          <w:numId w:val="2"/>
        </w:numPr>
        <w:spacing w:after="60" w:line="280"/>
      </w:pPr>
      <w:r>
        <w:rPr>
          <w:b/>
          <w:bCs/>
          <w:sz w:val="22"/>
          <w:szCs w:val="22"/>
        </w:rPr>
        <w:t xml:space="preserve">Payments and settlement. </w:t>
      </w:r>
      <w:r>
        <w:rPr>
          <w:sz w:val="22"/>
          <w:szCs w:val="22"/>
        </w:rPr>
        <w:t xml:space="preserve">Given low mobile-money penetration relative to regional peers, any in-platform payment or escrow feature should be designed as optional/parallel to continued cash settlement, consistent with TOLO Freight's approach, rather than assuming digital payment adoption ahead of the market.</w:t>
      </w:r>
    </w:p>
    <w:p>
      <w:pPr>
        <w:pStyle w:val="ListParagraph"/>
        <w:numPr>
          <w:ilvl w:val="0"/>
          <w:numId w:val="2"/>
        </w:numPr>
        <w:spacing w:after="60" w:line="280"/>
      </w:pPr>
      <w:r>
        <w:rPr>
          <w:b/>
          <w:bCs/>
          <w:sz w:val="22"/>
          <w:szCs w:val="22"/>
        </w:rPr>
        <w:t xml:space="preserve">Data and liability. </w:t>
      </w:r>
      <w:r>
        <w:rPr>
          <w:sz w:val="22"/>
          <w:szCs w:val="22"/>
        </w:rPr>
        <w:t xml:space="preserve">Standard commercial contract terms should clearly disclaim Dynamics Transport's liability for cargo loss/damage and delivery delay if it is positioned as a matching platform rather than a carrier — this distinction should be reviewed with an Ethiopian commercial lawyer before launch, as mischaracterizing the platform's legal role could trigger the heavier licensing regime described above.</w:t>
      </w:r>
    </w:p>
    <w:p>
      <w:pPr>
        <w:spacing w:after="160" w:line="280"/>
      </w:pPr>
      <w:r>
        <w:rPr>
          <w:i/>
          <w:iCs/>
          <w:color w:val="555555"/>
          <w:sz w:val="20"/>
          <w:szCs w:val="20"/>
        </w:rPr>
        <w:t xml:space="preserve">This section is not legal advice. Dynamics Transport should engage an Ethiopian corporate/commercial lawyer to confirm licensing classification before launch, particularly regarding the boundary between a technology marketplace and a regulated multimodal transport operator.</w:t>
      </w:r>
    </w:p>
    <w:p>
      <w:pPr>
        <w:pStyle w:val="Heading1"/>
        <w:pageBreakBefore/>
        <w:pBdr>
          <w:bottom w:val="single" w:color="BFBFBF" w:sz="6" w:space="4"/>
        </w:pBdr>
        <w:spacing w:after="160" w:before="320"/>
      </w:pPr>
      <w:r>
        <w:rPr>
          <w:b/>
          <w:bCs/>
          <w:color w:val="1F3864"/>
          <w:sz w:val="30"/>
          <w:szCs w:val="30"/>
        </w:rPr>
        <w:t xml:space="preserve">10. Technology Requirements and MVP Scope</w:t>
      </w:r>
    </w:p>
    <w:p>
      <w:pPr>
        <w:pStyle w:val="Heading2"/>
        <w:spacing w:after="100" w:before="260"/>
      </w:pPr>
      <w:r>
        <w:rPr>
          <w:b/>
          <w:bCs/>
          <w:color w:val="2E5395"/>
          <w:sz w:val="24"/>
          <w:szCs w:val="24"/>
        </w:rPr>
        <w:t xml:space="preserve">10.1 What the MVP genuinely needs</w:t>
      </w:r>
    </w:p>
    <w:p>
      <w:pPr>
        <w:pStyle w:val="ListParagraph"/>
        <w:numPr>
          <w:ilvl w:val="0"/>
          <w:numId w:val="2"/>
        </w:numPr>
        <w:spacing w:after="60" w:line="280"/>
      </w:pPr>
      <w:r>
        <w:rPr>
          <w:sz w:val="22"/>
          <w:szCs w:val="22"/>
        </w:rPr>
        <w:t xml:space="preserve">Shipper-side transport request creation (origin, destination, cargo type/weight, requested date).</w:t>
      </w:r>
    </w:p>
    <w:p>
      <w:pPr>
        <w:pStyle w:val="ListParagraph"/>
        <w:numPr>
          <w:ilvl w:val="0"/>
          <w:numId w:val="2"/>
        </w:numPr>
        <w:spacing w:after="60" w:line="280"/>
      </w:pPr>
      <w:r>
        <w:rPr>
          <w:sz w:val="22"/>
          <w:szCs w:val="22"/>
        </w:rPr>
        <w:t xml:space="preserve">Basic transporter/truck matching — manual or semi-automated dispatch is acceptable at MVP stage; full algorithmic optimization is not required to validate demand.</w:t>
      </w:r>
    </w:p>
    <w:p>
      <w:pPr>
        <w:pStyle w:val="ListParagraph"/>
        <w:numPr>
          <w:ilvl w:val="0"/>
          <w:numId w:val="2"/>
        </w:numPr>
        <w:spacing w:after="60" w:line="280"/>
      </w:pPr>
      <w:r>
        <w:rPr>
          <w:sz w:val="22"/>
          <w:szCs w:val="22"/>
        </w:rPr>
        <w:t xml:space="preserve">Simple digital quotation/confirmation flow between shipper and transporter.</w:t>
      </w:r>
    </w:p>
    <w:p>
      <w:pPr>
        <w:pStyle w:val="ListParagraph"/>
        <w:numPr>
          <w:ilvl w:val="0"/>
          <w:numId w:val="2"/>
        </w:numPr>
        <w:spacing w:after="60" w:line="280"/>
      </w:pPr>
      <w:r>
        <w:rPr>
          <w:sz w:val="22"/>
          <w:szCs w:val="22"/>
        </w:rPr>
        <w:t xml:space="preserve">Shipment status updates (picked up, in transit, delivered) — SMS/USSD-compatible for drivers without smartphones or reliable data, given Ethiopia's connectivity variance outside Addis Ababa.</w:t>
      </w:r>
    </w:p>
    <w:p>
      <w:pPr>
        <w:pStyle w:val="ListParagraph"/>
        <w:numPr>
          <w:ilvl w:val="0"/>
          <w:numId w:val="2"/>
        </w:numPr>
        <w:spacing w:after="60" w:line="280"/>
      </w:pPr>
      <w:r>
        <w:rPr>
          <w:sz w:val="22"/>
          <w:szCs w:val="22"/>
        </w:rPr>
        <w:t xml:space="preserve">Basic proof of delivery (photo or signature capture).</w:t>
      </w:r>
    </w:p>
    <w:p>
      <w:pPr>
        <w:pStyle w:val="ListParagraph"/>
        <w:numPr>
          <w:ilvl w:val="0"/>
          <w:numId w:val="2"/>
        </w:numPr>
        <w:spacing w:after="60" w:line="280"/>
      </w:pPr>
      <w:r>
        <w:rPr>
          <w:sz w:val="22"/>
          <w:szCs w:val="22"/>
        </w:rPr>
        <w:t xml:space="preserve">A simple transporter performance record (on-time rate, completed trips) visible to shippers — this is a low-cost feature with high differentiation value against generic matching apps.</w:t>
      </w:r>
    </w:p>
    <w:p>
      <w:pPr>
        <w:pStyle w:val="Heading2"/>
        <w:spacing w:after="100" w:before="260"/>
      </w:pPr>
      <w:r>
        <w:rPr>
          <w:b/>
          <w:bCs/>
          <w:color w:val="2E5395"/>
          <w:sz w:val="24"/>
          <w:szCs w:val="24"/>
        </w:rPr>
        <w:t xml:space="preserve">10.2 What should be postponed</w:t>
      </w:r>
    </w:p>
    <w:p>
      <w:pPr>
        <w:pStyle w:val="ListParagraph"/>
        <w:numPr>
          <w:ilvl w:val="0"/>
          <w:numId w:val="2"/>
        </w:numPr>
        <w:spacing w:after="60" w:line="280"/>
      </w:pPr>
      <w:r>
        <w:rPr>
          <w:sz w:val="22"/>
          <w:szCs w:val="22"/>
        </w:rPr>
        <w:t xml:space="preserve">In-app digital payment/escrow — postpone given low mobile-money penetration; track cash settlement outside the app initially, following TOLO Freight's validated approach.</w:t>
      </w:r>
    </w:p>
    <w:p>
      <w:pPr>
        <w:pStyle w:val="ListParagraph"/>
        <w:numPr>
          <w:ilvl w:val="0"/>
          <w:numId w:val="2"/>
        </w:numPr>
        <w:spacing w:after="60" w:line="280"/>
      </w:pPr>
      <w:r>
        <w:rPr>
          <w:sz w:val="22"/>
          <w:szCs w:val="22"/>
        </w:rPr>
        <w:t xml:space="preserve">Route optimization / dynamic pricing algorithms — valuable eventually, but Wetruck AI is already building this; Dynamics Transport should not try to out-engineer a funded competitor on this dimension at MVP stage.</w:t>
      </w:r>
    </w:p>
    <w:p>
      <w:pPr>
        <w:pStyle w:val="ListParagraph"/>
        <w:numPr>
          <w:ilvl w:val="0"/>
          <w:numId w:val="2"/>
        </w:numPr>
        <w:spacing w:after="60" w:line="280"/>
      </w:pPr>
      <w:r>
        <w:rPr>
          <w:sz w:val="22"/>
          <w:szCs w:val="22"/>
        </w:rPr>
        <w:t xml:space="preserve">A dedicated driver app — start with SMS/WhatsApp-based driver communication; build a native driver app only once transporter volume justifies it.</w:t>
      </w:r>
    </w:p>
    <w:p>
      <w:pPr>
        <w:pStyle w:val="ListParagraph"/>
        <w:numPr>
          <w:ilvl w:val="0"/>
          <w:numId w:val="2"/>
        </w:numPr>
        <w:spacing w:after="60" w:line="280"/>
      </w:pPr>
      <w:r>
        <w:rPr>
          <w:sz w:val="22"/>
          <w:szCs w:val="22"/>
        </w:rPr>
        <w:t xml:space="preserve">Advanced analytics/reporting dashboards — useful for retention later, but not necessary to prove initial willingness to pay.</w:t>
      </w:r>
    </w:p>
    <w:p>
      <w:pPr>
        <w:spacing w:after="160" w:line="280"/>
      </w:pPr>
      <w:r>
        <w:rPr>
          <w:i/>
          <w:iCs/>
          <w:color w:val="555555"/>
          <w:sz w:val="20"/>
          <w:szCs w:val="20"/>
        </w:rPr>
        <w:t xml:space="preserve">As a full-stack developer, Marew Masresha is well positioned to build this MVP directly rather than outsourcing development, which meaningfully reduces the capital requirement estimated in Section 11 relative to a founder who would need to hire a technical team.</w:t>
      </w:r>
    </w:p>
    <w:p>
      <w:pPr>
        <w:pStyle w:val="Heading1"/>
        <w:pageBreakBefore/>
        <w:pBdr>
          <w:bottom w:val="single" w:color="BFBFBF" w:sz="6" w:space="4"/>
        </w:pBdr>
        <w:spacing w:after="160" w:before="320"/>
      </w:pPr>
      <w:r>
        <w:rPr>
          <w:b/>
          <w:bCs/>
          <w:color w:val="1F3864"/>
          <w:sz w:val="30"/>
          <w:szCs w:val="30"/>
        </w:rPr>
        <w:t xml:space="preserve">11. Financial Feasibility</w:t>
      </w:r>
    </w:p>
    <w:p>
      <w:pPr>
        <w:spacing w:after="160" w:line="280"/>
      </w:pPr>
      <w:r>
        <w:rPr>
          <w:i/>
          <w:iCs/>
          <w:color w:val="555555"/>
          <w:sz w:val="20"/>
          <w:szCs w:val="20"/>
        </w:rPr>
        <w:t xml:space="preserve">All figures in this section are planning assumptions in USD-equivalent terms unless otherwise noted, intended to frame the scale of investment required — not a certified financial forecast. Actual costs should be re-quoted locally in Ethiopian birr before use in any funding request.</w:t>
      </w:r>
    </w:p>
    <w:p>
      <w:pPr>
        <w:pStyle w:val="Heading2"/>
        <w:spacing w:after="100" w:before="260"/>
      </w:pPr>
      <w:r>
        <w:rPr>
          <w:b/>
          <w:bCs/>
          <w:color w:val="2E5395"/>
          <w:sz w:val="24"/>
          <w:szCs w:val="24"/>
        </w:rPr>
        <w:t xml:space="preserve">11.1 Illustrative startup investment (Year 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300"/>
      </w:tblGrid>
      <w:tr>
        <w:trPr>
          <w:tblHeader/>
        </w:trPr>
        <w:tc>
          <w:tcPr>
            <w:tcW w:type="dxa" w:w="36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Item</w:t>
            </w:r>
          </w:p>
        </w:tc>
        <w:tc>
          <w:tcPr>
            <w:tcW w:type="dxa" w:w="26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Illustrative range (USD)</w:t>
            </w:r>
          </w:p>
        </w:tc>
        <w:tc>
          <w:tcPr>
            <w:tcW w:type="dxa" w:w="33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Notes</w:t>
            </w:r>
          </w:p>
        </w:tc>
      </w:tr>
      <w:tr>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MVP software development</w:t>
            </w:r>
          </w:p>
        </w:tc>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Low — founder builds it directly</w:t>
            </w:r>
          </w:p>
        </w:tc>
        <w:tc>
          <w:tcPr>
            <w:tcW w:type="dxa" w:w="3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Marew's full-stack background substantially reduces this line versus a non-technical founder</w:t>
            </w:r>
          </w:p>
        </w:tc>
      </w:tr>
      <w:tr>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Business registration, licensing review, legal counsel</w:t>
            </w:r>
          </w:p>
        </w:tc>
        <w:tc>
          <w:tcPr>
            <w:tcW w:type="dxa" w:w="2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1,500 – 4,000</w:t>
            </w:r>
          </w:p>
        </w:tc>
        <w:tc>
          <w:tcPr>
            <w:tcW w:type="dxa" w:w="3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Includes confirming licensing classification per Section 9</w:t>
            </w:r>
          </w:p>
        </w:tc>
      </w:tr>
      <w:tr>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Initial marketing / customer discovery (travel, materials, incentives for pilot customers)</w:t>
            </w:r>
          </w:p>
        </w:tc>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2,000 – 5,000</w:t>
            </w:r>
          </w:p>
        </w:tc>
        <w:tc>
          <w:tcPr>
            <w:tcW w:type="dxa" w:w="3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Covers Section 7's interview and pilot program</w:t>
            </w:r>
          </w:p>
        </w:tc>
      </w:tr>
      <w:tr>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Basic operations tooling (SMS/USSD gateway, cloud hosting, mapping/GPS APIs)</w:t>
            </w:r>
          </w:p>
        </w:tc>
        <w:tc>
          <w:tcPr>
            <w:tcW w:type="dxa" w:w="2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1,000 – 3,000</w:t>
            </w:r>
          </w:p>
        </w:tc>
        <w:tc>
          <w:tcPr>
            <w:tcW w:type="dxa" w:w="3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Recurring cost also appears in operating budget below</w:t>
            </w:r>
          </w:p>
        </w:tc>
      </w:tr>
      <w:tr>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Contingency (15–20%)</w:t>
            </w:r>
          </w:p>
        </w:tc>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w:t>
            </w:r>
          </w:p>
        </w:tc>
        <w:tc>
          <w:tcPr>
            <w:tcW w:type="dxa" w:w="3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Standard buffer for an early-stage venture in an emerging regulatory environment</w:t>
            </w:r>
          </w:p>
        </w:tc>
      </w:tr>
    </w:tbl>
    <w:p>
      <w:pPr>
        <w:pStyle w:val="Heading2"/>
        <w:spacing w:after="100" w:before="260"/>
      </w:pPr>
      <w:r>
        <w:rPr>
          <w:b/>
          <w:bCs/>
          <w:color w:val="2E5395"/>
          <w:sz w:val="24"/>
          <w:szCs w:val="24"/>
        </w:rPr>
        <w:t xml:space="preserve">11.2 Illustrative monthly operating costs (post-launch)</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900"/>
      </w:tblGrid>
      <w:tr>
        <w:trPr>
          <w:tblHeader/>
        </w:trPr>
        <w:tc>
          <w:tcPr>
            <w:tcW w:type="dxa" w:w="36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Item</w:t>
            </w:r>
          </w:p>
        </w:tc>
        <w:tc>
          <w:tcPr>
            <w:tcW w:type="dxa" w:w="30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Illustrative monthly range (USD)</w:t>
            </w:r>
          </w:p>
        </w:tc>
        <w:tc>
          <w:tcPr>
            <w:tcW w:type="dxa" w:w="39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Notes</w:t>
            </w:r>
          </w:p>
        </w:tc>
      </w:tr>
      <w:tr>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Hosting, SMS/USSD gateway, mapping APIs</w:t>
            </w:r>
          </w:p>
        </w:tc>
        <w:tc>
          <w:tcPr>
            <w:tcW w:type="dxa" w:w="3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150 – 500</w:t>
            </w:r>
          </w:p>
        </w:tc>
        <w:tc>
          <w:tcPr>
            <w:tcW w:type="dxa" w:w="3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Scales with transaction volume</w:t>
            </w:r>
          </w:p>
        </w:tc>
      </w:tr>
      <w:tr>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Customer success / account management (part-time or founder time)</w:t>
            </w:r>
          </w:p>
        </w:tc>
        <w:tc>
          <w:tcPr>
            <w:tcW w:type="dxa" w:w="3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w:t>
            </w:r>
          </w:p>
        </w:tc>
        <w:tc>
          <w:tcPr>
            <w:tcW w:type="dxa" w:w="3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Likely founder-led at MVP stage; budget for a first hire once anchor customers are secured</w:t>
            </w:r>
          </w:p>
        </w:tc>
      </w:tr>
      <w:tr>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Sales &amp; business development</w:t>
            </w:r>
          </w:p>
        </w:tc>
        <w:tc>
          <w:tcPr>
            <w:tcW w:type="dxa" w:w="3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300 – 1,000</w:t>
            </w:r>
          </w:p>
        </w:tc>
        <w:tc>
          <w:tcPr>
            <w:tcW w:type="dxa" w:w="3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Field visits to manufacturers and transport associations; corridor-focused</w:t>
            </w:r>
          </w:p>
        </w:tc>
      </w:tr>
      <w:tr>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Transporter onboarding &amp; support</w:t>
            </w:r>
          </w:p>
        </w:tc>
        <w:tc>
          <w:tcPr>
            <w:tcW w:type="dxa" w:w="30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200 – 600</w:t>
            </w:r>
          </w:p>
        </w:tc>
        <w:tc>
          <w:tcPr>
            <w:tcW w:type="dxa" w:w="39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Verification, basic training, SIM/data support for drivers where needed</w:t>
            </w:r>
          </w:p>
        </w:tc>
      </w:tr>
      <w:tr>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Legal/compliance retainer</w:t>
            </w:r>
          </w:p>
        </w:tc>
        <w:tc>
          <w:tcPr>
            <w:tcW w:type="dxa" w:w="30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150 – 400</w:t>
            </w:r>
          </w:p>
        </w:tc>
        <w:tc>
          <w:tcPr>
            <w:tcW w:type="dxa" w:w="39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Ongoing given the evolving 2026 regulatory environment described in Section 9</w:t>
            </w:r>
          </w:p>
        </w:tc>
      </w:tr>
    </w:tbl>
    <w:p>
      <w:pPr>
        <w:pStyle w:val="Heading2"/>
        <w:spacing w:after="100" w:before="260"/>
      </w:pPr>
      <w:r>
        <w:rPr>
          <w:b/>
          <w:bCs/>
          <w:color w:val="2E5395"/>
          <w:sz w:val="24"/>
          <w:szCs w:val="24"/>
        </w:rPr>
        <w:t xml:space="preserve">11.3 Revenue model options</w:t>
      </w:r>
    </w:p>
    <w:p>
      <w:pPr>
        <w:pStyle w:val="ListParagraph"/>
        <w:numPr>
          <w:ilvl w:val="0"/>
          <w:numId w:val="2"/>
        </w:numPr>
        <w:spacing w:after="60" w:line="280"/>
      </w:pPr>
      <w:r>
        <w:rPr>
          <w:b/>
          <w:bCs/>
          <w:sz w:val="22"/>
          <w:szCs w:val="22"/>
        </w:rPr>
        <w:t xml:space="preserve">Commission per shipment (3–6% of freight value): </w:t>
      </w:r>
      <w:r>
        <w:rPr>
          <w:sz w:val="22"/>
          <w:szCs w:val="22"/>
        </w:rPr>
        <w:t xml:space="preserve">Aligns platform incentives with transaction volume; easiest to justify to shippers as “pay only when you use it,” but revenue is harder to forecast until volume is proven.</w:t>
      </w:r>
    </w:p>
    <w:p>
      <w:pPr>
        <w:pStyle w:val="ListParagraph"/>
        <w:numPr>
          <w:ilvl w:val="0"/>
          <w:numId w:val="2"/>
        </w:numPr>
        <w:spacing w:after="60" w:line="280"/>
      </w:pPr>
      <w:r>
        <w:rPr>
          <w:b/>
          <w:bCs/>
          <w:sz w:val="22"/>
          <w:szCs w:val="22"/>
        </w:rPr>
        <w:t xml:space="preserve">Flat subscription per shipper (monthly/annual): </w:t>
      </w:r>
      <w:r>
        <w:rPr>
          <w:sz w:val="22"/>
          <w:szCs w:val="22"/>
        </w:rPr>
        <w:t xml:space="preserve">More predictable revenue and easier to sell to a finance department used to fixed vendor costs; risks under-monetizing very high-volume customers and requires enough perceived value (visibility, reporting, performance data) to justify a fixed fee independent of usage.</w:t>
      </w:r>
    </w:p>
    <w:p>
      <w:pPr>
        <w:pStyle w:val="ListParagraph"/>
        <w:numPr>
          <w:ilvl w:val="0"/>
          <w:numId w:val="2"/>
        </w:numPr>
        <w:spacing w:after="60" w:line="280"/>
      </w:pPr>
      <w:r>
        <w:rPr>
          <w:b/>
          <w:bCs/>
          <w:sz w:val="22"/>
          <w:szCs w:val="22"/>
        </w:rPr>
        <w:t xml:space="preserve">Hybrid — low flat access fee plus reduced per-shipment commission: </w:t>
      </w:r>
      <w:r>
        <w:rPr>
          <w:sz w:val="22"/>
          <w:szCs w:val="22"/>
        </w:rPr>
        <w:t xml:space="preserve">Likely the most defensible option for an early-stage entrant competing against several free competitors (ETEF's platform, DHL Saloodo!); the flat fee should be framed around a specific paid value (performance data, dedicated account support) rather than access to the marketplace itself.</w:t>
      </w:r>
    </w:p>
    <w:p>
      <w:pPr>
        <w:spacing w:after="140" w:line="300"/>
      </w:pPr>
      <w:r>
        <w:rPr>
          <w:sz w:val="22"/>
          <w:szCs w:val="22"/>
        </w:rPr>
        <w:t xml:space="preserve">Given that two of Dynamics Transport's most credible competitors (the ETEF platform and DHL Saloodo!) are free to use, pricing strategy is not a minor detail — it is a core part of the differentiation question raised in Section 6.1 and should be tested directly with pilot customers rather than assumed.</w:t>
      </w:r>
    </w:p>
    <w:p>
      <w:pPr>
        <w:pStyle w:val="Heading2"/>
        <w:spacing w:after="100" w:before="260"/>
      </w:pPr>
      <w:r>
        <w:rPr>
          <w:b/>
          <w:bCs/>
          <w:color w:val="2E5395"/>
          <w:sz w:val="24"/>
          <w:szCs w:val="24"/>
        </w:rPr>
        <w:t xml:space="preserve">11.4 Break-even framing</w:t>
      </w:r>
    </w:p>
    <w:p>
      <w:pPr>
        <w:spacing w:after="140" w:line="300"/>
      </w:pPr>
      <w:r>
        <w:rPr>
          <w:sz w:val="22"/>
          <w:szCs w:val="22"/>
        </w:rPr>
        <w:t xml:space="preserve">Break-even timing cannot be responsibly estimated without validated inputs for customer acquisition cost, retention, and average revenue per customer — all currently unknown. As a framing exercise only: if the hybrid model above generates an illustrative USD 150–400 per active shipper per month in blended commission and fee revenue, and monthly operating costs run at the low end of the Section 11.2 range (roughly USD 800–1,000/month excluding founder time), break-even on cash operating costs alone could plausibly occur with 3–6 actively paying shipper customers. This is a sensitivity illustration, not a forecast, and should be rebuilt with real numbers after the Section 7 pilot.</w:t>
      </w:r>
    </w:p>
    <w:p>
      <w:pPr>
        <w:pStyle w:val="Heading1"/>
        <w:pageBreakBefore/>
        <w:pBdr>
          <w:bottom w:val="single" w:color="BFBFBF" w:sz="6" w:space="4"/>
        </w:pBdr>
        <w:spacing w:after="160" w:before="320"/>
      </w:pPr>
      <w:r>
        <w:rPr>
          <w:b/>
          <w:bCs/>
          <w:color w:val="1F3864"/>
          <w:sz w:val="30"/>
          <w:szCs w:val="30"/>
        </w:rPr>
        <w:t xml:space="preserve">12. Growth Scenarios (Illustrative)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00"/>
      </w:tblGrid>
      <w:tr>
        <w:trPr>
          <w:tblHeader/>
        </w:trPr>
        <w:tc>
          <w:tcPr>
            <w:tcW w:type="dxa" w:w="15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Horizon</w:t>
            </w:r>
          </w:p>
        </w:tc>
        <w:tc>
          <w:tcPr>
            <w:tcW w:type="dxa" w:w="27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Conservative</w:t>
            </w:r>
          </w:p>
        </w:tc>
        <w:tc>
          <w:tcPr>
            <w:tcW w:type="dxa" w:w="27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Base case</w:t>
            </w:r>
          </w:p>
        </w:tc>
        <w:tc>
          <w:tcPr>
            <w:tcW w:type="dxa" w:w="27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Optimistic</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Year 1</w:t>
            </w:r>
          </w:p>
        </w:tc>
        <w:tc>
          <w:tcPr>
            <w:tcW w:type="dxa" w:w="27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1–2 pilot customers signed; platform validated on a single corridor only; may reveal the concept should pivot or stop</w:t>
            </w:r>
          </w:p>
        </w:tc>
        <w:tc>
          <w:tcPr>
            <w:tcW w:type="dxa" w:w="27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3–8 paying shipper customers; 30–80 trucks onboarded on 1–2 corridors; basic unit economics proven</w:t>
            </w:r>
          </w:p>
        </w:tc>
        <w:tc>
          <w:tcPr>
            <w:tcW w:type="dxa" w:w="27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8–15 paying customers; early interest from a second corridor; some inbound demand from word-of-mouth in a concentrated manufacturing cluster</w:t>
            </w:r>
          </w:p>
        </w:tc>
      </w:tr>
      <w:tr>
        <w:tc>
          <w:tcPr>
            <w:tcW w:type="dxa" w:w="15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Year 3</w:t>
            </w:r>
          </w:p>
        </w:tc>
        <w:tc>
          <w:tcPr>
            <w:tcW w:type="dxa" w:w="27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Niche, subscale business or wind-down/pivot to a narrower service (e.g., data/verification only)</w:t>
            </w:r>
          </w:p>
        </w:tc>
        <w:tc>
          <w:tcPr>
            <w:tcW w:type="dxa" w:w="27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15–30 paying customers across 2–3 corridors; a small core team beyond the founder; defensible niche established against larger competitors</w:t>
            </w:r>
          </w:p>
        </w:tc>
        <w:tc>
          <w:tcPr>
            <w:tcW w:type="dxa" w:w="27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30–60 customers; consideration of outside investment; expansion into a second customer segment (e.g., agricultural exporters)</w:t>
            </w:r>
          </w:p>
        </w:tc>
      </w:tr>
      <w:tr>
        <w:tc>
          <w:tcPr>
            <w:tcW w:type="dxa" w:w="15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Year 5</w:t>
            </w:r>
          </w:p>
        </w:tc>
        <w:tc>
          <w:tcPr>
            <w:tcW w:type="dxa" w:w="27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Acquired for team/technology only, or ceased operations</w:t>
            </w:r>
          </w:p>
        </w:tc>
        <w:tc>
          <w:tcPr>
            <w:tcW w:type="dxa" w:w="27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Established regional platform with meaningful transporter network and recognized brand within its niche; possible acquisition interest from a larger logistics or telecom player</w:t>
            </w:r>
          </w:p>
        </w:tc>
        <w:tc>
          <w:tcPr>
            <w:tcW w:type="dxa" w:w="27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Multi-corridor, multi-segment platform competing directly with the current leaders identified in Section 6; may require significant outside capital to sustain this scale, given well-funded competitors</w:t>
            </w:r>
          </w:p>
        </w:tc>
      </w:tr>
    </w:tbl>
    <w:p>
      <w:pPr>
        <w:pStyle w:val="Heading1"/>
        <w:pageBreakBefore/>
        <w:pBdr>
          <w:bottom w:val="single" w:color="BFBFBF" w:sz="6" w:space="4"/>
        </w:pBdr>
        <w:spacing w:after="160" w:before="320"/>
      </w:pPr>
      <w:r>
        <w:rPr>
          <w:b/>
          <w:bCs/>
          <w:color w:val="1F3864"/>
          <w:sz w:val="30"/>
          <w:szCs w:val="30"/>
        </w:rPr>
        <w:t xml:space="preserve">13. Risk Analysis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600"/>
      </w:tblGrid>
      <w:tr>
        <w:trPr>
          <w:tblHeader/>
        </w:trPr>
        <w:tc>
          <w:tcPr>
            <w:tcW w:type="dxa" w:w="26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Risk</w:t>
            </w:r>
          </w:p>
        </w:tc>
        <w:tc>
          <w:tcPr>
            <w:tcW w:type="dxa" w:w="13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Likelihood</w:t>
            </w:r>
          </w:p>
        </w:tc>
        <w:tc>
          <w:tcPr>
            <w:tcW w:type="dxa" w:w="13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Impact</w:t>
            </w:r>
          </w:p>
        </w:tc>
        <w:tc>
          <w:tcPr>
            <w:tcW w:type="dxa" w:w="3600"/>
            <w:shd w:fill="2E5395" w:color="auto" w:val="clear"/>
            <w:tcMar>
              <w:top w:type="dxa" w:w="80"/>
              <w:left w:type="dxa" w:w="100"/>
              <w:bottom w:type="dxa" w:w="80"/>
              <w:right w:type="dxa" w:w="100"/>
            </w:tcMar>
            <w:vAlign w:val="center"/>
          </w:tcPr>
          <w:p>
            <w:pPr>
              <w:jc w:val="left"/>
            </w:pPr>
            <w:r>
              <w:rPr>
                <w:b/>
                <w:bCs/>
                <w:i w:val="false"/>
                <w:iCs w:val="false"/>
                <w:color w:val="FFFFFF"/>
                <w:sz w:val="19"/>
                <w:szCs w:val="19"/>
              </w:rPr>
              <w:t xml:space="preserve">Mitigation</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Competitive displacement by better-funded entrants (Wetruck AI, DHL Saloodo!, ETEF platform)</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High</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High</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Focus on an under-served corridor/segment niche (Section 6.1) rather than competing head-on; consider partnership or data-licensing angles instead of pure head-to-head competition</w:t>
            </w:r>
          </w:p>
        </w:tc>
      </w:tr>
      <w:tr>
        <w:tc>
          <w:tcPr>
            <w:tcW w:type="dxa" w:w="2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Low willingness to pay given multiple free alternatives</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Medium–High</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High</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Price around a specific paid value (performance data, account support) validated directly with pilot customers before broad rollout</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Marketplace liquidity failure (not enough trucks or not enough shippers to make matching valuable)</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High</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Launch on one dense, geographically narrow corridor first; prioritize onboarding independent truck owners outside the ETEF association, who lack a free alternative</w:t>
            </w:r>
          </w:p>
        </w:tc>
      </w:tr>
      <w:tr>
        <w:tc>
          <w:tcPr>
            <w:tcW w:type="dxa" w:w="2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Regulatory reclassification as a multimodal transport operator, triggering the USD 1 million capital threshold</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Low–Medium</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Severe</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Legal review before launch (Section 9); structure contracts and platform positioning explicitly as matching/technology services, not carriage</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Cash-settlement fraud or payment disputes between shippers and transporters</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Clear dispute-resolution terms; consider an optional escrow feature only once demand is proven, following TOLO Freight's phased approach</w:t>
            </w:r>
          </w:p>
        </w:tc>
      </w:tr>
      <w:tr>
        <w:tc>
          <w:tcPr>
            <w:tcW w:type="dxa" w:w="2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Founder over-extension (sole technical and business lead)</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Prioritize ruthlessly per the MVP scope in Section 10; consider an early operations/sales co-founder or first hire once pilot revenue is proven</w:t>
            </w:r>
          </w:p>
        </w:tc>
      </w:tr>
      <w:tr>
        <w:tc>
          <w:tcPr>
            <w:tcW w:type="dxa" w:w="2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Road security and regional access disruption on some corridors</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13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3600"/>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Weight initial corridor selection toward more stable routes (Section 4); avoid overexposure to any single corridor</w:t>
            </w:r>
          </w:p>
        </w:tc>
      </w:tr>
      <w:tr>
        <w:tc>
          <w:tcPr>
            <w:tcW w:type="dxa" w:w="2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Macroeconomic/currency volatility affecting freight pricing and platform revenue</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13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Medium</w:t>
            </w:r>
          </w:p>
        </w:tc>
        <w:tc>
          <w:tcPr>
            <w:tcW w:type="dxa" w:w="3600"/>
            <w:shd w:fill="EEF1F7" w:color="auto" w:val="clear"/>
            <w:tcMar>
              <w:top w:type="dxa" w:w="80"/>
              <w:left w:type="dxa" w:w="100"/>
              <w:bottom w:type="dxa" w:w="80"/>
              <w:right w:type="dxa" w:w="100"/>
            </w:tcMar>
            <w:vAlign w:val="center"/>
          </w:tcPr>
          <w:p>
            <w:pPr>
              <w:jc w:val="left"/>
            </w:pPr>
            <w:r>
              <w:rPr>
                <w:b w:val="false"/>
                <w:bCs w:val="false"/>
                <w:i w:val="false"/>
                <w:iCs w:val="false"/>
                <w:color w:val="000000"/>
                <w:sz w:val="19"/>
                <w:szCs w:val="19"/>
              </w:rPr>
              <w:t xml:space="preserve">Price in birr with periodic review rather than fixed long-term contracts; keep fixed USD-denominated costs (e.g., cloud hosting) low relative to revenue</w:t>
            </w:r>
          </w:p>
        </w:tc>
      </w:tr>
    </w:tbl>
    <w:p>
      <w:pPr>
        <w:pStyle w:val="Heading1"/>
        <w:pageBreakBefore/>
        <w:pBdr>
          <w:bottom w:val="single" w:color="BFBFBF" w:sz="6" w:space="4"/>
        </w:pBdr>
        <w:spacing w:after="160" w:before="320"/>
      </w:pPr>
      <w:r>
        <w:rPr>
          <w:b/>
          <w:bCs/>
          <w:color w:val="1F3864"/>
          <w:sz w:val="30"/>
          <w:szCs w:val="30"/>
        </w:rPr>
        <w:t xml:space="preserve">14. Feasibility Conclusion and Recommendation</w:t>
      </w:r>
    </w:p>
    <w:p>
      <w:pPr>
        <w:spacing w:after="140" w:line="300"/>
      </w:pPr>
      <w:r>
        <w:rPr>
          <w:sz w:val="22"/>
          <w:szCs w:val="22"/>
        </w:rPr>
        <w:t xml:space="preserve">Weighing the evidence gathered in this study against the founder's brief's central question:</w:t>
      </w:r>
    </w:p>
    <w:p>
      <w:pPr>
        <w:pStyle w:val="ListParagraph"/>
        <w:numPr>
          <w:ilvl w:val="0"/>
          <w:numId w:val="2"/>
        </w:numPr>
        <w:spacing w:after="60" w:line="280"/>
      </w:pPr>
      <w:r>
        <w:rPr>
          <w:b/>
          <w:bCs/>
          <w:sz w:val="22"/>
          <w:szCs w:val="22"/>
        </w:rPr>
        <w:t xml:space="preserve">Is there a real, unmet problem? </w:t>
      </w:r>
      <w:r>
        <w:rPr>
          <w:sz w:val="22"/>
          <w:szCs w:val="22"/>
        </w:rPr>
        <w:t xml:space="preserve">Yes. Ethiopia's freight market remains largely informal, cash-based, and supply-constrained, and this is consistently reported across independent sources, not just claimed by the founder's brief.</w:t>
      </w:r>
    </w:p>
    <w:p>
      <w:pPr>
        <w:pStyle w:val="ListParagraph"/>
        <w:numPr>
          <w:ilvl w:val="0"/>
          <w:numId w:val="2"/>
        </w:numPr>
        <w:spacing w:after="60" w:line="280"/>
      </w:pPr>
      <w:r>
        <w:rPr>
          <w:b/>
          <w:bCs/>
          <w:sz w:val="22"/>
          <w:szCs w:val="22"/>
        </w:rPr>
        <w:t xml:space="preserve">Is the market accessible and sufficiently large? </w:t>
      </w:r>
      <w:r>
        <w:rPr>
          <w:sz w:val="22"/>
          <w:szCs w:val="22"/>
        </w:rPr>
        <w:t xml:space="preserve">Directionally yes for the manufacturing/FMCG segment, but the precise size is currently an assumption, not a fact — Section 8's data gaps must be closed.</w:t>
      </w:r>
    </w:p>
    <w:p>
      <w:pPr>
        <w:pStyle w:val="ListParagraph"/>
        <w:numPr>
          <w:ilvl w:val="0"/>
          <w:numId w:val="2"/>
        </w:numPr>
        <w:spacing w:after="60" w:line="280"/>
      </w:pPr>
      <w:r>
        <w:rPr>
          <w:b/>
          <w:bCs/>
          <w:sz w:val="22"/>
          <w:szCs w:val="22"/>
        </w:rPr>
        <w:t xml:space="preserve">Is the space competitively open? </w:t>
      </w:r>
      <w:r>
        <w:rPr>
          <w:sz w:val="22"/>
          <w:szCs w:val="22"/>
        </w:rPr>
        <w:t xml:space="preserve">No — this is the study's central caution. At least six credible players, including free, association-backed, and internationally funded competitors, are already active in Ethiopian digital freight matching. A generic “Uber for trucks in Ethiopia” pitch is no longer defensible on its own.</w:t>
      </w:r>
    </w:p>
    <w:p>
      <w:pPr>
        <w:pStyle w:val="ListParagraph"/>
        <w:numPr>
          <w:ilvl w:val="0"/>
          <w:numId w:val="2"/>
        </w:numPr>
        <w:spacing w:after="60" w:line="280"/>
      </w:pPr>
      <w:r>
        <w:rPr>
          <w:b/>
          <w:bCs/>
          <w:sz w:val="22"/>
          <w:szCs w:val="22"/>
        </w:rPr>
        <w:t xml:space="preserve">Is there a viable path forward? </w:t>
      </w:r>
      <w:r>
        <w:rPr>
          <w:sz w:val="22"/>
          <w:szCs w:val="22"/>
        </w:rPr>
        <w:t xml:space="preserve">Yes, but only with a narrower, validated wedge: a specific corridor (Addis–Adama–Modjo first), a specific segment (cement/beverage manufacturers), and a specific differentiator (transporter performance data and high-touch account management) that larger, more generic competitors are not clearly optimizing for today.</w:t>
      </w:r>
    </w:p>
    <w:p>
      <w:pPr>
        <w:pStyle w:val="Heading2"/>
        <w:spacing w:after="100" w:before="260"/>
      </w:pPr>
      <w:r>
        <w:rPr>
          <w:b/>
          <w:bCs/>
          <w:color w:val="2E5395"/>
          <w:sz w:val="24"/>
          <w:szCs w:val="24"/>
        </w:rPr>
        <w:t xml:space="preserve">Recommendation</w:t>
      </w:r>
    </w:p>
    <w:p>
      <w:pPr>
        <w:spacing w:after="140" w:line="300"/>
      </w:pPr>
      <w:r>
        <w:rPr>
          <w:sz w:val="22"/>
          <w:szCs w:val="22"/>
        </w:rPr>
        <w:t xml:space="preserve">Proceed — but only into a disciplined validation phase, not directly into full platform development. Specifically:</w:t>
      </w:r>
    </w:p>
    <w:p>
      <w:pPr>
        <w:pStyle w:val="ListParagraph"/>
        <w:numPr>
          <w:ilvl w:val="0"/>
          <w:numId w:val="3"/>
        </w:numPr>
        <w:spacing w:after="60" w:line="280"/>
      </w:pPr>
      <w:r>
        <w:rPr>
          <w:sz w:val="22"/>
          <w:szCs w:val="22"/>
        </w:rPr>
        <w:t xml:space="preserve">Run the Section 7 customer discovery process (20–25 shipper interviews, 15–20 transporter interviews) over 4–6 weeks before writing further code beyond a clickable prototype.</w:t>
      </w:r>
    </w:p>
    <w:p>
      <w:pPr>
        <w:pStyle w:val="ListParagraph"/>
        <w:numPr>
          <w:ilvl w:val="0"/>
          <w:numId w:val="3"/>
        </w:numPr>
        <w:spacing w:after="60" w:line="280"/>
      </w:pPr>
      <w:r>
        <w:rPr>
          <w:sz w:val="22"/>
          <w:szCs w:val="22"/>
        </w:rPr>
        <w:t xml:space="preserve">Use the results to confirm or revise the ICP, corridor priority, and pricing model in Sections 5, 4, and 11.3.</w:t>
      </w:r>
    </w:p>
    <w:p>
      <w:pPr>
        <w:pStyle w:val="ListParagraph"/>
        <w:numPr>
          <w:ilvl w:val="0"/>
          <w:numId w:val="3"/>
        </w:numPr>
        <w:spacing w:after="60" w:line="280"/>
      </w:pPr>
      <w:r>
        <w:rPr>
          <w:sz w:val="22"/>
          <w:szCs w:val="22"/>
        </w:rPr>
        <w:t xml:space="preserve">Secure at least 3–5 signed pilot commitments (per the Section 7.3 validation tests) from manufacturing/FMCG shippers on the priority corridor before building beyond the MVP scope in Section 10.1.</w:t>
      </w:r>
    </w:p>
    <w:p>
      <w:pPr>
        <w:pStyle w:val="ListParagraph"/>
        <w:numPr>
          <w:ilvl w:val="0"/>
          <w:numId w:val="3"/>
        </w:numPr>
        <w:spacing w:after="60" w:line="280"/>
      </w:pPr>
      <w:r>
        <w:rPr>
          <w:sz w:val="22"/>
          <w:szCs w:val="22"/>
        </w:rPr>
        <w:t xml:space="preserve">Resolve the licensing classification question in Section 9 with an Ethiopian commercial lawyer before signing any shipper or transporter contracts.</w:t>
      </w:r>
    </w:p>
    <w:p>
      <w:pPr>
        <w:pStyle w:val="ListParagraph"/>
        <w:numPr>
          <w:ilvl w:val="0"/>
          <w:numId w:val="3"/>
        </w:numPr>
        <w:spacing w:after="60" w:line="280"/>
      </w:pPr>
      <w:r>
        <w:rPr>
          <w:sz w:val="22"/>
          <w:szCs w:val="22"/>
        </w:rPr>
        <w:t xml:space="preserve">Re-run the Section 8 market-sizing and Section 11 financial model with real pilot data before approaching investors or committing significant personal capital.</w:t>
      </w:r>
    </w:p>
    <w:p>
      <w:pPr>
        <w:spacing w:after="140" w:line="300"/>
      </w:pPr>
      <w:r>
        <w:rPr>
          <w:sz w:val="22"/>
          <w:szCs w:val="22"/>
        </w:rPr>
        <w:t xml:space="preserve">If the pilot fails to produce paid commitments from at least a small number of anchor manufacturing customers, or if incumbent platforms (particularly Wetruck AI or the ETEF platform) prove to already satisfy the target segment's needs at a price Dynamics Transport cannot beat, the founder should be prepared to pivot toward a narrower service (e.g., transporter verification/performance data as a licensable dataset, or a niche corridor/segment underserved by all current entrants) rather than proceeding with a general-purpose marketplace.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2026-09-03T19:46:31.876Z</dcterms:created>
  <dcterms:modified xsi:type="dcterms:W3CDTF">2026-09-03T19:46:31.877Z</dcterms:modified>
</cp:coreProperties>
</file>

<file path=docProps/custom.xml><?xml version="1.0" encoding="utf-8"?>
<Properties xmlns="http://schemas.openxmlformats.org/officeDocument/2006/custom-properties" xmlns:vt="http://schemas.openxmlformats.org/officeDocument/2006/docPropsVTypes"/>
</file>