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i1jiqxdc2hn" w:id="0"/>
      <w:bookmarkEnd w:id="0"/>
      <w:r w:rsidDel="00000000" w:rsidR="00000000" w:rsidRPr="00000000">
        <w:rPr>
          <w:rtl w:val="0"/>
        </w:rPr>
        <w:t xml:space="preserve">Perff AI — Growth Trajectory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Confidential — As of 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oxndu5swhtuf" w:id="1"/>
      <w:bookmarkEnd w:id="1"/>
      <w:r w:rsidDel="00000000" w:rsidR="00000000" w:rsidRPr="00000000">
        <w:rPr>
          <w:rtl w:val="0"/>
        </w:rPr>
        <w:t xml:space="preserve">Revenue Growth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4qv69tjkui55" w:id="2"/>
      <w:bookmarkEnd w:id="2"/>
      <w:r w:rsidDel="00000000" w:rsidR="00000000" w:rsidRPr="00000000">
        <w:rPr>
          <w:rtl w:val="0"/>
        </w:rPr>
        <w:t xml:space="preserve">Historical Revenue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YoY Growth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Cumulative Revenue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~$200K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 (Year 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$200K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~$600K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$800K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~$1.2M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$2.0M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2025E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~$1.8M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+50%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$3.8M</w:t>
            </w:r>
          </w:p>
        </w:tc>
      </w:tr>
    </w:tbl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o1g0o522sa5x" w:id="3"/>
      <w:bookmarkEnd w:id="3"/>
      <w:r w:rsidDel="00000000" w:rsidR="00000000" w:rsidRPr="00000000">
        <w:rPr>
          <w:rtl w:val="0"/>
        </w:rPr>
        <w:t xml:space="preserve">Revenue CAGR: 108% (2022–2025)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5nccxvrqhwyx" w:id="4"/>
      <w:bookmarkEnd w:id="4"/>
      <w:r w:rsidDel="00000000" w:rsidR="00000000" w:rsidRPr="00000000">
        <w:rPr>
          <w:rtl w:val="0"/>
        </w:rPr>
        <w:t xml:space="preserve">Revenue Growth Chart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Revenue ($K)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$1,800 ┤                              ████████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$1,500 ┤                              ████████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$1,200 ┤                 ████████     ████████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$1,000 ┤                 ████████     ████████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$800 ┤                 ████████     ████████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$600 ┤    ████████     ████████     ████████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$400 ┤    ████████     ████████     ████████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$200 ┤    ████████     ████████     ████████     ████████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$0 ┼────────────────────────────────────────────────────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2022         2023         2024         2025E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1fscajglm2ts" w:id="5"/>
      <w:bookmarkEnd w:id="5"/>
      <w:r w:rsidDel="00000000" w:rsidR="00000000" w:rsidRPr="00000000">
        <w:rPr>
          <w:rtl w:val="0"/>
        </w:rPr>
        <w:t xml:space="preserve">Monthly Revenue Trend (2025)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MRR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YoY Change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Jan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$120K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+45%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Q1 seasonal dip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Feb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$125K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+48%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Growing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$138K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+52%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Ramadan campaign surge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$145K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+55%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Eid al-Fitr spending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May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$140K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+50%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Post-Eid normalization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Jun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$148K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+53%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Summer campaigns launch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Jul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$152K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+56%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Summer peak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Aug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$142K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+46%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Slight seasonal dip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Sep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$155K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+58%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Back-to-school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Oct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$162K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+62%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Q4 ramp-up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Nov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$180K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+68%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Singles Day + Black Friday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$170K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+59%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Year-end campaigns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Jan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$150K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 year, new cycle</w:t>
            </w:r>
          </w:p>
        </w:tc>
      </w:tr>
    </w:tbl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3ac5js8rmwok" w:id="6"/>
      <w:bookmarkEnd w:id="6"/>
      <w:r w:rsidDel="00000000" w:rsidR="00000000" w:rsidRPr="00000000">
        <w:rPr>
          <w:rtl w:val="0"/>
        </w:rPr>
        <w:t xml:space="preserve">Publisher Network Growth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Publishers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870 ┤                              ██████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700 ┤                              ██████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620 ┤                 ██████       ██████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500 ┤                 ██████       ██████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350 ┤    ██████       ██████       ██████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200 ┤    ██████       ██████       ██████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120 ┤    ██████       ██████       ██████       ██████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0 ┼────────────────────────────────────────────────────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2022         2023         2024         2025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Publishers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 Add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Growth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+192%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+77%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870+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+40%</w:t>
            </w:r>
          </w:p>
        </w:tc>
      </w:tr>
    </w:tbl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rPr/>
      </w:pPr>
      <w:bookmarkStart w:colFirst="0" w:colLast="0" w:name="_2ev165anlied" w:id="7"/>
      <w:bookmarkEnd w:id="7"/>
      <w:r w:rsidDel="00000000" w:rsidR="00000000" w:rsidRPr="00000000">
        <w:rPr>
          <w:rtl w:val="0"/>
        </w:rPr>
        <w:t xml:space="preserve">Brand Client Growth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New Brands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 Add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+12</w:t>
            </w:r>
          </w:p>
        </w:tc>
      </w:tr>
    </w:tbl>
    <w:p w:rsidR="00000000" w:rsidDel="00000000" w:rsidP="00000000" w:rsidRDefault="00000000" w:rsidRPr="00000000" w14:paraId="000000B9">
      <w:pPr>
        <w:pStyle w:val="Heading3"/>
        <w:rPr/>
      </w:pPr>
      <w:bookmarkStart w:colFirst="0" w:colLast="0" w:name="_e3kazz6nfnzl" w:id="8"/>
      <w:bookmarkEnd w:id="8"/>
      <w:r w:rsidDel="00000000" w:rsidR="00000000" w:rsidRPr="00000000">
        <w:rPr>
          <w:rtl w:val="0"/>
        </w:rPr>
        <w:t xml:space="preserve">Client Acquisition Trend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Win rate on proposals:</w:t>
      </w:r>
      <w:r w:rsidDel="00000000" w:rsidR="00000000" w:rsidRPr="00000000">
        <w:rPr>
          <w:rtl w:val="0"/>
        </w:rPr>
        <w:t xml:space="preserve"> 45% (above 30% industry average)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Average sales cycle:</w:t>
      </w:r>
      <w:r w:rsidDel="00000000" w:rsidR="00000000" w:rsidRPr="00000000">
        <w:rPr>
          <w:rtl w:val="0"/>
        </w:rPr>
        <w:t xml:space="preserve"> 3–4 weeks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channel:</w:t>
      </w:r>
      <w:r w:rsidDel="00000000" w:rsidR="00000000" w:rsidRPr="00000000">
        <w:rPr>
          <w:rtl w:val="0"/>
        </w:rPr>
        <w:t xml:space="preserve"> Direct outreach (45%) + Referrals (35%) + Inbound (20%)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/>
      </w:pPr>
      <w:bookmarkStart w:colFirst="0" w:colLast="0" w:name="_5p66meyqibh5" w:id="9"/>
      <w:bookmarkEnd w:id="9"/>
      <w:r w:rsidDel="00000000" w:rsidR="00000000" w:rsidRPr="00000000">
        <w:rPr>
          <w:rtl w:val="0"/>
        </w:rPr>
        <w:t xml:space="preserve">Campaign Volume Growth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Campaigns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Avg Campaign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GMV Driven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$8K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$12K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$12M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$18K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$22M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250+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$50M+</w:t>
            </w:r>
          </w:p>
        </w:tc>
      </w:tr>
    </w:tbl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rPr/>
      </w:pPr>
      <w:bookmarkStart w:colFirst="0" w:colLast="0" w:name="_vavsmgs8rzyr" w:id="10"/>
      <w:bookmarkEnd w:id="10"/>
      <w:r w:rsidDel="00000000" w:rsidR="00000000" w:rsidRPr="00000000">
        <w:rPr>
          <w:rtl w:val="0"/>
        </w:rPr>
        <w:t xml:space="preserve">Attributed Sales (GMV) Growth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GMV ($M)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$50 ┤                              ██████████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$40 ┤                              ██████████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$30 ┤                              ██████████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$22 ┤                 ████████     ██████████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$15 ┤                 ████████     ██████████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$12 ┤    ████████     ████████     ██████████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$5 ┤    ████████     ████████     ██████████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$3 ┤    ████████     ████████     ██████████     ██████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$0 ┼────────────────────────────────────────────────────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2022         2023         2024         2025E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rPr/>
      </w:pPr>
      <w:bookmarkStart w:colFirst="0" w:colLast="0" w:name="_bubwffyqrn67" w:id="11"/>
      <w:bookmarkEnd w:id="11"/>
      <w:r w:rsidDel="00000000" w:rsidR="00000000" w:rsidRPr="00000000">
        <w:rPr>
          <w:rtl w:val="0"/>
        </w:rPr>
        <w:t xml:space="preserve">Key Growth Drivers</w:t>
      </w:r>
    </w:p>
    <w:p w:rsidR="00000000" w:rsidDel="00000000" w:rsidP="00000000" w:rsidRDefault="00000000" w:rsidRPr="00000000" w14:paraId="000000F1">
      <w:pPr>
        <w:pStyle w:val="Heading3"/>
        <w:rPr/>
      </w:pPr>
      <w:bookmarkStart w:colFirst="0" w:colLast="0" w:name="_p2t9blwhq1xe" w:id="12"/>
      <w:bookmarkEnd w:id="12"/>
      <w:r w:rsidDel="00000000" w:rsidR="00000000" w:rsidRPr="00000000">
        <w:rPr>
          <w:rtl w:val="0"/>
        </w:rPr>
        <w:t xml:space="preserve">What's Working</w:t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Product-Market Fit</w:t>
      </w:r>
      <w:r w:rsidDel="00000000" w:rsidR="00000000" w:rsidRPr="00000000">
        <w:rPr>
          <w:rtl w:val="0"/>
        </w:rPr>
        <w:t xml:space="preserve"> — 87% retention proves the solution works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 Effects</w:t>
      </w:r>
      <w:r w:rsidDel="00000000" w:rsidR="00000000" w:rsidRPr="00000000">
        <w:rPr>
          <w:rtl w:val="0"/>
        </w:rPr>
        <w:t xml:space="preserve"> — More publishers attract more brands and vice versa</w:t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Word-of-Mouth</w:t>
      </w:r>
      <w:r w:rsidDel="00000000" w:rsidR="00000000" w:rsidRPr="00000000">
        <w:rPr>
          <w:rtl w:val="0"/>
        </w:rPr>
        <w:t xml:space="preserve"> — 64% of publishers join organically via referrals</w:t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Differentiation</w:t>
      </w:r>
      <w:r w:rsidDel="00000000" w:rsidR="00000000" w:rsidRPr="00000000">
        <w:rPr>
          <w:rtl w:val="0"/>
        </w:rPr>
        <w:t xml:space="preserve"> — 8.2% CVR (vs 1–3% industry) is a powerful selling point</w:t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Expansion</w:t>
      </w:r>
      <w:r w:rsidDel="00000000" w:rsidR="00000000" w:rsidRPr="00000000">
        <w:rPr>
          <w:rtl w:val="0"/>
        </w:rPr>
        <w:t xml:space="preserve"> — Existing clients increase spend 40% YoY on average</w:t>
      </w:r>
    </w:p>
    <w:p w:rsidR="00000000" w:rsidDel="00000000" w:rsidP="00000000" w:rsidRDefault="00000000" w:rsidRPr="00000000" w14:paraId="000000F7">
      <w:pPr>
        <w:pStyle w:val="Heading3"/>
        <w:rPr/>
      </w:pPr>
      <w:bookmarkStart w:colFirst="0" w:colLast="0" w:name="_z673t8n8b0lj" w:id="13"/>
      <w:bookmarkEnd w:id="13"/>
      <w:r w:rsidDel="00000000" w:rsidR="00000000" w:rsidRPr="00000000">
        <w:rPr>
          <w:rtl w:val="0"/>
        </w:rPr>
        <w:t xml:space="preserve">Growth Constraints (That Investment Addresses)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 capacity</w:t>
      </w:r>
      <w:r w:rsidDel="00000000" w:rsidR="00000000" w:rsidRPr="00000000">
        <w:rPr>
          <w:rtl w:val="0"/>
        </w:rPr>
        <w:t xml:space="preserve"> — Only 2 people doing business development currently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Technology</w:t>
      </w:r>
      <w:r w:rsidDel="00000000" w:rsidR="00000000" w:rsidRPr="00000000">
        <w:rPr>
          <w:rtl w:val="0"/>
        </w:rPr>
        <w:t xml:space="preserve"> — AI features still in beta; full platform needs engineering investment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Geographic</w:t>
      </w:r>
      <w:r w:rsidDel="00000000" w:rsidR="00000000" w:rsidRPr="00000000">
        <w:rPr>
          <w:rtl w:val="0"/>
        </w:rPr>
        <w:t xml:space="preserve"> — Strong in UAE/KSA, but Egypt and wider GCC untapped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Publisher tools</w:t>
      </w:r>
      <w:r w:rsidDel="00000000" w:rsidR="00000000" w:rsidRPr="00000000">
        <w:rPr>
          <w:rtl w:val="0"/>
        </w:rPr>
        <w:t xml:space="preserve"> — Self-serve platform needed to scale publisher onboarding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Marketing</w:t>
      </w:r>
      <w:r w:rsidDel="00000000" w:rsidR="00000000" w:rsidRPr="00000000">
        <w:rPr>
          <w:rtl w:val="0"/>
        </w:rPr>
        <w:t xml:space="preserve"> — Near-zero marketing spend; growth entirely organic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rPr/>
      </w:pPr>
      <w:bookmarkStart w:colFirst="0" w:colLast="0" w:name="_u8cubbf8t55z" w:id="14"/>
      <w:bookmarkEnd w:id="14"/>
      <w:r w:rsidDel="00000000" w:rsidR="00000000" w:rsidRPr="00000000">
        <w:rPr>
          <w:rtl w:val="0"/>
        </w:rPr>
        <w:t xml:space="preserve">Projected Growth (Post-Investment)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Publishers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Milestone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2026P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$3.5M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1,200+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platform GA + Egypt entry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2027P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$8–9M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2,000+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150+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AI stack, KSA scaled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2028P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$15–18M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3,500+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250+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MENA leader, Series A ready</w:t>
            </w:r>
          </w:p>
        </w:tc>
      </w:tr>
    </w:tbl>
    <w:p w:rsidR="00000000" w:rsidDel="00000000" w:rsidP="00000000" w:rsidRDefault="00000000" w:rsidRPr="00000000" w14:paraId="00000114">
      <w:pPr>
        <w:pStyle w:val="Heading3"/>
        <w:rPr/>
      </w:pPr>
      <w:bookmarkStart w:colFirst="0" w:colLast="0" w:name="_1846wtx6hl8e" w:id="15"/>
      <w:bookmarkEnd w:id="15"/>
      <w:r w:rsidDel="00000000" w:rsidR="00000000" w:rsidRPr="00000000">
        <w:rPr>
          <w:rtl w:val="0"/>
        </w:rPr>
        <w:t xml:space="preserve">Growth Rate Assumptions</w:t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2026:</w:t>
      </w:r>
      <w:r w:rsidDel="00000000" w:rsidR="00000000" w:rsidRPr="00000000">
        <w:rPr>
          <w:rtl w:val="0"/>
        </w:rPr>
        <w:t xml:space="preserve"> ~95% growth (investment-fueled acceleration)</w:t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2027:</w:t>
      </w:r>
      <w:r w:rsidDel="00000000" w:rsidR="00000000" w:rsidRPr="00000000">
        <w:rPr>
          <w:rtl w:val="0"/>
        </w:rPr>
        <w:t xml:space="preserve"> ~130% growth (AI platform + geographic expansion)</w:t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2028:</w:t>
      </w:r>
      <w:r w:rsidDel="00000000" w:rsidR="00000000" w:rsidRPr="00000000">
        <w:rPr>
          <w:rtl w:val="0"/>
        </w:rPr>
        <w:t xml:space="preserve"> ~90% growth (market leadership + new verticals)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rPr/>
      </w:pPr>
      <w:bookmarkStart w:colFirst="0" w:colLast="0" w:name="_hqqlextv6wub" w:id="16"/>
      <w:bookmarkEnd w:id="16"/>
      <w:r w:rsidDel="00000000" w:rsidR="00000000" w:rsidRPr="00000000">
        <w:rPr>
          <w:rtl w:val="0"/>
        </w:rPr>
        <w:t xml:space="preserve">Cohort Analysis (Brand Clients)</w:t>
      </w:r>
    </w:p>
    <w:p w:rsidR="00000000" w:rsidDel="00000000" w:rsidP="00000000" w:rsidRDefault="00000000" w:rsidRPr="00000000" w14:paraId="0000011B">
      <w:pPr>
        <w:pStyle w:val="Heading3"/>
        <w:rPr/>
      </w:pPr>
      <w:bookmarkStart w:colFirst="0" w:colLast="0" w:name="_b0jmivsogls0" w:id="17"/>
      <w:bookmarkEnd w:id="17"/>
      <w:r w:rsidDel="00000000" w:rsidR="00000000" w:rsidRPr="00000000">
        <w:rPr>
          <w:rtl w:val="0"/>
        </w:rPr>
        <w:t xml:space="preserve">Revenue by Client Cohort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Cohort 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 Clients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 1 Rev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 2 Rev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 3 Rev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2022 Cohort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$380K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$520K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2023 Cohort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$720K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2024 Cohort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$580K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2025 Cohort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$300K*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*Partial year</w:t>
      </w:r>
    </w:p>
    <w:p w:rsidR="00000000" w:rsidDel="00000000" w:rsidP="00000000" w:rsidRDefault="00000000" w:rsidRPr="00000000" w14:paraId="00000137">
      <w:pPr>
        <w:pStyle w:val="Heading3"/>
        <w:rPr/>
      </w:pPr>
      <w:bookmarkStart w:colFirst="0" w:colLast="0" w:name="_mahurkfqie9t" w:id="18"/>
      <w:bookmarkEnd w:id="18"/>
      <w:r w:rsidDel="00000000" w:rsidR="00000000" w:rsidRPr="00000000">
        <w:rPr>
          <w:rtl w:val="0"/>
        </w:rPr>
        <w:t xml:space="preserve">Insights</w:t>
      </w:r>
    </w:p>
    <w:p w:rsidR="00000000" w:rsidDel="00000000" w:rsidP="00000000" w:rsidRDefault="00000000" w:rsidRPr="00000000" w14:paraId="000001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Cohorts </w:t>
      </w:r>
      <w:r w:rsidDel="00000000" w:rsidR="00000000" w:rsidRPr="00000000">
        <w:rPr>
          <w:b w:val="1"/>
          <w:bCs w:val="1"/>
          <w:rtl w:val="0"/>
        </w:rPr>
        <w:t xml:space="preserve">expand</w:t>
      </w:r>
      <w:r w:rsidDel="00000000" w:rsidR="00000000" w:rsidRPr="00000000">
        <w:rPr>
          <w:rtl w:val="0"/>
        </w:rPr>
        <w:t xml:space="preserve"> over time — Year 2 revenue is typically 80–100% higher than Year 1</w:t>
      </w:r>
    </w:p>
    <w:p w:rsidR="00000000" w:rsidDel="00000000" w:rsidP="00000000" w:rsidRDefault="00000000" w:rsidRPr="00000000" w14:paraId="000001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Early cohorts (2022) show no signs of significant churn</w:t>
      </w:r>
    </w:p>
    <w:p w:rsidR="00000000" w:rsidDel="00000000" w:rsidP="00000000" w:rsidRDefault="00000000" w:rsidRPr="00000000" w14:paraId="000001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Newer cohorts start at higher revenue due to improved onboarding and larger campaigns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rPr/>
      </w:pPr>
      <w:bookmarkStart w:colFirst="0" w:colLast="0" w:name="_n4tlomggyzor" w:id="19"/>
      <w:bookmarkEnd w:id="19"/>
      <w:r w:rsidDel="00000000" w:rsidR="00000000" w:rsidRPr="00000000">
        <w:rPr>
          <w:rtl w:val="0"/>
        </w:rPr>
        <w:t xml:space="preserve">Path to $100M Revenue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What's Needed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$1.8M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Seed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$8–9M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$8M investment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Series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$15–18M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Series A ($20–30M)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Growth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$40–50M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Market expansion + SaaS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$100M+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MENA dominance + adjacencies</w:t>
            </w:r>
          </w:p>
        </w:tc>
      </w:tr>
    </w:tbl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© 2026 Perff AI (Perff Inc.). Confidential &amp; Proprietary.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B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C">
    <w:pPr>
      <w:rPr/>
    </w:pPr>
    <w:r w:rsidDel="00000000" w:rsidR="00000000" w:rsidRPr="00000000">
      <w:rPr/>
      <w:drawing>
        <wp:inline distB="114300" distT="114300" distL="114300" distR="114300">
          <wp:extent cx="1214438" cy="40481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14438" cy="4048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