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16hyhebo3d0p" w:id="0"/>
      <w:bookmarkEnd w:id="0"/>
      <w:r w:rsidDel="00000000" w:rsidR="00000000" w:rsidRPr="00000000">
        <w:rPr>
          <w:rtl w:val="0"/>
        </w:rPr>
        <w:t xml:space="preserve">Perff AI — Corporate Structure</w:t>
      </w:r>
    </w:p>
    <w:p w:rsidR="00000000" w:rsidDel="00000000" w:rsidP="00000000" w:rsidRDefault="00000000" w:rsidRPr="00000000" w14:paraId="00000002">
      <w:pPr>
        <w:ind w:left="60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Confidential — For Authorized Investors Only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rPr/>
      </w:pPr>
      <w:bookmarkStart w:colFirst="0" w:colLast="0" w:name="_ejrqul6tw9gg" w:id="1"/>
      <w:bookmarkEnd w:id="1"/>
      <w:r w:rsidDel="00000000" w:rsidR="00000000" w:rsidRPr="00000000">
        <w:rPr>
          <w:rtl w:val="0"/>
        </w:rPr>
        <w:t xml:space="preserve">Entity Overview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Detail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Value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Legal Entity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Perff Inc.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Trade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Perff AI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Entity 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Corporation (Inc.)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Jurisdiction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Delaware, United States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Also Registered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Abu Dhabi, UAE as Network FZ-LLC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Date of Incorporation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Q1 2022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License 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Technology / Digital Marketing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Company 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Active — Good Standing</w:t>
            </w:r>
          </w:p>
        </w:tc>
      </w:tr>
    </w:tbl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2"/>
        <w:rPr/>
      </w:pPr>
      <w:bookmarkStart w:colFirst="0" w:colLast="0" w:name="_44k3vbcu6k4a" w:id="2"/>
      <w:bookmarkEnd w:id="2"/>
      <w:r w:rsidDel="00000000" w:rsidR="00000000" w:rsidRPr="00000000">
        <w:rPr>
          <w:rtl w:val="0"/>
        </w:rPr>
        <w:t xml:space="preserve">Why Abu Dhabi Free Zone?</w:t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Advantage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Detail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0% Corporate Tax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UAE Free Zone entities benefit from 0% corporate tax on qualifying income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100% Foreign Ownership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 requirement for local sponsor or partner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Full Repatriation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100% repatriation of capital and profits permitted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IP Protection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Strong IP laws aligned with international standards (WIPO member)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Regulatory Stability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UAE has among the most business-friendly regulatory frameworks in MENA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Talent Access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UAE visa sponsorship for international hires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Strategic Location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Central to MENA — direct flights to Riyadh, Cairo, Amman within 2–4 hours</w:t>
            </w:r>
          </w:p>
        </w:tc>
      </w:tr>
    </w:tbl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2"/>
        <w:rPr/>
      </w:pPr>
      <w:bookmarkStart w:colFirst="0" w:colLast="0" w:name="_ushtstuc2ioc" w:id="3"/>
      <w:bookmarkEnd w:id="3"/>
      <w:r w:rsidDel="00000000" w:rsidR="00000000" w:rsidRPr="00000000">
        <w:rPr>
          <w:rtl w:val="0"/>
        </w:rPr>
        <w:t xml:space="preserve">Shareholding Structure</w:t>
      </w:r>
    </w:p>
    <w:p w:rsidR="00000000" w:rsidDel="00000000" w:rsidP="00000000" w:rsidRDefault="00000000" w:rsidRPr="00000000" w14:paraId="0000002E">
      <w:pPr>
        <w:pStyle w:val="Heading3"/>
        <w:rPr/>
      </w:pPr>
      <w:bookmarkStart w:colFirst="0" w:colLast="0" w:name="_s04o7r5lcfw5" w:id="4"/>
      <w:bookmarkEnd w:id="4"/>
      <w:r w:rsidDel="00000000" w:rsidR="00000000" w:rsidRPr="00000000">
        <w:rPr>
          <w:rtl w:val="0"/>
        </w:rPr>
        <w:t xml:space="preserve">Current Ownership (Pre-Investment)</w:t>
      </w:r>
    </w:p>
    <w:tbl>
      <w:tblPr>
        <w:tblStyle w:val="Table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Shareholder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Role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Ownership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Type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Rima Hani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Co-Founder &amp; CEO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87.0%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Individual — Founding Shares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Fahad Alsaedi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Co-Founder &amp; CTO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6.0%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Individual — Founding Shares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Sadah Chanti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Co-Founder &amp; COO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2.0%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Individual — Founding Shares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Valu.vc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Venture Studio Partner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5.0%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Common — Services-for-Equity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Total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100%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7">
      <w:pPr>
        <w:pStyle w:val="Heading3"/>
        <w:rPr/>
      </w:pPr>
      <w:bookmarkStart w:colFirst="0" w:colLast="0" w:name="_nwpu6xku85bz" w:id="5"/>
      <w:bookmarkEnd w:id="5"/>
      <w:r w:rsidDel="00000000" w:rsidR="00000000" w:rsidRPr="00000000">
        <w:rPr>
          <w:rtl w:val="0"/>
        </w:rPr>
        <w:t xml:space="preserve">Notes</w:t>
      </w:r>
    </w:p>
    <w:p w:rsidR="00000000" w:rsidDel="00000000" w:rsidP="00000000" w:rsidRDefault="00000000" w:rsidRPr="00000000" w14:paraId="0000004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One prior arrangement: Valu.vc (5% equity for ~$50K in venture studio services — no cash invested). Services included market validation, mentorship &amp; fractional CXO access, legal &amp; accounting support, investor network introductions, talent sourcing, and operational tools.</w:t>
      </w:r>
    </w:p>
    <w:p w:rsidR="00000000" w:rsidDel="00000000" w:rsidP="00000000" w:rsidRDefault="00000000" w:rsidRPr="00000000" w14:paraId="00000049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 outside cash has been invested to date</w:t>
      </w:r>
      <w:r w:rsidDel="00000000" w:rsidR="00000000" w:rsidRPr="00000000">
        <w:rPr>
          <w:rtl w:val="0"/>
        </w:rPr>
        <w:t xml:space="preserve"> — the company was built entirely on founder capital and reinvested revenue</w:t>
      </w:r>
    </w:p>
    <w:p w:rsidR="00000000" w:rsidDel="00000000" w:rsidP="00000000" w:rsidRDefault="00000000" w:rsidRPr="00000000" w14:paraId="0000004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No convertible notes, SAFEs, or other instruments outstanding</w:t>
      </w:r>
    </w:p>
    <w:p w:rsidR="00000000" w:rsidDel="00000000" w:rsidP="00000000" w:rsidRDefault="00000000" w:rsidRPr="00000000" w14:paraId="0000004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No employee options granted to date (ESOP pool to be created post-investment)</w:t>
      </w:r>
    </w:p>
    <w:p w:rsidR="00000000" w:rsidDel="00000000" w:rsidP="00000000" w:rsidRDefault="00000000" w:rsidRPr="00000000" w14:paraId="0000004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Clean cap table with no encumbrances or liens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Style w:val="Heading2"/>
        <w:rPr/>
      </w:pPr>
      <w:bookmarkStart w:colFirst="0" w:colLast="0" w:name="_chlbm1rxbuo6" w:id="6"/>
      <w:bookmarkEnd w:id="6"/>
      <w:r w:rsidDel="00000000" w:rsidR="00000000" w:rsidRPr="00000000">
        <w:rPr>
          <w:rtl w:val="0"/>
        </w:rPr>
        <w:t xml:space="preserve">Post-Investment Structure (Proposed)</w:t>
      </w:r>
    </w:p>
    <w:p w:rsidR="00000000" w:rsidDel="00000000" w:rsidP="00000000" w:rsidRDefault="00000000" w:rsidRPr="00000000" w14:paraId="00000050">
      <w:pPr>
        <w:pStyle w:val="Heading3"/>
        <w:rPr/>
      </w:pPr>
      <w:bookmarkStart w:colFirst="0" w:colLast="0" w:name="_f9p4sl3xc5g1" w:id="7"/>
      <w:bookmarkEnd w:id="7"/>
      <w:r w:rsidDel="00000000" w:rsidR="00000000" w:rsidRPr="00000000">
        <w:rPr>
          <w:rtl w:val="0"/>
        </w:rPr>
        <w:t xml:space="preserve">Target Post-Investment Cap Table</w:t>
      </w:r>
    </w:p>
    <w:tbl>
      <w:tblPr>
        <w:tblStyle w:val="Table4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Shareholder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Ownership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Notes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Rima Hani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~65–69%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Founder dilution from investment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Fahad Alsaedi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~4–5%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Founder dilution from investment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Sadah Chanti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~1.4–1.5%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Founder dilution from investment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Valu.vc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~3.8–4.0%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Diluted from 5.0%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Pre-Seed Investors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~15–20%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$8M raise at pre-money valuation TBD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ESOP Pool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5% (initial)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Reserved for key hires and advisors, expanding to 10–15% through Series 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Total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100%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i w:val="1"/>
          <w:iCs w:val="1"/>
          <w:rtl w:val="0"/>
        </w:rPr>
        <w:t xml:space="preserve">Exact percentages depend on final negotiated pre-money valuation.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pStyle w:val="Heading2"/>
        <w:rPr/>
      </w:pPr>
      <w:bookmarkStart w:colFirst="0" w:colLast="0" w:name="_ytv0hjt2pjwx" w:id="8"/>
      <w:bookmarkEnd w:id="8"/>
      <w:r w:rsidDel="00000000" w:rsidR="00000000" w:rsidRPr="00000000">
        <w:rPr>
          <w:rtl w:val="0"/>
        </w:rPr>
        <w:t xml:space="preserve">Operational Entities</w:t>
      </w:r>
    </w:p>
    <w:p w:rsidR="00000000" w:rsidDel="00000000" w:rsidP="00000000" w:rsidRDefault="00000000" w:rsidRPr="00000000" w14:paraId="0000006E">
      <w:pPr>
        <w:pStyle w:val="Heading3"/>
        <w:rPr/>
      </w:pPr>
      <w:bookmarkStart w:colFirst="0" w:colLast="0" w:name="_yj07jtk8d0bs" w:id="9"/>
      <w:bookmarkEnd w:id="9"/>
      <w:r w:rsidDel="00000000" w:rsidR="00000000" w:rsidRPr="00000000">
        <w:rPr>
          <w:rtl w:val="0"/>
        </w:rPr>
        <w:t xml:space="preserve">Current Structure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Perff Inc. (Delaware, USA)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├── Parent Entity — All IP, contracts, revenue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├── Network FZ-LLC (Abu Dhabi, UAE)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│   └── Regional Office — MENA operations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├── Amman Operations (Jordan)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│   └── Contractor/Branch Office — Operations center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├── Riyadh Operations (KSA)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│   └── Representative Office — Market expansion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└── Gaza Operations (Palestine)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    └── Contractor Agreements — Affiliate management</w:t>
      </w:r>
    </w:p>
    <w:p w:rsidR="00000000" w:rsidDel="00000000" w:rsidP="00000000" w:rsidRDefault="00000000" w:rsidRPr="00000000" w14:paraId="0000008A">
      <w:pPr>
        <w:pStyle w:val="Heading3"/>
        <w:rPr/>
      </w:pPr>
      <w:bookmarkStart w:colFirst="0" w:colLast="0" w:name="_nejahrtb8ci3" w:id="10"/>
      <w:bookmarkEnd w:id="10"/>
      <w:r w:rsidDel="00000000" w:rsidR="00000000" w:rsidRPr="00000000">
        <w:rPr>
          <w:rtl w:val="0"/>
        </w:rPr>
        <w:t xml:space="preserve">Post-Investment Structure (Planned)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Perff Inc. (Delaware, USA)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├── Parent Entity — IP, global contracts, platform operations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├── Network FZ-LLC (Abu Dhabi, UAE)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│   └── Regional Office — MENA operations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├── Perff AI Saudi Arabia (KSA)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│   └── Subsidiary / Branch — KSA client contracts, Saudi compliance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│   └── Status: To be established Q2 2026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├── Perff AI Egypt (Egypt)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│   └── Subsidiary / Branch — Egypt market entry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│   └── Status: To be established Q1 2027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├── Jordan Operations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│   └── Contractor/Branch — Engineering &amp; operations hub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└── Gaza Operations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    └── Contractor Agreements — Affiliate management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pStyle w:val="Heading2"/>
        <w:rPr/>
      </w:pPr>
      <w:bookmarkStart w:colFirst="0" w:colLast="0" w:name="_qbt9s7hky0o7" w:id="11"/>
      <w:bookmarkEnd w:id="11"/>
      <w:r w:rsidDel="00000000" w:rsidR="00000000" w:rsidRPr="00000000">
        <w:rPr>
          <w:rtl w:val="0"/>
        </w:rPr>
        <w:t xml:space="preserve">Regulatory &amp; Compliance</w:t>
      </w:r>
    </w:p>
    <w:p w:rsidR="00000000" w:rsidDel="00000000" w:rsidP="00000000" w:rsidRDefault="00000000" w:rsidRPr="00000000" w14:paraId="000000B3">
      <w:pPr>
        <w:pStyle w:val="Heading3"/>
        <w:rPr/>
      </w:pPr>
      <w:bookmarkStart w:colFirst="0" w:colLast="0" w:name="_jiy92kv06onu" w:id="12"/>
      <w:bookmarkEnd w:id="12"/>
      <w:r w:rsidDel="00000000" w:rsidR="00000000" w:rsidRPr="00000000">
        <w:rPr>
          <w:rtl w:val="0"/>
        </w:rPr>
        <w:t xml:space="preserve">UAE Compliance</w:t>
      </w:r>
    </w:p>
    <w:tbl>
      <w:tblPr>
        <w:tblStyle w:val="Table5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Requirement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Status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Details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Trade License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Active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Abu Dhabi Free Zone — Technology / Digital Marketing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Commercial Registration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Active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Registered with Abu Dhabi authorities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VAT Registration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Compliant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UAE VAT (5%) — registered and filing quarterly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Anti-Money Laundering (AML)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Compliant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KYC processes for brand onboarding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Data Protection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Compliant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UAE Federal Decree-Law No. 45/2021 on data protection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Economic Substance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Compliant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Economic substance regulations (ESR) met — core team in UAE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Annual Audit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Current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Annual financial audit completed</w:t>
            </w:r>
          </w:p>
        </w:tc>
      </w:tr>
    </w:tbl>
    <w:p w:rsidR="00000000" w:rsidDel="00000000" w:rsidP="00000000" w:rsidRDefault="00000000" w:rsidRPr="00000000" w14:paraId="000000CC">
      <w:pPr>
        <w:pStyle w:val="Heading3"/>
        <w:rPr/>
      </w:pPr>
      <w:bookmarkStart w:colFirst="0" w:colLast="0" w:name="_rz6t2khjfopa" w:id="13"/>
      <w:bookmarkEnd w:id="13"/>
      <w:r w:rsidDel="00000000" w:rsidR="00000000" w:rsidRPr="00000000">
        <w:rPr>
          <w:rtl w:val="0"/>
        </w:rPr>
        <w:t xml:space="preserve">KSA Compliance (Planned)</w:t>
      </w:r>
    </w:p>
    <w:tbl>
      <w:tblPr>
        <w:tblStyle w:val="Table6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Requirement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Status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Details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SAGIA Foreign Investment License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📋 Planned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Required for KSA subsidiary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Commercial Registration (CR)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📋 Planned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Ministry of Commerce registration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ZATCA Tax Registration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📋 Planned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Tax authority registration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Saudization (Nitaqat)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📋 Planned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Saudi employment quota compliance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PDPL Compliance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📋 Planned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KSA Personal Data Protection Law</w:t>
            </w:r>
          </w:p>
        </w:tc>
      </w:tr>
    </w:tbl>
    <w:p w:rsidR="00000000" w:rsidDel="00000000" w:rsidP="00000000" w:rsidRDefault="00000000" w:rsidRPr="00000000" w14:paraId="000000DF">
      <w:pPr>
        <w:pStyle w:val="Heading3"/>
        <w:rPr/>
      </w:pPr>
      <w:bookmarkStart w:colFirst="0" w:colLast="0" w:name="_hco7didtvkru" w:id="14"/>
      <w:bookmarkEnd w:id="14"/>
      <w:r w:rsidDel="00000000" w:rsidR="00000000" w:rsidRPr="00000000">
        <w:rPr>
          <w:rtl w:val="0"/>
        </w:rPr>
        <w:t xml:space="preserve">Egypt Compliance (Planned — 2027)</w:t>
      </w:r>
    </w:p>
    <w:tbl>
      <w:tblPr>
        <w:tblStyle w:val="Table7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Requirement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Status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Details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GAFI Registration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📋 Planned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General Authority for Investment registration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Commercial Registry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📋 Planned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Egyptian Companies Authority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Tax Registration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📋 Planned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ETA — Egyptian Tax Authority</w:t>
            </w:r>
          </w:p>
        </w:tc>
      </w:tr>
    </w:tbl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pStyle w:val="Heading2"/>
        <w:rPr/>
      </w:pPr>
      <w:bookmarkStart w:colFirst="0" w:colLast="0" w:name="_flsdnl95o3tj" w:id="15"/>
      <w:bookmarkEnd w:id="15"/>
      <w:r w:rsidDel="00000000" w:rsidR="00000000" w:rsidRPr="00000000">
        <w:rPr>
          <w:rtl w:val="0"/>
        </w:rPr>
        <w:t xml:space="preserve">Key Contracts &amp; Agreements</w:t>
      </w:r>
    </w:p>
    <w:p w:rsidR="00000000" w:rsidDel="00000000" w:rsidP="00000000" w:rsidRDefault="00000000" w:rsidRPr="00000000" w14:paraId="000000EF">
      <w:pPr>
        <w:pStyle w:val="Heading3"/>
        <w:rPr/>
      </w:pPr>
      <w:bookmarkStart w:colFirst="0" w:colLast="0" w:name="_y6si37brwhea" w:id="16"/>
      <w:bookmarkEnd w:id="16"/>
      <w:r w:rsidDel="00000000" w:rsidR="00000000" w:rsidRPr="00000000">
        <w:rPr>
          <w:rtl w:val="0"/>
        </w:rPr>
        <w:t xml:space="preserve">Brand (Client) Contracts</w:t>
      </w:r>
    </w:p>
    <w:tbl>
      <w:tblPr>
        <w:tblStyle w:val="Table8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Element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Standard Terms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Contract 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Performance Marketing Services Agreement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Duration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12 months (auto-renewing)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Payment Terms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Net 30 days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Pricing Model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CPS / CPA / CPL (performance-based)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Termination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30-day notice by either party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Liability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Standard limitation of liability clauses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Governing Law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UAE (ADGM)</w:t>
            </w:r>
          </w:p>
        </w:tc>
      </w:tr>
    </w:tbl>
    <w:p w:rsidR="00000000" w:rsidDel="00000000" w:rsidP="00000000" w:rsidRDefault="00000000" w:rsidRPr="00000000" w14:paraId="00000100">
      <w:pPr>
        <w:pStyle w:val="Heading3"/>
        <w:rPr/>
      </w:pPr>
      <w:bookmarkStart w:colFirst="0" w:colLast="0" w:name="_5qdmcj3l5bhs" w:id="17"/>
      <w:bookmarkEnd w:id="17"/>
      <w:r w:rsidDel="00000000" w:rsidR="00000000" w:rsidRPr="00000000">
        <w:rPr>
          <w:rtl w:val="0"/>
        </w:rPr>
        <w:t xml:space="preserve">Publisher Contracts</w:t>
      </w:r>
    </w:p>
    <w:tbl>
      <w:tblPr>
        <w:tblStyle w:val="Table9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Element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Standard Terms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Contract 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Publisher Agreement / Terms of Service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Duration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Open-ended — terminable at will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Payment Terms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Net 30 days after conversion validation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Payment Methods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Bank transfer, PayPal, regional payment rails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Fraud Clause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Right to withhold payment for fraudulent conversions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Exclusivity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Non-exclusive (publishers can work with other networks)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Governing Law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UAE (ADGM)</w:t>
            </w:r>
          </w:p>
        </w:tc>
      </w:tr>
    </w:tbl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pStyle w:val="Heading2"/>
        <w:rPr/>
      </w:pPr>
      <w:bookmarkStart w:colFirst="0" w:colLast="0" w:name="_90vtkojofltz" w:id="18"/>
      <w:bookmarkEnd w:id="18"/>
      <w:r w:rsidDel="00000000" w:rsidR="00000000" w:rsidRPr="00000000">
        <w:rPr>
          <w:rtl w:val="0"/>
        </w:rPr>
        <w:t xml:space="preserve">Governance</w:t>
      </w:r>
    </w:p>
    <w:p w:rsidR="00000000" w:rsidDel="00000000" w:rsidP="00000000" w:rsidRDefault="00000000" w:rsidRPr="00000000" w14:paraId="00000114">
      <w:pPr>
        <w:pStyle w:val="Heading3"/>
        <w:rPr/>
      </w:pPr>
      <w:bookmarkStart w:colFirst="0" w:colLast="0" w:name="_mi4idj42zq3y" w:id="19"/>
      <w:bookmarkEnd w:id="19"/>
      <w:r w:rsidDel="00000000" w:rsidR="00000000" w:rsidRPr="00000000">
        <w:rPr>
          <w:rtl w:val="0"/>
        </w:rPr>
        <w:t xml:space="preserve">Current Governance Structure</w:t>
      </w:r>
    </w:p>
    <w:tbl>
      <w:tblPr>
        <w:tblStyle w:val="Table10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Element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Detail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Board of Directors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 members — Rima Hani (Chair), Fahad Alsaedi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Decision-Making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Joint founder consensus on major decisions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Financial Controls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Dual signatory for transactions &gt;$10,000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Audit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Annual external audit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Legal Counsel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Retained law firm for contract review and compliance</w:t>
            </w:r>
          </w:p>
        </w:tc>
      </w:tr>
    </w:tbl>
    <w:p w:rsidR="00000000" w:rsidDel="00000000" w:rsidP="00000000" w:rsidRDefault="00000000" w:rsidRPr="00000000" w14:paraId="00000121">
      <w:pPr>
        <w:pStyle w:val="Heading3"/>
        <w:rPr/>
      </w:pPr>
      <w:bookmarkStart w:colFirst="0" w:colLast="0" w:name="_nxtisd2t5a6y" w:id="20"/>
      <w:bookmarkEnd w:id="20"/>
      <w:r w:rsidDel="00000000" w:rsidR="00000000" w:rsidRPr="00000000">
        <w:rPr>
          <w:rtl w:val="0"/>
        </w:rPr>
        <w:t xml:space="preserve">Post-Investment Governance (Proposed)</w:t>
      </w:r>
    </w:p>
    <w:tbl>
      <w:tblPr>
        <w:tblStyle w:val="Table1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Element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Detail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Board Composition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3–5 members (2 founders + 1–2 investor representatives + 1 independent)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Board Meetings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Quarterly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Investor Rights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Standard information rights, pro-rata rights, protective provisions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Reporting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Monthly financial reports, quarterly board updates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Financial Controls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Enhanced controls with investment committee approval for major expenditures</w:t>
            </w:r>
          </w:p>
        </w:tc>
      </w:tr>
    </w:tbl>
    <w:p w:rsidR="00000000" w:rsidDel="00000000" w:rsidP="00000000" w:rsidRDefault="00000000" w:rsidRPr="00000000" w14:paraId="000001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pStyle w:val="Heading2"/>
        <w:rPr/>
      </w:pPr>
      <w:bookmarkStart w:colFirst="0" w:colLast="0" w:name="_wfxw98ndgxnm" w:id="21"/>
      <w:bookmarkEnd w:id="21"/>
      <w:r w:rsidDel="00000000" w:rsidR="00000000" w:rsidRPr="00000000">
        <w:rPr>
          <w:rtl w:val="0"/>
        </w:rPr>
        <w:t xml:space="preserve">Insurance</w:t>
      </w:r>
    </w:p>
    <w:tbl>
      <w:tblPr>
        <w:tblStyle w:val="Table1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1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Coverage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2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Status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3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Provider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4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General Business Insurance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5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Active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UAE insurer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7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Professional Indemnity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8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Active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Covers errors in service delivery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A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Directors &amp; Officers (D&amp;O)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📋 Planned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To be obtained post-investment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D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Cyber Liability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📋 Planned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To be obtained post-investment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0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Key Person Insurance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📋 Planned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To be obtained post-investment</w:t>
            </w:r>
          </w:p>
        </w:tc>
      </w:tr>
    </w:tbl>
    <w:p w:rsidR="00000000" w:rsidDel="00000000" w:rsidP="00000000" w:rsidRDefault="00000000" w:rsidRPr="00000000" w14:paraId="000001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pStyle w:val="Heading2"/>
        <w:rPr/>
      </w:pPr>
      <w:bookmarkStart w:colFirst="0" w:colLast="0" w:name="_3xcewhugfwa9" w:id="22"/>
      <w:bookmarkEnd w:id="22"/>
      <w:r w:rsidDel="00000000" w:rsidR="00000000" w:rsidRPr="00000000">
        <w:rPr>
          <w:rtl w:val="0"/>
        </w:rPr>
        <w:t xml:space="preserve">Legal Risks &amp; Mitigations</w:t>
      </w:r>
    </w:p>
    <w:tbl>
      <w:tblPr>
        <w:tblStyle w:val="Table1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6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Risk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7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Likelihood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8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Mitigation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9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Regulatory changes in UAE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Low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UAE has stable, business-friendly policy; Free Zone provides additional protections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C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KSA market entry complexity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Medium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Engaging local legal counsel; SAGIA license application planned Q2 2026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F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Cross-border data transfer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Medium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Compliant with UAE data protection law; standard contractual clauses for cross-border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2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Publisher fraud liability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Low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Clear terms — brands and publishers accept fraud detection thresholds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5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IP infringement claims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Low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Proprietary platform — no third-party code dependencies for core tracking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8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Tax exposure in multiple jurisdictions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Medium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Tax advisors engaged for KSA/Egypt expansion; transfer pricing structure planned</w:t>
            </w:r>
          </w:p>
        </w:tc>
      </w:tr>
    </w:tbl>
    <w:p w:rsidR="00000000" w:rsidDel="00000000" w:rsidP="00000000" w:rsidRDefault="00000000" w:rsidRPr="00000000" w14:paraId="000001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  <w:t xml:space="preserve">© 2026 Perff AI (Perff Inc.). Confidential &amp; Proprietary.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</w:r>
    </w:p>
    <w:sectPr>
      <w:headerReference r:id="rId6" w:type="default"/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60">
    <w:pPr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61">
    <w:pPr>
      <w:rPr/>
    </w:pPr>
    <w:r w:rsidDel="00000000" w:rsidR="00000000" w:rsidRPr="00000000">
      <w:rPr/>
      <w:drawing>
        <wp:inline distB="114300" distT="114300" distL="114300" distR="114300">
          <wp:extent cx="1214438" cy="404813"/>
          <wp:effectExtent b="0" l="0" r="0" t="0"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214438" cy="404813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  <w:style w:type="table" w:styleId="Table9">
    <w:basedOn w:val="TableNormal"/>
    <w:tblPr>
      <w:tblStyleRowBandSize w:val="1"/>
      <w:tblStyleColBandSize w:val="1"/>
    </w:tblPr>
  </w:style>
  <w:style w:type="table" w:styleId="Table10">
    <w:basedOn w:val="TableNormal"/>
    <w:tblPr>
      <w:tblStyleRowBandSize w:val="1"/>
      <w:tblStyleColBandSize w:val="1"/>
    </w:tblPr>
  </w:style>
  <w:style w:type="table" w:styleId="Table11">
    <w:basedOn w:val="TableNormal"/>
    <w:tblPr>
      <w:tblStyleRowBandSize w:val="1"/>
      <w:tblStyleColBandSize w:val="1"/>
    </w:tblPr>
  </w:style>
  <w:style w:type="table" w:styleId="Table12">
    <w:basedOn w:val="TableNormal"/>
    <w:tblPr>
      <w:tblStyleRowBandSize w:val="1"/>
      <w:tblStyleColBandSize w:val="1"/>
    </w:tblPr>
  </w:style>
  <w:style w:type="table" w:styleId="Table13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