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8EEFD" w14:textId="677614A8" w:rsidR="007D727E" w:rsidRPr="00C749E0" w:rsidRDefault="00E2682D" w:rsidP="00405B4E">
      <w:pPr>
        <w:spacing w:after="0" w:line="240" w:lineRule="auto"/>
        <w:rPr>
          <w:sz w:val="24"/>
          <w:szCs w:val="24"/>
        </w:rPr>
      </w:pPr>
      <w:r w:rsidRPr="00C749E0">
        <w:rPr>
          <w:sz w:val="24"/>
          <w:szCs w:val="24"/>
        </w:rPr>
        <w:t>To:</w:t>
      </w:r>
      <w:r w:rsidR="005777D6">
        <w:rPr>
          <w:sz w:val="24"/>
          <w:szCs w:val="24"/>
        </w:rPr>
        <w:t xml:space="preserve"> </w:t>
      </w:r>
      <w:proofErr w:type="spellStart"/>
      <w:r w:rsidR="005777D6">
        <w:rPr>
          <w:sz w:val="24"/>
          <w:szCs w:val="24"/>
        </w:rPr>
        <w:t>Patr</w:t>
      </w:r>
      <w:r w:rsidR="001D0B09">
        <w:rPr>
          <w:sz w:val="24"/>
          <w:szCs w:val="24"/>
        </w:rPr>
        <w:t>ik</w:t>
      </w:r>
      <w:proofErr w:type="spellEnd"/>
      <w:r w:rsidR="001D0B09">
        <w:rPr>
          <w:sz w:val="24"/>
          <w:szCs w:val="24"/>
        </w:rPr>
        <w:t xml:space="preserve"> Frisk,</w:t>
      </w:r>
      <w:r w:rsidR="00A9107D">
        <w:rPr>
          <w:sz w:val="24"/>
          <w:szCs w:val="24"/>
        </w:rPr>
        <w:t xml:space="preserve"> President</w:t>
      </w:r>
      <w:r w:rsidR="00FB7D35">
        <w:rPr>
          <w:sz w:val="24"/>
          <w:szCs w:val="24"/>
        </w:rPr>
        <w:t xml:space="preserve"> and</w:t>
      </w:r>
      <w:r w:rsidR="001D0B09">
        <w:rPr>
          <w:sz w:val="24"/>
          <w:szCs w:val="24"/>
        </w:rPr>
        <w:t xml:space="preserve"> CEO</w:t>
      </w:r>
    </w:p>
    <w:p w14:paraId="26CB24D9" w14:textId="7CD9513E" w:rsidR="00E2682D" w:rsidRPr="00C749E0" w:rsidRDefault="00E2682D" w:rsidP="00405B4E">
      <w:pPr>
        <w:spacing w:after="0" w:line="240" w:lineRule="auto"/>
        <w:rPr>
          <w:sz w:val="24"/>
          <w:szCs w:val="24"/>
        </w:rPr>
      </w:pPr>
      <w:r w:rsidRPr="00C749E0">
        <w:rPr>
          <w:sz w:val="24"/>
          <w:szCs w:val="24"/>
        </w:rPr>
        <w:t xml:space="preserve">From: </w:t>
      </w:r>
      <w:r w:rsidR="001D0B09">
        <w:rPr>
          <w:sz w:val="24"/>
          <w:szCs w:val="24"/>
        </w:rPr>
        <w:t>Matthew Mariani</w:t>
      </w:r>
    </w:p>
    <w:p w14:paraId="7B6F5B4A" w14:textId="013D62D2" w:rsidR="00E2682D" w:rsidRPr="00C749E0" w:rsidRDefault="00E2682D" w:rsidP="00405B4E">
      <w:pPr>
        <w:spacing w:after="0" w:line="240" w:lineRule="auto"/>
        <w:rPr>
          <w:sz w:val="24"/>
          <w:szCs w:val="24"/>
        </w:rPr>
      </w:pPr>
      <w:r w:rsidRPr="00C749E0">
        <w:rPr>
          <w:sz w:val="24"/>
          <w:szCs w:val="24"/>
        </w:rPr>
        <w:t>Subject</w:t>
      </w:r>
      <w:r w:rsidR="00810E33">
        <w:rPr>
          <w:sz w:val="24"/>
          <w:szCs w:val="24"/>
        </w:rPr>
        <w:t>:</w:t>
      </w:r>
      <w:r w:rsidR="00814F3A">
        <w:rPr>
          <w:sz w:val="24"/>
          <w:szCs w:val="24"/>
        </w:rPr>
        <w:t xml:space="preserve"> Under </w:t>
      </w:r>
      <w:proofErr w:type="spellStart"/>
      <w:r w:rsidR="00814F3A">
        <w:rPr>
          <w:sz w:val="24"/>
          <w:szCs w:val="24"/>
        </w:rPr>
        <w:t>Armo</w:t>
      </w:r>
      <w:r w:rsidR="00EE7B29">
        <w:rPr>
          <w:sz w:val="24"/>
          <w:szCs w:val="24"/>
        </w:rPr>
        <w:t>u</w:t>
      </w:r>
      <w:r w:rsidR="00814F3A">
        <w:rPr>
          <w:sz w:val="24"/>
          <w:szCs w:val="24"/>
        </w:rPr>
        <w:t>r</w:t>
      </w:r>
      <w:proofErr w:type="spellEnd"/>
      <w:r w:rsidR="003651AF">
        <w:rPr>
          <w:sz w:val="24"/>
          <w:szCs w:val="24"/>
        </w:rPr>
        <w:t>,</w:t>
      </w:r>
      <w:r w:rsidR="00814F3A">
        <w:rPr>
          <w:sz w:val="24"/>
          <w:szCs w:val="24"/>
        </w:rPr>
        <w:t xml:space="preserve"> Inc</w:t>
      </w:r>
      <w:r w:rsidR="00EE7B29">
        <w:rPr>
          <w:sz w:val="24"/>
          <w:szCs w:val="24"/>
        </w:rPr>
        <w:t>.</w:t>
      </w:r>
      <w:r w:rsidR="00814F3A">
        <w:rPr>
          <w:sz w:val="24"/>
          <w:szCs w:val="24"/>
        </w:rPr>
        <w:t xml:space="preserve"> and Subsidiaries Analysis</w:t>
      </w:r>
    </w:p>
    <w:p w14:paraId="64A908DC" w14:textId="6CAF3D3E" w:rsidR="00E2682D" w:rsidRPr="00C749E0" w:rsidRDefault="00E2682D" w:rsidP="00405B4E">
      <w:pPr>
        <w:spacing w:after="0" w:line="240" w:lineRule="auto"/>
        <w:rPr>
          <w:sz w:val="24"/>
          <w:szCs w:val="24"/>
        </w:rPr>
      </w:pPr>
      <w:r w:rsidRPr="00C749E0">
        <w:rPr>
          <w:sz w:val="24"/>
          <w:szCs w:val="24"/>
        </w:rPr>
        <w:t>Date</w:t>
      </w:r>
      <w:r w:rsidR="003804FA" w:rsidRPr="00C749E0">
        <w:rPr>
          <w:sz w:val="24"/>
          <w:szCs w:val="24"/>
        </w:rPr>
        <w:t>:</w:t>
      </w:r>
      <w:r w:rsidR="00814F3A">
        <w:rPr>
          <w:sz w:val="24"/>
          <w:szCs w:val="24"/>
        </w:rPr>
        <w:t xml:space="preserve"> </w:t>
      </w:r>
      <w:r w:rsidR="004004EB">
        <w:rPr>
          <w:sz w:val="24"/>
          <w:szCs w:val="24"/>
        </w:rPr>
        <w:t>May 4</w:t>
      </w:r>
      <w:r w:rsidR="00EF23B7">
        <w:rPr>
          <w:sz w:val="24"/>
          <w:szCs w:val="24"/>
        </w:rPr>
        <w:t>,</w:t>
      </w:r>
      <w:r w:rsidR="004004EB">
        <w:rPr>
          <w:sz w:val="24"/>
          <w:szCs w:val="24"/>
        </w:rPr>
        <w:t xml:space="preserve"> 2020</w:t>
      </w:r>
    </w:p>
    <w:p w14:paraId="5C22279E" w14:textId="77777777" w:rsidR="003804FA" w:rsidRPr="00C749E0" w:rsidRDefault="003804FA" w:rsidP="00405B4E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228E0E2E" w14:textId="1A537391" w:rsidR="00E2682D" w:rsidRPr="00C749E0" w:rsidRDefault="00E2682D" w:rsidP="00405B4E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C749E0">
        <w:rPr>
          <w:b/>
          <w:bCs/>
          <w:sz w:val="24"/>
          <w:szCs w:val="24"/>
        </w:rPr>
        <w:t xml:space="preserve">Business Brief: Under </w:t>
      </w:r>
      <w:proofErr w:type="spellStart"/>
      <w:r w:rsidRPr="00C749E0">
        <w:rPr>
          <w:b/>
          <w:bCs/>
          <w:sz w:val="24"/>
          <w:szCs w:val="24"/>
        </w:rPr>
        <w:t>A</w:t>
      </w:r>
      <w:r w:rsidR="00990826">
        <w:rPr>
          <w:b/>
          <w:bCs/>
          <w:sz w:val="24"/>
          <w:szCs w:val="24"/>
        </w:rPr>
        <w:t>r</w:t>
      </w:r>
      <w:r w:rsidRPr="00C749E0">
        <w:rPr>
          <w:b/>
          <w:bCs/>
          <w:sz w:val="24"/>
          <w:szCs w:val="24"/>
        </w:rPr>
        <w:t>mo</w:t>
      </w:r>
      <w:r w:rsidR="00990826">
        <w:rPr>
          <w:b/>
          <w:bCs/>
          <w:sz w:val="24"/>
          <w:szCs w:val="24"/>
        </w:rPr>
        <w:t>u</w:t>
      </w:r>
      <w:r w:rsidRPr="00C749E0">
        <w:rPr>
          <w:b/>
          <w:bCs/>
          <w:sz w:val="24"/>
          <w:szCs w:val="24"/>
        </w:rPr>
        <w:t>r</w:t>
      </w:r>
      <w:proofErr w:type="spellEnd"/>
      <w:r w:rsidR="00DF2A8D">
        <w:rPr>
          <w:b/>
          <w:bCs/>
          <w:sz w:val="24"/>
          <w:szCs w:val="24"/>
        </w:rPr>
        <w:t>.</w:t>
      </w:r>
      <w:r w:rsidRPr="00C749E0">
        <w:rPr>
          <w:b/>
          <w:bCs/>
          <w:sz w:val="24"/>
          <w:szCs w:val="24"/>
        </w:rPr>
        <w:t xml:space="preserve"> Inc, and Subsidiaries</w:t>
      </w:r>
    </w:p>
    <w:p w14:paraId="095CC735" w14:textId="77777777" w:rsidR="003804FA" w:rsidRPr="00C749E0" w:rsidRDefault="003804FA" w:rsidP="00405B4E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50B9FFA2" w14:textId="752CBD36" w:rsidR="00E2682D" w:rsidRDefault="00E2682D" w:rsidP="00405B4E">
      <w:pPr>
        <w:spacing w:after="0" w:line="240" w:lineRule="auto"/>
        <w:ind w:firstLine="720"/>
        <w:rPr>
          <w:sz w:val="24"/>
          <w:szCs w:val="24"/>
        </w:rPr>
      </w:pPr>
      <w:r w:rsidRPr="00C749E0">
        <w:rPr>
          <w:sz w:val="24"/>
          <w:szCs w:val="24"/>
        </w:rPr>
        <w:t xml:space="preserve">Under </w:t>
      </w:r>
      <w:proofErr w:type="spellStart"/>
      <w:r w:rsidRPr="00C749E0">
        <w:rPr>
          <w:sz w:val="24"/>
          <w:szCs w:val="24"/>
        </w:rPr>
        <w:t>Armo</w:t>
      </w:r>
      <w:r w:rsidR="00990826">
        <w:rPr>
          <w:sz w:val="24"/>
          <w:szCs w:val="24"/>
        </w:rPr>
        <w:t>u</w:t>
      </w:r>
      <w:r w:rsidRPr="00C749E0">
        <w:rPr>
          <w:sz w:val="24"/>
          <w:szCs w:val="24"/>
        </w:rPr>
        <w:t>r</w:t>
      </w:r>
      <w:proofErr w:type="spellEnd"/>
      <w:r w:rsidR="003651AF">
        <w:rPr>
          <w:sz w:val="24"/>
          <w:szCs w:val="24"/>
        </w:rPr>
        <w:t>,</w:t>
      </w:r>
      <w:r w:rsidRPr="00C749E0">
        <w:rPr>
          <w:sz w:val="24"/>
          <w:szCs w:val="24"/>
        </w:rPr>
        <w:t xml:space="preserve"> Inc</w:t>
      </w:r>
      <w:r w:rsidR="003651AF">
        <w:rPr>
          <w:sz w:val="24"/>
          <w:szCs w:val="24"/>
        </w:rPr>
        <w:t>.</w:t>
      </w:r>
      <w:r w:rsidRPr="00C749E0">
        <w:rPr>
          <w:sz w:val="24"/>
          <w:szCs w:val="24"/>
        </w:rPr>
        <w:t xml:space="preserve"> and Subsidiaries headquarters is located out</w:t>
      </w:r>
      <w:r w:rsidR="0082033A">
        <w:rPr>
          <w:sz w:val="24"/>
          <w:szCs w:val="24"/>
        </w:rPr>
        <w:t>side</w:t>
      </w:r>
      <w:r w:rsidRPr="00C749E0">
        <w:rPr>
          <w:sz w:val="24"/>
          <w:szCs w:val="24"/>
        </w:rPr>
        <w:t xml:space="preserve"> of Baltimore, Maryland. The Company is publicly traded on the New York Stock Exchange under the ticker symbol UAA for class A common stocks and the ticker symbol UA for class C common stocks. </w:t>
      </w:r>
      <w:r w:rsidR="00A20B78" w:rsidRPr="00C749E0">
        <w:rPr>
          <w:sz w:val="24"/>
          <w:szCs w:val="24"/>
        </w:rPr>
        <w:t>This company</w:t>
      </w:r>
      <w:r w:rsidR="0060682C">
        <w:rPr>
          <w:sz w:val="24"/>
          <w:szCs w:val="24"/>
        </w:rPr>
        <w:t>’s</w:t>
      </w:r>
      <w:r w:rsidR="00A20B78" w:rsidRPr="00C749E0">
        <w:rPr>
          <w:sz w:val="24"/>
          <w:szCs w:val="24"/>
        </w:rPr>
        <w:t xml:space="preserve"> intensions are to develop, market</w:t>
      </w:r>
      <w:r w:rsidR="0060682C">
        <w:rPr>
          <w:sz w:val="24"/>
          <w:szCs w:val="24"/>
        </w:rPr>
        <w:t xml:space="preserve"> </w:t>
      </w:r>
      <w:r w:rsidR="00A20B78" w:rsidRPr="00C749E0">
        <w:rPr>
          <w:sz w:val="24"/>
          <w:szCs w:val="24"/>
        </w:rPr>
        <w:t xml:space="preserve">and distribute branded performance apparel, footwear and accessories for men, women and youth. The brand’s performance apparel and footwear are engineered in many designs and styles </w:t>
      </w:r>
      <w:r w:rsidR="00814421">
        <w:rPr>
          <w:sz w:val="24"/>
          <w:szCs w:val="24"/>
        </w:rPr>
        <w:t>to</w:t>
      </w:r>
      <w:r w:rsidR="00A20B78" w:rsidRPr="00C749E0">
        <w:rPr>
          <w:sz w:val="24"/>
          <w:szCs w:val="24"/>
        </w:rPr>
        <w:t xml:space="preserve"> wear in nearly every climate to provide a performance alternative to traditional products. Some of Under </w:t>
      </w:r>
      <w:proofErr w:type="spellStart"/>
      <w:r w:rsidR="00A20B78" w:rsidRPr="00C749E0">
        <w:rPr>
          <w:sz w:val="24"/>
          <w:szCs w:val="24"/>
        </w:rPr>
        <w:t>Armo</w:t>
      </w:r>
      <w:r w:rsidR="00990826">
        <w:rPr>
          <w:sz w:val="24"/>
          <w:szCs w:val="24"/>
        </w:rPr>
        <w:t>u</w:t>
      </w:r>
      <w:r w:rsidR="00A20B78" w:rsidRPr="00C749E0">
        <w:rPr>
          <w:sz w:val="24"/>
          <w:szCs w:val="24"/>
        </w:rPr>
        <w:t>r</w:t>
      </w:r>
      <w:r w:rsidR="009C0084">
        <w:rPr>
          <w:sz w:val="24"/>
          <w:szCs w:val="24"/>
        </w:rPr>
        <w:t>’s</w:t>
      </w:r>
      <w:proofErr w:type="spellEnd"/>
      <w:r w:rsidR="00A20B78" w:rsidRPr="00C749E0">
        <w:rPr>
          <w:sz w:val="24"/>
          <w:szCs w:val="24"/>
        </w:rPr>
        <w:t xml:space="preserve"> competitors in this market consist of Nike, Adidas, Puma, Reebok, New Balance</w:t>
      </w:r>
      <w:r w:rsidR="0004114B">
        <w:rPr>
          <w:sz w:val="24"/>
          <w:szCs w:val="24"/>
        </w:rPr>
        <w:t xml:space="preserve"> and</w:t>
      </w:r>
      <w:r w:rsidR="00A20B78" w:rsidRPr="00C749E0">
        <w:rPr>
          <w:sz w:val="24"/>
          <w:szCs w:val="24"/>
        </w:rPr>
        <w:t xml:space="preserve"> Lululemon </w:t>
      </w:r>
      <w:r w:rsidR="0004114B">
        <w:rPr>
          <w:sz w:val="24"/>
          <w:szCs w:val="24"/>
        </w:rPr>
        <w:t>A</w:t>
      </w:r>
      <w:r w:rsidR="00A20B78" w:rsidRPr="00C749E0">
        <w:rPr>
          <w:sz w:val="24"/>
          <w:szCs w:val="24"/>
        </w:rPr>
        <w:t xml:space="preserve">thletica. The </w:t>
      </w:r>
      <w:r w:rsidR="003804FA" w:rsidRPr="00C749E0">
        <w:rPr>
          <w:sz w:val="24"/>
          <w:szCs w:val="24"/>
        </w:rPr>
        <w:t>products</w:t>
      </w:r>
      <w:r w:rsidR="00A20B78" w:rsidRPr="00C749E0">
        <w:rPr>
          <w:sz w:val="24"/>
          <w:szCs w:val="24"/>
        </w:rPr>
        <w:t xml:space="preserve"> they offer are</w:t>
      </w:r>
      <w:r w:rsidR="003804FA" w:rsidRPr="00C749E0">
        <w:rPr>
          <w:sz w:val="24"/>
          <w:szCs w:val="24"/>
        </w:rPr>
        <w:t xml:space="preserve"> apparel, footwear and accessories for men, women and youth that are marketed at multiple price levels and provide customers with products that they believe are a superior alternative to traditional athletic products. In 2019, sales of apparel accounted for 66% of net revenues</w:t>
      </w:r>
      <w:r w:rsidR="00957386">
        <w:rPr>
          <w:sz w:val="24"/>
          <w:szCs w:val="24"/>
        </w:rPr>
        <w:t>,</w:t>
      </w:r>
      <w:r w:rsidR="003804FA" w:rsidRPr="00C749E0">
        <w:rPr>
          <w:sz w:val="24"/>
          <w:szCs w:val="24"/>
        </w:rPr>
        <w:t xml:space="preserve"> respectively, footwear for 21%, and accessories for 8%. The audit firm that conducted the audit was PricewaterhouseCoopers LLC. The fiscal years were December 31, 2019 and December 31, 2018.</w:t>
      </w:r>
      <w:r w:rsidR="00E17FA9">
        <w:rPr>
          <w:sz w:val="24"/>
          <w:szCs w:val="24"/>
        </w:rPr>
        <w:t xml:space="preserve"> </w:t>
      </w:r>
      <w:r w:rsidR="00EF23B7">
        <w:rPr>
          <w:sz w:val="24"/>
          <w:szCs w:val="24"/>
        </w:rPr>
        <w:t xml:space="preserve">The </w:t>
      </w:r>
      <w:r w:rsidR="00EF23B7" w:rsidRPr="00C749E0">
        <w:rPr>
          <w:sz w:val="24"/>
          <w:szCs w:val="24"/>
        </w:rPr>
        <w:t>Under</w:t>
      </w:r>
      <w:r w:rsidR="003804FA" w:rsidRPr="00C749E0">
        <w:rPr>
          <w:sz w:val="24"/>
          <w:szCs w:val="24"/>
        </w:rPr>
        <w:t xml:space="preserve"> </w:t>
      </w:r>
      <w:proofErr w:type="spellStart"/>
      <w:r w:rsidR="003804FA" w:rsidRPr="00C749E0">
        <w:rPr>
          <w:sz w:val="24"/>
          <w:szCs w:val="24"/>
        </w:rPr>
        <w:t>Armo</w:t>
      </w:r>
      <w:r w:rsidR="00990826">
        <w:rPr>
          <w:sz w:val="24"/>
          <w:szCs w:val="24"/>
        </w:rPr>
        <w:t>u</w:t>
      </w:r>
      <w:r w:rsidR="003804FA" w:rsidRPr="00C749E0">
        <w:rPr>
          <w:sz w:val="24"/>
          <w:szCs w:val="24"/>
        </w:rPr>
        <w:t>r</w:t>
      </w:r>
      <w:proofErr w:type="spellEnd"/>
      <w:r w:rsidR="003804FA" w:rsidRPr="00C749E0">
        <w:rPr>
          <w:sz w:val="24"/>
          <w:szCs w:val="24"/>
        </w:rPr>
        <w:t xml:space="preserve"> SIC code is 2389-Apparel and Accessories.</w:t>
      </w:r>
      <w:r w:rsidR="00B84A61">
        <w:rPr>
          <w:sz w:val="24"/>
          <w:szCs w:val="24"/>
        </w:rPr>
        <w:t xml:space="preserve"> The company recognize revenue </w:t>
      </w:r>
      <w:r w:rsidR="0027606A">
        <w:rPr>
          <w:sz w:val="24"/>
          <w:szCs w:val="24"/>
        </w:rPr>
        <w:t>pursuant to Accounting Standards Codification 606.</w:t>
      </w:r>
      <w:r w:rsidR="0075409C" w:rsidRPr="00C749E0">
        <w:rPr>
          <w:sz w:val="24"/>
          <w:szCs w:val="24"/>
        </w:rPr>
        <w:t xml:space="preserve"> </w:t>
      </w:r>
      <w:r w:rsidR="009A5DCC" w:rsidRPr="00C749E0">
        <w:rPr>
          <w:sz w:val="24"/>
          <w:szCs w:val="24"/>
        </w:rPr>
        <w:t xml:space="preserve">The company </w:t>
      </w:r>
      <w:r w:rsidR="00596294" w:rsidRPr="00C749E0">
        <w:rPr>
          <w:sz w:val="24"/>
          <w:szCs w:val="24"/>
        </w:rPr>
        <w:t>recognizes</w:t>
      </w:r>
      <w:r w:rsidR="009A5DCC" w:rsidRPr="00C749E0">
        <w:rPr>
          <w:sz w:val="24"/>
          <w:szCs w:val="24"/>
        </w:rPr>
        <w:t xml:space="preserve"> revenue when it </w:t>
      </w:r>
      <w:r w:rsidR="00D852B1" w:rsidRPr="00C749E0">
        <w:rPr>
          <w:sz w:val="24"/>
          <w:szCs w:val="24"/>
        </w:rPr>
        <w:t xml:space="preserve">satisfies its performance </w:t>
      </w:r>
      <w:r w:rsidR="00596294" w:rsidRPr="00C749E0">
        <w:rPr>
          <w:sz w:val="24"/>
          <w:szCs w:val="24"/>
        </w:rPr>
        <w:t>obligations</w:t>
      </w:r>
      <w:r w:rsidR="00D852B1" w:rsidRPr="00C749E0">
        <w:rPr>
          <w:sz w:val="24"/>
          <w:szCs w:val="24"/>
        </w:rPr>
        <w:t xml:space="preserve"> by transferring control of promise</w:t>
      </w:r>
      <w:r w:rsidR="00E428F4">
        <w:rPr>
          <w:sz w:val="24"/>
          <w:szCs w:val="24"/>
        </w:rPr>
        <w:t>d</w:t>
      </w:r>
      <w:r w:rsidR="00D852B1" w:rsidRPr="00C749E0">
        <w:rPr>
          <w:sz w:val="24"/>
          <w:szCs w:val="24"/>
        </w:rPr>
        <w:t xml:space="preserve"> </w:t>
      </w:r>
      <w:r w:rsidR="00596294" w:rsidRPr="00C749E0">
        <w:rPr>
          <w:sz w:val="24"/>
          <w:szCs w:val="24"/>
        </w:rPr>
        <w:t>products</w:t>
      </w:r>
      <w:r w:rsidR="00D852B1" w:rsidRPr="00C749E0">
        <w:rPr>
          <w:sz w:val="24"/>
          <w:szCs w:val="24"/>
        </w:rPr>
        <w:t xml:space="preserve"> or services to its customers, which occurs either at a point in time, </w:t>
      </w:r>
      <w:r w:rsidR="00713282">
        <w:rPr>
          <w:sz w:val="24"/>
          <w:szCs w:val="24"/>
        </w:rPr>
        <w:t xml:space="preserve">and </w:t>
      </w:r>
      <w:r w:rsidR="00D852B1" w:rsidRPr="00C749E0">
        <w:rPr>
          <w:sz w:val="24"/>
          <w:szCs w:val="24"/>
        </w:rPr>
        <w:t xml:space="preserve">depending on when the customer obtains the ability </w:t>
      </w:r>
      <w:r w:rsidR="00596294" w:rsidRPr="00C749E0">
        <w:rPr>
          <w:sz w:val="24"/>
          <w:szCs w:val="24"/>
        </w:rPr>
        <w:t>to direct use of and obtain all of the remaining benefits from products or services.</w:t>
      </w:r>
      <w:r w:rsidR="008C55EC" w:rsidRPr="00C749E0">
        <w:rPr>
          <w:sz w:val="24"/>
          <w:szCs w:val="24"/>
        </w:rPr>
        <w:t xml:space="preserve"> Revenue transactions associated with sale of </w:t>
      </w:r>
      <w:r w:rsidR="00233371" w:rsidRPr="00C749E0">
        <w:rPr>
          <w:sz w:val="24"/>
          <w:szCs w:val="24"/>
        </w:rPr>
        <w:t>apparel,</w:t>
      </w:r>
      <w:r w:rsidR="008C55EC" w:rsidRPr="00C749E0">
        <w:rPr>
          <w:sz w:val="24"/>
          <w:szCs w:val="24"/>
        </w:rPr>
        <w:t xml:space="preserve"> footwear</w:t>
      </w:r>
      <w:r w:rsidR="00233371" w:rsidRPr="00C749E0">
        <w:rPr>
          <w:sz w:val="24"/>
          <w:szCs w:val="24"/>
        </w:rPr>
        <w:t>,</w:t>
      </w:r>
      <w:r w:rsidR="008C55EC" w:rsidRPr="00C749E0">
        <w:rPr>
          <w:sz w:val="24"/>
          <w:szCs w:val="24"/>
        </w:rPr>
        <w:t xml:space="preserve"> and accessories make up a </w:t>
      </w:r>
      <w:r w:rsidR="00F37C68" w:rsidRPr="00C749E0">
        <w:rPr>
          <w:sz w:val="24"/>
          <w:szCs w:val="24"/>
        </w:rPr>
        <w:t>single performance obligation</w:t>
      </w:r>
      <w:r w:rsidR="000E5FAC" w:rsidRPr="00C749E0">
        <w:rPr>
          <w:sz w:val="24"/>
          <w:szCs w:val="24"/>
        </w:rPr>
        <w:t xml:space="preserve"> consisting of sales of products through </w:t>
      </w:r>
      <w:r w:rsidR="004C055E" w:rsidRPr="00C749E0">
        <w:rPr>
          <w:sz w:val="24"/>
          <w:szCs w:val="24"/>
        </w:rPr>
        <w:t>wholesale</w:t>
      </w:r>
      <w:r w:rsidR="000E5FAC" w:rsidRPr="00C749E0">
        <w:rPr>
          <w:sz w:val="24"/>
          <w:szCs w:val="24"/>
        </w:rPr>
        <w:t xml:space="preserve"> or direct to customer channels. The company satisfies the </w:t>
      </w:r>
      <w:r w:rsidR="00F37C68" w:rsidRPr="00C749E0">
        <w:rPr>
          <w:sz w:val="24"/>
          <w:szCs w:val="24"/>
        </w:rPr>
        <w:t xml:space="preserve">performance obligation and record revenue when transfer of control has passed to the customer based on the terms of sale. Payment is generally </w:t>
      </w:r>
      <w:r w:rsidR="004C055E" w:rsidRPr="00C749E0">
        <w:rPr>
          <w:sz w:val="24"/>
          <w:szCs w:val="24"/>
        </w:rPr>
        <w:t>required within 30 to 60 days of shipment to wholesale customers, and 60 to 90</w:t>
      </w:r>
      <w:r w:rsidR="00F342FA">
        <w:rPr>
          <w:sz w:val="24"/>
          <w:szCs w:val="24"/>
        </w:rPr>
        <w:t xml:space="preserve"> days</w:t>
      </w:r>
      <w:r w:rsidR="00366E21">
        <w:rPr>
          <w:sz w:val="24"/>
          <w:szCs w:val="24"/>
        </w:rPr>
        <w:t xml:space="preserve"> to</w:t>
      </w:r>
      <w:r w:rsidR="004C055E" w:rsidRPr="00C749E0">
        <w:rPr>
          <w:sz w:val="24"/>
          <w:szCs w:val="24"/>
        </w:rPr>
        <w:t xml:space="preserve"> wholesale customers internationally</w:t>
      </w:r>
      <w:r w:rsidR="00F342FA">
        <w:rPr>
          <w:sz w:val="24"/>
          <w:szCs w:val="24"/>
        </w:rPr>
        <w:t>.</w:t>
      </w:r>
      <w:r w:rsidR="004C055E" w:rsidRPr="00C749E0">
        <w:rPr>
          <w:sz w:val="24"/>
          <w:szCs w:val="24"/>
        </w:rPr>
        <w:t xml:space="preserve"> </w:t>
      </w:r>
      <w:r w:rsidR="00F342FA">
        <w:rPr>
          <w:sz w:val="24"/>
          <w:szCs w:val="24"/>
        </w:rPr>
        <w:t>P</w:t>
      </w:r>
      <w:r w:rsidR="004C055E" w:rsidRPr="00C749E0">
        <w:rPr>
          <w:sz w:val="24"/>
          <w:szCs w:val="24"/>
        </w:rPr>
        <w:t>ayment is generally due at time of sale to direct consumers transactions.</w:t>
      </w:r>
      <w:r w:rsidR="002D35A1" w:rsidRPr="00C749E0">
        <w:rPr>
          <w:sz w:val="24"/>
          <w:szCs w:val="24"/>
        </w:rPr>
        <w:t xml:space="preserve"> Revenue from companies from licensing arrangements and trademarks </w:t>
      </w:r>
      <w:r w:rsidR="006B70CD" w:rsidRPr="00C749E0">
        <w:rPr>
          <w:sz w:val="24"/>
          <w:szCs w:val="24"/>
        </w:rPr>
        <w:t>is recognized over time during the period</w:t>
      </w:r>
      <w:r w:rsidR="00896964" w:rsidRPr="00C749E0">
        <w:rPr>
          <w:sz w:val="24"/>
          <w:szCs w:val="24"/>
        </w:rPr>
        <w:t xml:space="preserve">. The company </w:t>
      </w:r>
      <w:r w:rsidR="003F2D4C" w:rsidRPr="00C749E0">
        <w:rPr>
          <w:sz w:val="24"/>
          <w:szCs w:val="24"/>
        </w:rPr>
        <w:t>recognized</w:t>
      </w:r>
      <w:r w:rsidR="00896964" w:rsidRPr="00C749E0">
        <w:rPr>
          <w:sz w:val="24"/>
          <w:szCs w:val="24"/>
        </w:rPr>
        <w:t xml:space="preserve"> these revenues for sales based on royalty arrangements as </w:t>
      </w:r>
      <w:r w:rsidR="003F2D4C" w:rsidRPr="00C749E0">
        <w:rPr>
          <w:sz w:val="24"/>
          <w:szCs w:val="24"/>
        </w:rPr>
        <w:t>license</w:t>
      </w:r>
      <w:r w:rsidR="00896964" w:rsidRPr="00C749E0">
        <w:rPr>
          <w:sz w:val="24"/>
          <w:szCs w:val="24"/>
        </w:rPr>
        <w:t xml:space="preserve"> products are sold</w:t>
      </w:r>
      <w:r w:rsidR="003F2D4C" w:rsidRPr="00C749E0">
        <w:rPr>
          <w:sz w:val="24"/>
          <w:szCs w:val="24"/>
        </w:rPr>
        <w:t xml:space="preserve"> by the licensee.</w:t>
      </w:r>
      <w:r w:rsidR="000A5913" w:rsidRPr="00C749E0">
        <w:rPr>
          <w:sz w:val="24"/>
          <w:szCs w:val="24"/>
        </w:rPr>
        <w:t xml:space="preserve"> Revenue from connected fitness </w:t>
      </w:r>
      <w:r w:rsidR="00123AB9" w:rsidRPr="00C749E0">
        <w:rPr>
          <w:sz w:val="24"/>
          <w:szCs w:val="24"/>
        </w:rPr>
        <w:t>brand</w:t>
      </w:r>
      <w:r w:rsidR="000A5913" w:rsidRPr="00C749E0">
        <w:rPr>
          <w:sz w:val="24"/>
          <w:szCs w:val="24"/>
        </w:rPr>
        <w:t xml:space="preserve"> </w:t>
      </w:r>
      <w:r w:rsidR="00CE19BA" w:rsidRPr="00C749E0">
        <w:rPr>
          <w:sz w:val="24"/>
          <w:szCs w:val="24"/>
        </w:rPr>
        <w:t>is recognized over the term of the subscription</w:t>
      </w:r>
      <w:r w:rsidR="00123AB9" w:rsidRPr="00C749E0">
        <w:rPr>
          <w:sz w:val="24"/>
          <w:szCs w:val="24"/>
        </w:rPr>
        <w:t>.</w:t>
      </w:r>
      <w:r w:rsidR="007C4B7F" w:rsidRPr="00C749E0">
        <w:rPr>
          <w:sz w:val="24"/>
          <w:szCs w:val="24"/>
        </w:rPr>
        <w:t xml:space="preserve"> A</w:t>
      </w:r>
      <w:r w:rsidR="00994545">
        <w:rPr>
          <w:sz w:val="24"/>
          <w:szCs w:val="24"/>
        </w:rPr>
        <w:t>s</w:t>
      </w:r>
      <w:r w:rsidR="007C4B7F" w:rsidRPr="00C749E0">
        <w:rPr>
          <w:sz w:val="24"/>
          <w:szCs w:val="24"/>
        </w:rPr>
        <w:t xml:space="preserve"> of </w:t>
      </w:r>
      <w:r w:rsidR="00C172BB" w:rsidRPr="00C749E0">
        <w:rPr>
          <w:sz w:val="24"/>
          <w:szCs w:val="24"/>
        </w:rPr>
        <w:t>December 31, 2019,</w:t>
      </w:r>
      <w:r w:rsidR="007C4B7F" w:rsidRPr="00C749E0">
        <w:rPr>
          <w:sz w:val="24"/>
          <w:szCs w:val="24"/>
        </w:rPr>
        <w:t xml:space="preserve"> the company had 16,400 employees</w:t>
      </w:r>
      <w:r w:rsidR="00F342FA">
        <w:rPr>
          <w:sz w:val="24"/>
          <w:szCs w:val="24"/>
        </w:rPr>
        <w:t>,</w:t>
      </w:r>
      <w:r w:rsidR="007C4B7F" w:rsidRPr="00C749E0">
        <w:rPr>
          <w:sz w:val="24"/>
          <w:szCs w:val="24"/>
        </w:rPr>
        <w:t xml:space="preserve"> </w:t>
      </w:r>
      <w:r w:rsidR="00C172BB" w:rsidRPr="00C749E0">
        <w:rPr>
          <w:sz w:val="24"/>
          <w:szCs w:val="24"/>
        </w:rPr>
        <w:t>of which 7</w:t>
      </w:r>
      <w:r w:rsidR="007D10B5">
        <w:rPr>
          <w:sz w:val="24"/>
          <w:szCs w:val="24"/>
        </w:rPr>
        <w:t>,</w:t>
      </w:r>
      <w:r w:rsidR="00C172BB" w:rsidRPr="00C749E0">
        <w:rPr>
          <w:sz w:val="24"/>
          <w:szCs w:val="24"/>
        </w:rPr>
        <w:t xml:space="preserve">000 were full time. Most of the employees are </w:t>
      </w:r>
      <w:r w:rsidR="00B8391E" w:rsidRPr="00C749E0">
        <w:rPr>
          <w:sz w:val="24"/>
          <w:szCs w:val="24"/>
        </w:rPr>
        <w:t>in the</w:t>
      </w:r>
      <w:r w:rsidR="00C172BB" w:rsidRPr="00C749E0">
        <w:rPr>
          <w:sz w:val="24"/>
          <w:szCs w:val="24"/>
        </w:rPr>
        <w:t xml:space="preserve"> U</w:t>
      </w:r>
      <w:r w:rsidR="00276AEC">
        <w:rPr>
          <w:sz w:val="24"/>
          <w:szCs w:val="24"/>
        </w:rPr>
        <w:t>.</w:t>
      </w:r>
      <w:r w:rsidR="00C172BB" w:rsidRPr="00C749E0">
        <w:rPr>
          <w:sz w:val="24"/>
          <w:szCs w:val="24"/>
        </w:rPr>
        <w:t>S.</w:t>
      </w:r>
    </w:p>
    <w:p w14:paraId="793E5445" w14:textId="77777777" w:rsidR="00810E33" w:rsidRPr="00C749E0" w:rsidRDefault="00810E33" w:rsidP="00405B4E">
      <w:pPr>
        <w:spacing w:after="0" w:line="240" w:lineRule="auto"/>
        <w:ind w:firstLine="720"/>
        <w:rPr>
          <w:sz w:val="24"/>
          <w:szCs w:val="24"/>
        </w:rPr>
      </w:pPr>
    </w:p>
    <w:p w14:paraId="0C61DF70" w14:textId="4782BA2A" w:rsidR="00B8391E" w:rsidRPr="00C749E0" w:rsidRDefault="00221D34" w:rsidP="00405B4E">
      <w:pPr>
        <w:spacing w:after="0" w:line="240" w:lineRule="auto"/>
        <w:rPr>
          <w:b/>
          <w:bCs/>
          <w:sz w:val="24"/>
          <w:szCs w:val="24"/>
        </w:rPr>
      </w:pPr>
      <w:r w:rsidRPr="00C749E0">
        <w:rPr>
          <w:b/>
          <w:bCs/>
          <w:sz w:val="24"/>
          <w:szCs w:val="24"/>
        </w:rPr>
        <w:t>Analysis</w:t>
      </w:r>
    </w:p>
    <w:p w14:paraId="2F11326D" w14:textId="3FDD90D7" w:rsidR="00B8391E" w:rsidRDefault="00B8391E" w:rsidP="00405B4E">
      <w:pPr>
        <w:spacing w:after="0" w:line="240" w:lineRule="auto"/>
        <w:rPr>
          <w:sz w:val="24"/>
          <w:szCs w:val="24"/>
        </w:rPr>
      </w:pPr>
      <w:r w:rsidRPr="00C749E0">
        <w:rPr>
          <w:b/>
          <w:bCs/>
          <w:sz w:val="24"/>
          <w:szCs w:val="24"/>
        </w:rPr>
        <w:tab/>
      </w:r>
      <w:r w:rsidR="000137A8" w:rsidRPr="00C749E0">
        <w:rPr>
          <w:sz w:val="24"/>
          <w:szCs w:val="24"/>
        </w:rPr>
        <w:t xml:space="preserve">The </w:t>
      </w:r>
      <w:r w:rsidR="00E76E07" w:rsidRPr="00C749E0">
        <w:rPr>
          <w:sz w:val="24"/>
          <w:szCs w:val="24"/>
        </w:rPr>
        <w:t xml:space="preserve">10K annual report for 2019 highlighted many different categories of the company operations. </w:t>
      </w:r>
      <w:r w:rsidR="008E2156" w:rsidRPr="00C749E0">
        <w:rPr>
          <w:sz w:val="24"/>
          <w:szCs w:val="24"/>
        </w:rPr>
        <w:t>The net revenu</w:t>
      </w:r>
      <w:r w:rsidR="0085559C" w:rsidRPr="00C749E0">
        <w:rPr>
          <w:sz w:val="24"/>
          <w:szCs w:val="24"/>
        </w:rPr>
        <w:t xml:space="preserve">e grew </w:t>
      </w:r>
      <w:r w:rsidR="007D10B5">
        <w:rPr>
          <w:sz w:val="24"/>
          <w:szCs w:val="24"/>
        </w:rPr>
        <w:t>to</w:t>
      </w:r>
      <w:r w:rsidR="0085559C" w:rsidRPr="00C749E0">
        <w:rPr>
          <w:sz w:val="24"/>
          <w:szCs w:val="24"/>
        </w:rPr>
        <w:t xml:space="preserve"> </w:t>
      </w:r>
      <w:r w:rsidR="00577624" w:rsidRPr="00C749E0">
        <w:rPr>
          <w:sz w:val="24"/>
          <w:szCs w:val="24"/>
        </w:rPr>
        <w:t>$</w:t>
      </w:r>
      <w:r w:rsidR="0085559C" w:rsidRPr="00C749E0">
        <w:rPr>
          <w:sz w:val="24"/>
          <w:szCs w:val="24"/>
        </w:rPr>
        <w:t>5</w:t>
      </w:r>
      <w:r w:rsidR="00C305E7">
        <w:rPr>
          <w:sz w:val="24"/>
          <w:szCs w:val="24"/>
        </w:rPr>
        <w:t>,</w:t>
      </w:r>
      <w:r w:rsidR="00C00413" w:rsidRPr="00C749E0">
        <w:rPr>
          <w:sz w:val="24"/>
          <w:szCs w:val="24"/>
        </w:rPr>
        <w:t>267</w:t>
      </w:r>
      <w:r w:rsidR="00523D20">
        <w:rPr>
          <w:sz w:val="24"/>
          <w:szCs w:val="24"/>
        </w:rPr>
        <w:t xml:space="preserve">.1 </w:t>
      </w:r>
      <w:r w:rsidR="00C00413" w:rsidRPr="00C749E0">
        <w:rPr>
          <w:sz w:val="24"/>
          <w:szCs w:val="24"/>
        </w:rPr>
        <w:t>million</w:t>
      </w:r>
      <w:r w:rsidR="0085559C" w:rsidRPr="00C749E0">
        <w:rPr>
          <w:sz w:val="24"/>
          <w:szCs w:val="24"/>
        </w:rPr>
        <w:t xml:space="preserve"> in 2019 </w:t>
      </w:r>
      <w:r w:rsidR="00E41FB3" w:rsidRPr="00C749E0">
        <w:rPr>
          <w:sz w:val="24"/>
          <w:szCs w:val="24"/>
        </w:rPr>
        <w:t>from</w:t>
      </w:r>
      <w:r w:rsidR="000C6B56" w:rsidRPr="00C749E0">
        <w:rPr>
          <w:sz w:val="24"/>
          <w:szCs w:val="24"/>
        </w:rPr>
        <w:t xml:space="preserve"> </w:t>
      </w:r>
      <w:r w:rsidR="00577624" w:rsidRPr="00C749E0">
        <w:rPr>
          <w:sz w:val="24"/>
          <w:szCs w:val="24"/>
        </w:rPr>
        <w:t>$</w:t>
      </w:r>
      <w:r w:rsidR="002E48CB" w:rsidRPr="00C749E0">
        <w:rPr>
          <w:sz w:val="24"/>
          <w:szCs w:val="24"/>
        </w:rPr>
        <w:t>5</w:t>
      </w:r>
      <w:r w:rsidR="00C305E7">
        <w:rPr>
          <w:sz w:val="24"/>
          <w:szCs w:val="24"/>
        </w:rPr>
        <w:t>,</w:t>
      </w:r>
      <w:r w:rsidR="002E48CB" w:rsidRPr="00C749E0">
        <w:rPr>
          <w:sz w:val="24"/>
          <w:szCs w:val="24"/>
        </w:rPr>
        <w:t>193</w:t>
      </w:r>
      <w:r w:rsidR="00B77D7F">
        <w:rPr>
          <w:sz w:val="24"/>
          <w:szCs w:val="24"/>
        </w:rPr>
        <w:t>.2</w:t>
      </w:r>
      <w:r w:rsidR="000C6B56" w:rsidRPr="00C749E0">
        <w:rPr>
          <w:sz w:val="24"/>
          <w:szCs w:val="24"/>
        </w:rPr>
        <w:t xml:space="preserve"> million in 201</w:t>
      </w:r>
      <w:r w:rsidR="002E48CB" w:rsidRPr="00C749E0">
        <w:rPr>
          <w:sz w:val="24"/>
          <w:szCs w:val="24"/>
        </w:rPr>
        <w:t>8</w:t>
      </w:r>
      <w:r w:rsidR="00577624" w:rsidRPr="00C749E0">
        <w:rPr>
          <w:sz w:val="24"/>
          <w:szCs w:val="24"/>
        </w:rPr>
        <w:t>.</w:t>
      </w:r>
      <w:r w:rsidR="00153068" w:rsidRPr="00C749E0">
        <w:rPr>
          <w:sz w:val="24"/>
          <w:szCs w:val="24"/>
        </w:rPr>
        <w:t xml:space="preserve"> The growth in revenues</w:t>
      </w:r>
      <w:r w:rsidR="00F160E8">
        <w:rPr>
          <w:sz w:val="24"/>
          <w:szCs w:val="24"/>
        </w:rPr>
        <w:t xml:space="preserve"> is </w:t>
      </w:r>
      <w:r w:rsidR="00153068" w:rsidRPr="00C749E0">
        <w:rPr>
          <w:sz w:val="24"/>
          <w:szCs w:val="24"/>
        </w:rPr>
        <w:t>driven</w:t>
      </w:r>
      <w:r w:rsidR="008B7B1B" w:rsidRPr="00C749E0">
        <w:rPr>
          <w:sz w:val="24"/>
          <w:szCs w:val="24"/>
        </w:rPr>
        <w:t xml:space="preserve"> from the growing interest in performance </w:t>
      </w:r>
      <w:r w:rsidR="002A1295" w:rsidRPr="00C749E0">
        <w:rPr>
          <w:sz w:val="24"/>
          <w:szCs w:val="24"/>
        </w:rPr>
        <w:t xml:space="preserve">products and the strength in the </w:t>
      </w:r>
      <w:r w:rsidR="008735AD" w:rsidRPr="00C749E0">
        <w:rPr>
          <w:sz w:val="24"/>
          <w:szCs w:val="24"/>
        </w:rPr>
        <w:t>Under-</w:t>
      </w:r>
      <w:proofErr w:type="spellStart"/>
      <w:r w:rsidR="008735AD" w:rsidRPr="00C749E0">
        <w:rPr>
          <w:sz w:val="24"/>
          <w:szCs w:val="24"/>
        </w:rPr>
        <w:t>Armo</w:t>
      </w:r>
      <w:r w:rsidR="00E8634F">
        <w:rPr>
          <w:sz w:val="24"/>
          <w:szCs w:val="24"/>
        </w:rPr>
        <w:t>u</w:t>
      </w:r>
      <w:r w:rsidR="008735AD" w:rsidRPr="00C749E0">
        <w:rPr>
          <w:sz w:val="24"/>
          <w:szCs w:val="24"/>
        </w:rPr>
        <w:t>r</w:t>
      </w:r>
      <w:proofErr w:type="spellEnd"/>
      <w:r w:rsidR="002A1295" w:rsidRPr="00C749E0">
        <w:rPr>
          <w:sz w:val="24"/>
          <w:szCs w:val="24"/>
        </w:rPr>
        <w:t xml:space="preserve"> Brand.</w:t>
      </w:r>
      <w:r w:rsidR="00D4217C" w:rsidRPr="00C749E0">
        <w:rPr>
          <w:sz w:val="24"/>
          <w:szCs w:val="24"/>
        </w:rPr>
        <w:t xml:space="preserve"> There was a 1</w:t>
      </w:r>
      <w:r w:rsidR="00FD3FB0" w:rsidRPr="00C749E0">
        <w:rPr>
          <w:sz w:val="24"/>
          <w:szCs w:val="24"/>
        </w:rPr>
        <w:t>.4</w:t>
      </w:r>
      <w:r w:rsidR="00D4217C" w:rsidRPr="00C749E0">
        <w:rPr>
          <w:sz w:val="24"/>
          <w:szCs w:val="24"/>
        </w:rPr>
        <w:t>% increase in the net revenues between the fiscal year 201</w:t>
      </w:r>
      <w:r w:rsidR="00662D17">
        <w:rPr>
          <w:sz w:val="24"/>
          <w:szCs w:val="24"/>
        </w:rPr>
        <w:t>9</w:t>
      </w:r>
      <w:r w:rsidR="00D4217C" w:rsidRPr="00C749E0">
        <w:rPr>
          <w:sz w:val="24"/>
          <w:szCs w:val="24"/>
        </w:rPr>
        <w:t xml:space="preserve"> and 201</w:t>
      </w:r>
      <w:r w:rsidR="00662D17">
        <w:rPr>
          <w:sz w:val="24"/>
          <w:szCs w:val="24"/>
        </w:rPr>
        <w:t>8</w:t>
      </w:r>
      <w:r w:rsidR="00D4217C" w:rsidRPr="00C749E0">
        <w:rPr>
          <w:sz w:val="24"/>
          <w:szCs w:val="24"/>
        </w:rPr>
        <w:t>.</w:t>
      </w:r>
      <w:r w:rsidR="002375A8" w:rsidRPr="00C749E0">
        <w:rPr>
          <w:sz w:val="24"/>
          <w:szCs w:val="24"/>
        </w:rPr>
        <w:t xml:space="preserve"> The revenues from apparel w</w:t>
      </w:r>
      <w:r w:rsidR="00B4010A">
        <w:rPr>
          <w:sz w:val="24"/>
          <w:szCs w:val="24"/>
        </w:rPr>
        <w:t>ere</w:t>
      </w:r>
      <w:r w:rsidR="002375A8" w:rsidRPr="00C749E0">
        <w:rPr>
          <w:sz w:val="24"/>
          <w:szCs w:val="24"/>
        </w:rPr>
        <w:t xml:space="preserve"> flat, </w:t>
      </w:r>
      <w:r w:rsidR="005574F8" w:rsidRPr="00C749E0">
        <w:rPr>
          <w:sz w:val="24"/>
          <w:szCs w:val="24"/>
        </w:rPr>
        <w:t xml:space="preserve">2% increase </w:t>
      </w:r>
      <w:r w:rsidR="00276AEC">
        <w:rPr>
          <w:sz w:val="24"/>
          <w:szCs w:val="24"/>
        </w:rPr>
        <w:t>in</w:t>
      </w:r>
      <w:r w:rsidR="005574F8" w:rsidRPr="00C749E0">
        <w:rPr>
          <w:sz w:val="24"/>
          <w:szCs w:val="24"/>
        </w:rPr>
        <w:t xml:space="preserve"> revenue </w:t>
      </w:r>
      <w:r w:rsidR="005574F8" w:rsidRPr="00C749E0">
        <w:rPr>
          <w:sz w:val="24"/>
          <w:szCs w:val="24"/>
        </w:rPr>
        <w:lastRenderedPageBreak/>
        <w:t xml:space="preserve">from </w:t>
      </w:r>
      <w:r w:rsidR="00FD53F1" w:rsidRPr="00C749E0">
        <w:rPr>
          <w:sz w:val="24"/>
          <w:szCs w:val="24"/>
        </w:rPr>
        <w:t>footwear</w:t>
      </w:r>
      <w:r w:rsidR="005574F8" w:rsidRPr="00C749E0">
        <w:rPr>
          <w:sz w:val="24"/>
          <w:szCs w:val="24"/>
        </w:rPr>
        <w:t>, and a 1% decrease in acc</w:t>
      </w:r>
      <w:r w:rsidR="00982F28" w:rsidRPr="00C749E0">
        <w:rPr>
          <w:sz w:val="24"/>
          <w:szCs w:val="24"/>
        </w:rPr>
        <w:t>essories revenue.</w:t>
      </w:r>
      <w:r w:rsidR="00FD3FB0" w:rsidRPr="00C749E0">
        <w:rPr>
          <w:sz w:val="24"/>
          <w:szCs w:val="24"/>
        </w:rPr>
        <w:t xml:space="preserve"> </w:t>
      </w:r>
      <w:r w:rsidR="00BB7CF1" w:rsidRPr="00C749E0">
        <w:rPr>
          <w:sz w:val="24"/>
          <w:szCs w:val="24"/>
        </w:rPr>
        <w:t>Wholesale</w:t>
      </w:r>
      <w:r w:rsidR="006B0BF3" w:rsidRPr="00C749E0">
        <w:rPr>
          <w:sz w:val="24"/>
          <w:szCs w:val="24"/>
        </w:rPr>
        <w:t xml:space="preserve"> </w:t>
      </w:r>
      <w:r w:rsidR="00BB7CF1" w:rsidRPr="00C749E0">
        <w:rPr>
          <w:sz w:val="24"/>
          <w:szCs w:val="24"/>
        </w:rPr>
        <w:t>revenue</w:t>
      </w:r>
      <w:r w:rsidR="006B0BF3" w:rsidRPr="00C749E0">
        <w:rPr>
          <w:sz w:val="24"/>
          <w:szCs w:val="24"/>
        </w:rPr>
        <w:t xml:space="preserve"> increased 1% and direct consumer revenues were flat.</w:t>
      </w:r>
      <w:r w:rsidR="00BB7CF1" w:rsidRPr="00C749E0">
        <w:rPr>
          <w:sz w:val="24"/>
          <w:szCs w:val="24"/>
        </w:rPr>
        <w:t xml:space="preserve"> </w:t>
      </w:r>
      <w:r w:rsidR="00764BFB" w:rsidRPr="00C749E0">
        <w:rPr>
          <w:sz w:val="24"/>
          <w:szCs w:val="24"/>
        </w:rPr>
        <w:t>Gross margin increase</w:t>
      </w:r>
      <w:r w:rsidR="00E8634F">
        <w:rPr>
          <w:sz w:val="24"/>
          <w:szCs w:val="24"/>
        </w:rPr>
        <w:t>d</w:t>
      </w:r>
      <w:r w:rsidR="00764BFB" w:rsidRPr="00C749E0">
        <w:rPr>
          <w:sz w:val="24"/>
          <w:szCs w:val="24"/>
        </w:rPr>
        <w:t xml:space="preserve"> $130 </w:t>
      </w:r>
      <w:r w:rsidR="00B9383E">
        <w:rPr>
          <w:sz w:val="24"/>
          <w:szCs w:val="24"/>
        </w:rPr>
        <w:t>million</w:t>
      </w:r>
      <w:r w:rsidR="00764BFB" w:rsidRPr="00C749E0">
        <w:rPr>
          <w:sz w:val="24"/>
          <w:szCs w:val="24"/>
        </w:rPr>
        <w:t xml:space="preserve"> to $2</w:t>
      </w:r>
      <w:r w:rsidR="0019571E">
        <w:rPr>
          <w:sz w:val="24"/>
          <w:szCs w:val="24"/>
        </w:rPr>
        <w:t>,</w:t>
      </w:r>
      <w:r w:rsidR="00A67C5B" w:rsidRPr="00C749E0">
        <w:rPr>
          <w:sz w:val="24"/>
          <w:szCs w:val="24"/>
        </w:rPr>
        <w:t>47</w:t>
      </w:r>
      <w:r w:rsidR="0005166C">
        <w:rPr>
          <w:sz w:val="24"/>
          <w:szCs w:val="24"/>
        </w:rPr>
        <w:t>0.5</w:t>
      </w:r>
      <w:r w:rsidR="00A67C5B" w:rsidRPr="00C749E0">
        <w:rPr>
          <w:sz w:val="24"/>
          <w:szCs w:val="24"/>
        </w:rPr>
        <w:t xml:space="preserve"> million in 2019 from $2</w:t>
      </w:r>
      <w:r w:rsidR="0019571E">
        <w:rPr>
          <w:sz w:val="24"/>
          <w:szCs w:val="24"/>
        </w:rPr>
        <w:t>,</w:t>
      </w:r>
      <w:r w:rsidR="00A67C5B" w:rsidRPr="00C749E0">
        <w:rPr>
          <w:sz w:val="24"/>
          <w:szCs w:val="24"/>
        </w:rPr>
        <w:t>34</w:t>
      </w:r>
      <w:r w:rsidR="00183689">
        <w:rPr>
          <w:sz w:val="24"/>
          <w:szCs w:val="24"/>
        </w:rPr>
        <w:t>0.5</w:t>
      </w:r>
      <w:r w:rsidR="00A67C5B" w:rsidRPr="00C749E0">
        <w:rPr>
          <w:sz w:val="24"/>
          <w:szCs w:val="24"/>
        </w:rPr>
        <w:t xml:space="preserve"> million in 2018. </w:t>
      </w:r>
      <w:r w:rsidR="00E51F34" w:rsidRPr="00C749E0">
        <w:rPr>
          <w:sz w:val="24"/>
          <w:szCs w:val="24"/>
        </w:rPr>
        <w:t>The gross margin in 2019 was 46.9% compared to gross margin in 2018</w:t>
      </w:r>
      <w:r w:rsidR="004032B5" w:rsidRPr="00C749E0">
        <w:rPr>
          <w:sz w:val="24"/>
          <w:szCs w:val="24"/>
        </w:rPr>
        <w:t xml:space="preserve"> of</w:t>
      </w:r>
      <w:r w:rsidR="00E51F34" w:rsidRPr="00C749E0">
        <w:rPr>
          <w:sz w:val="24"/>
          <w:szCs w:val="24"/>
        </w:rPr>
        <w:t xml:space="preserve"> </w:t>
      </w:r>
      <w:r w:rsidR="001777FE" w:rsidRPr="00C749E0">
        <w:rPr>
          <w:sz w:val="24"/>
          <w:szCs w:val="24"/>
        </w:rPr>
        <w:t>45.1%</w:t>
      </w:r>
      <w:r w:rsidR="00764BFB" w:rsidRPr="00C749E0">
        <w:rPr>
          <w:sz w:val="24"/>
          <w:szCs w:val="24"/>
        </w:rPr>
        <w:t>.</w:t>
      </w:r>
      <w:r w:rsidR="00A67C5B" w:rsidRPr="00C749E0">
        <w:rPr>
          <w:sz w:val="24"/>
          <w:szCs w:val="24"/>
        </w:rPr>
        <w:t xml:space="preserve"> </w:t>
      </w:r>
      <w:r w:rsidR="00F66E98" w:rsidRPr="00C749E0">
        <w:rPr>
          <w:sz w:val="24"/>
          <w:szCs w:val="24"/>
        </w:rPr>
        <w:t xml:space="preserve">This increase in gross margin was </w:t>
      </w:r>
      <w:r w:rsidR="00692939" w:rsidRPr="00C749E0">
        <w:rPr>
          <w:sz w:val="24"/>
          <w:szCs w:val="24"/>
        </w:rPr>
        <w:t>primarily</w:t>
      </w:r>
      <w:r w:rsidR="00F66E98" w:rsidRPr="00C749E0">
        <w:rPr>
          <w:sz w:val="24"/>
          <w:szCs w:val="24"/>
        </w:rPr>
        <w:t xml:space="preserve"> driven by lower product costs </w:t>
      </w:r>
      <w:r w:rsidR="00F37DC5" w:rsidRPr="00C749E0">
        <w:rPr>
          <w:sz w:val="24"/>
          <w:szCs w:val="24"/>
        </w:rPr>
        <w:t xml:space="preserve">and </w:t>
      </w:r>
      <w:r w:rsidR="00692939" w:rsidRPr="00C749E0">
        <w:rPr>
          <w:sz w:val="24"/>
          <w:szCs w:val="24"/>
        </w:rPr>
        <w:t xml:space="preserve">better mix of products. </w:t>
      </w:r>
      <w:r w:rsidR="00C3106B" w:rsidRPr="00C749E0">
        <w:rPr>
          <w:sz w:val="24"/>
          <w:szCs w:val="24"/>
        </w:rPr>
        <w:t>Majority</w:t>
      </w:r>
      <w:r w:rsidR="00AD00B3" w:rsidRPr="00C749E0">
        <w:rPr>
          <w:sz w:val="24"/>
          <w:szCs w:val="24"/>
        </w:rPr>
        <w:t xml:space="preserve"> of net revenues</w:t>
      </w:r>
      <w:r w:rsidR="00C3106B" w:rsidRPr="00C749E0">
        <w:rPr>
          <w:sz w:val="24"/>
          <w:szCs w:val="24"/>
        </w:rPr>
        <w:t xml:space="preserve"> </w:t>
      </w:r>
      <w:r w:rsidR="00E40BB3" w:rsidRPr="00C749E0">
        <w:rPr>
          <w:sz w:val="24"/>
          <w:szCs w:val="24"/>
        </w:rPr>
        <w:t>have been recognized in the last 2 quarters of the calendar year</w:t>
      </w:r>
      <w:r w:rsidR="00AD00B3" w:rsidRPr="00C749E0">
        <w:rPr>
          <w:sz w:val="24"/>
          <w:szCs w:val="24"/>
        </w:rPr>
        <w:t xml:space="preserve"> </w:t>
      </w:r>
      <w:r w:rsidR="00E40BB3" w:rsidRPr="00C749E0">
        <w:rPr>
          <w:sz w:val="24"/>
          <w:szCs w:val="24"/>
        </w:rPr>
        <w:t xml:space="preserve">primarily </w:t>
      </w:r>
      <w:r w:rsidR="00B9252F" w:rsidRPr="00C749E0">
        <w:rPr>
          <w:sz w:val="24"/>
          <w:szCs w:val="24"/>
        </w:rPr>
        <w:t xml:space="preserve">due to increase sales volume during the fall selling season including a larger proportion of higher margins direct to consumer sales. </w:t>
      </w:r>
      <w:r w:rsidR="00A05F32" w:rsidRPr="00C749E0">
        <w:rPr>
          <w:sz w:val="24"/>
          <w:szCs w:val="24"/>
        </w:rPr>
        <w:t>There were no restr</w:t>
      </w:r>
      <w:r w:rsidR="007046A5">
        <w:rPr>
          <w:sz w:val="24"/>
          <w:szCs w:val="24"/>
        </w:rPr>
        <w:t>ucturing</w:t>
      </w:r>
      <w:r w:rsidR="00A05F32" w:rsidRPr="00C749E0">
        <w:rPr>
          <w:sz w:val="24"/>
          <w:szCs w:val="24"/>
        </w:rPr>
        <w:t xml:space="preserve"> c</w:t>
      </w:r>
      <w:r w:rsidR="008A5B15" w:rsidRPr="00C749E0">
        <w:rPr>
          <w:sz w:val="24"/>
          <w:szCs w:val="24"/>
        </w:rPr>
        <w:t>harges</w:t>
      </w:r>
      <w:r w:rsidR="00A05F32" w:rsidRPr="00C749E0">
        <w:rPr>
          <w:sz w:val="24"/>
          <w:szCs w:val="24"/>
        </w:rPr>
        <w:t xml:space="preserve"> </w:t>
      </w:r>
      <w:r w:rsidR="008A5B15" w:rsidRPr="00C749E0">
        <w:rPr>
          <w:sz w:val="24"/>
          <w:szCs w:val="24"/>
        </w:rPr>
        <w:t>incurred</w:t>
      </w:r>
      <w:r w:rsidR="00A05F32" w:rsidRPr="00C749E0">
        <w:rPr>
          <w:sz w:val="24"/>
          <w:szCs w:val="24"/>
        </w:rPr>
        <w:t xml:space="preserve"> during the year</w:t>
      </w:r>
      <w:r w:rsidR="008A5B15" w:rsidRPr="00C749E0">
        <w:rPr>
          <w:sz w:val="24"/>
          <w:szCs w:val="24"/>
        </w:rPr>
        <w:t xml:space="preserve"> </w:t>
      </w:r>
      <w:r w:rsidR="00A05F32" w:rsidRPr="00C749E0">
        <w:rPr>
          <w:sz w:val="24"/>
          <w:szCs w:val="24"/>
        </w:rPr>
        <w:t>ended December 31</w:t>
      </w:r>
      <w:r w:rsidR="008A5B15" w:rsidRPr="00C749E0">
        <w:rPr>
          <w:sz w:val="24"/>
          <w:szCs w:val="24"/>
        </w:rPr>
        <w:t>,</w:t>
      </w:r>
      <w:r w:rsidR="00A05F32" w:rsidRPr="00C749E0">
        <w:rPr>
          <w:sz w:val="24"/>
          <w:szCs w:val="24"/>
        </w:rPr>
        <w:t xml:space="preserve"> 2019</w:t>
      </w:r>
      <w:r w:rsidR="00804EEA">
        <w:rPr>
          <w:sz w:val="24"/>
          <w:szCs w:val="24"/>
        </w:rPr>
        <w:t>,</w:t>
      </w:r>
      <w:r w:rsidR="00A05F32" w:rsidRPr="00C749E0">
        <w:rPr>
          <w:sz w:val="24"/>
          <w:szCs w:val="24"/>
        </w:rPr>
        <w:t xml:space="preserve"> however there was</w:t>
      </w:r>
      <w:r w:rsidR="00BE146B" w:rsidRPr="00C749E0">
        <w:rPr>
          <w:sz w:val="24"/>
          <w:szCs w:val="24"/>
        </w:rPr>
        <w:t xml:space="preserve"> $</w:t>
      </w:r>
      <w:r w:rsidR="00E427C3">
        <w:rPr>
          <w:sz w:val="24"/>
          <w:szCs w:val="24"/>
        </w:rPr>
        <w:t>18</w:t>
      </w:r>
      <w:r w:rsidR="008B06CC">
        <w:rPr>
          <w:sz w:val="24"/>
          <w:szCs w:val="24"/>
        </w:rPr>
        <w:t>3</w:t>
      </w:r>
      <w:r w:rsidR="00BE146B" w:rsidRPr="00C749E0">
        <w:rPr>
          <w:sz w:val="24"/>
          <w:szCs w:val="24"/>
        </w:rPr>
        <w:t xml:space="preserve"> million of </w:t>
      </w:r>
      <w:r w:rsidR="008A5B15" w:rsidRPr="00C749E0">
        <w:rPr>
          <w:sz w:val="24"/>
          <w:szCs w:val="24"/>
        </w:rPr>
        <w:t>restructur</w:t>
      </w:r>
      <w:r w:rsidR="00E34596" w:rsidRPr="00C749E0">
        <w:rPr>
          <w:sz w:val="24"/>
          <w:szCs w:val="24"/>
        </w:rPr>
        <w:t>ing</w:t>
      </w:r>
      <w:r w:rsidR="00BA083B">
        <w:rPr>
          <w:sz w:val="24"/>
          <w:szCs w:val="24"/>
        </w:rPr>
        <w:t xml:space="preserve"> and</w:t>
      </w:r>
      <w:r w:rsidR="00BE146B" w:rsidRPr="00C749E0">
        <w:rPr>
          <w:sz w:val="24"/>
          <w:szCs w:val="24"/>
        </w:rPr>
        <w:t xml:space="preserve"> impairment</w:t>
      </w:r>
      <w:r w:rsidR="00E34596" w:rsidRPr="00C749E0">
        <w:rPr>
          <w:sz w:val="24"/>
          <w:szCs w:val="24"/>
        </w:rPr>
        <w:t xml:space="preserve"> costs in 2018</w:t>
      </w:r>
      <w:r w:rsidR="00267959" w:rsidRPr="00C749E0">
        <w:rPr>
          <w:sz w:val="24"/>
          <w:szCs w:val="24"/>
        </w:rPr>
        <w:t>.</w:t>
      </w:r>
      <w:r w:rsidR="000A554D" w:rsidRPr="00C749E0">
        <w:rPr>
          <w:sz w:val="24"/>
          <w:szCs w:val="24"/>
        </w:rPr>
        <w:t xml:space="preserve"> </w:t>
      </w:r>
      <w:r w:rsidR="00CC048B" w:rsidRPr="00C749E0">
        <w:rPr>
          <w:sz w:val="24"/>
          <w:szCs w:val="24"/>
        </w:rPr>
        <w:t xml:space="preserve">These restructuring </w:t>
      </w:r>
      <w:r w:rsidR="00805724" w:rsidRPr="00C749E0">
        <w:rPr>
          <w:sz w:val="24"/>
          <w:szCs w:val="24"/>
        </w:rPr>
        <w:t xml:space="preserve">costs in 2018 </w:t>
      </w:r>
      <w:r w:rsidR="00643A6F" w:rsidRPr="00C749E0">
        <w:rPr>
          <w:sz w:val="24"/>
          <w:szCs w:val="24"/>
        </w:rPr>
        <w:t>were designed to more closely align the company’s financial resources with critical priority of the business and optimize operations.</w:t>
      </w:r>
      <w:r w:rsidR="00E97B5E" w:rsidRPr="00C749E0">
        <w:rPr>
          <w:sz w:val="24"/>
          <w:szCs w:val="24"/>
        </w:rPr>
        <w:t xml:space="preserve"> Selling</w:t>
      </w:r>
      <w:r w:rsidR="00BA083B">
        <w:rPr>
          <w:sz w:val="24"/>
          <w:szCs w:val="24"/>
        </w:rPr>
        <w:t>,</w:t>
      </w:r>
      <w:r w:rsidR="00E97B5E" w:rsidRPr="00C749E0">
        <w:rPr>
          <w:sz w:val="24"/>
          <w:szCs w:val="24"/>
        </w:rPr>
        <w:t xml:space="preserve"> </w:t>
      </w:r>
      <w:r w:rsidR="00F000EF" w:rsidRPr="00C749E0">
        <w:rPr>
          <w:sz w:val="24"/>
          <w:szCs w:val="24"/>
        </w:rPr>
        <w:t>general and administration expenses</w:t>
      </w:r>
      <w:r w:rsidR="00FC59A3" w:rsidRPr="00C749E0">
        <w:rPr>
          <w:sz w:val="24"/>
          <w:szCs w:val="24"/>
        </w:rPr>
        <w:t xml:space="preserve"> increased $51 </w:t>
      </w:r>
      <w:r w:rsidR="008B06CC">
        <w:rPr>
          <w:sz w:val="24"/>
          <w:szCs w:val="24"/>
        </w:rPr>
        <w:t>million</w:t>
      </w:r>
      <w:r w:rsidR="00FC59A3" w:rsidRPr="00C749E0">
        <w:rPr>
          <w:sz w:val="24"/>
          <w:szCs w:val="24"/>
        </w:rPr>
        <w:t xml:space="preserve"> </w:t>
      </w:r>
      <w:r w:rsidR="00FC31A2" w:rsidRPr="00C749E0">
        <w:rPr>
          <w:sz w:val="24"/>
          <w:szCs w:val="24"/>
        </w:rPr>
        <w:t xml:space="preserve">to </w:t>
      </w:r>
      <w:r w:rsidR="008B145A" w:rsidRPr="00C749E0">
        <w:rPr>
          <w:sz w:val="24"/>
          <w:szCs w:val="24"/>
        </w:rPr>
        <w:t>$2</w:t>
      </w:r>
      <w:r w:rsidR="002815A4">
        <w:rPr>
          <w:sz w:val="24"/>
          <w:szCs w:val="24"/>
        </w:rPr>
        <w:t>,</w:t>
      </w:r>
      <w:r w:rsidR="008B145A" w:rsidRPr="00C749E0">
        <w:rPr>
          <w:sz w:val="24"/>
          <w:szCs w:val="24"/>
        </w:rPr>
        <w:t>23</w:t>
      </w:r>
      <w:r w:rsidR="0092709C">
        <w:rPr>
          <w:sz w:val="24"/>
          <w:szCs w:val="24"/>
        </w:rPr>
        <w:t>3.8</w:t>
      </w:r>
      <w:r w:rsidR="008B145A" w:rsidRPr="00C749E0">
        <w:rPr>
          <w:sz w:val="24"/>
          <w:szCs w:val="24"/>
        </w:rPr>
        <w:t xml:space="preserve"> million in 2019 as compared</w:t>
      </w:r>
      <w:r w:rsidR="00662D17">
        <w:rPr>
          <w:sz w:val="24"/>
          <w:szCs w:val="24"/>
        </w:rPr>
        <w:t xml:space="preserve"> to</w:t>
      </w:r>
      <w:r w:rsidR="008B145A" w:rsidRPr="00C749E0">
        <w:rPr>
          <w:sz w:val="24"/>
          <w:szCs w:val="24"/>
        </w:rPr>
        <w:t xml:space="preserve"> $2</w:t>
      </w:r>
      <w:r w:rsidR="002815A4">
        <w:rPr>
          <w:sz w:val="24"/>
          <w:szCs w:val="24"/>
        </w:rPr>
        <w:t>,</w:t>
      </w:r>
      <w:r w:rsidR="008B145A" w:rsidRPr="00C749E0">
        <w:rPr>
          <w:sz w:val="24"/>
          <w:szCs w:val="24"/>
        </w:rPr>
        <w:t>18</w:t>
      </w:r>
      <w:r w:rsidR="0092709C">
        <w:rPr>
          <w:sz w:val="24"/>
          <w:szCs w:val="24"/>
        </w:rPr>
        <w:t>2</w:t>
      </w:r>
      <w:r w:rsidR="00E40ADC">
        <w:rPr>
          <w:sz w:val="24"/>
          <w:szCs w:val="24"/>
        </w:rPr>
        <w:t>.3</w:t>
      </w:r>
      <w:r w:rsidR="008B145A" w:rsidRPr="00C749E0">
        <w:rPr>
          <w:sz w:val="24"/>
          <w:szCs w:val="24"/>
        </w:rPr>
        <w:t xml:space="preserve"> million in 2018. </w:t>
      </w:r>
      <w:r w:rsidR="00DF4A38" w:rsidRPr="00C749E0">
        <w:rPr>
          <w:sz w:val="24"/>
          <w:szCs w:val="24"/>
        </w:rPr>
        <w:t>The company selling general administrative expenses consists of costs related to marketing, selling, products innovation and supply chain and corporate services.</w:t>
      </w:r>
      <w:r w:rsidR="00096829" w:rsidRPr="00C749E0">
        <w:rPr>
          <w:sz w:val="24"/>
          <w:szCs w:val="24"/>
        </w:rPr>
        <w:t xml:space="preserve"> </w:t>
      </w:r>
      <w:r w:rsidR="00D1422F" w:rsidRPr="00C749E0">
        <w:rPr>
          <w:sz w:val="24"/>
          <w:szCs w:val="24"/>
        </w:rPr>
        <w:t xml:space="preserve">The increase in </w:t>
      </w:r>
      <w:r w:rsidR="00771DDD" w:rsidRPr="00C749E0">
        <w:rPr>
          <w:sz w:val="24"/>
          <w:szCs w:val="24"/>
        </w:rPr>
        <w:t xml:space="preserve">selling general administration expense of $51 </w:t>
      </w:r>
      <w:r w:rsidR="008A4D2E">
        <w:rPr>
          <w:sz w:val="24"/>
          <w:szCs w:val="24"/>
        </w:rPr>
        <w:t>million</w:t>
      </w:r>
      <w:r w:rsidR="00771DDD" w:rsidRPr="00C749E0">
        <w:rPr>
          <w:sz w:val="24"/>
          <w:szCs w:val="24"/>
        </w:rPr>
        <w:t xml:space="preserve"> was due</w:t>
      </w:r>
      <w:r w:rsidR="00632AE4">
        <w:rPr>
          <w:sz w:val="24"/>
          <w:szCs w:val="24"/>
        </w:rPr>
        <w:t xml:space="preserve"> </w:t>
      </w:r>
      <w:r w:rsidR="00771DDD" w:rsidRPr="00C749E0">
        <w:rPr>
          <w:sz w:val="24"/>
          <w:szCs w:val="24"/>
        </w:rPr>
        <w:t xml:space="preserve">to increase in marketing </w:t>
      </w:r>
      <w:r w:rsidR="001D428E" w:rsidRPr="00C749E0">
        <w:rPr>
          <w:sz w:val="24"/>
          <w:szCs w:val="24"/>
        </w:rPr>
        <w:t>expenses</w:t>
      </w:r>
      <w:r w:rsidR="00771DDD" w:rsidRPr="00C749E0">
        <w:rPr>
          <w:sz w:val="24"/>
          <w:szCs w:val="24"/>
        </w:rPr>
        <w:t xml:space="preserve"> due to the growth in </w:t>
      </w:r>
      <w:r w:rsidR="001D428E" w:rsidRPr="00C749E0">
        <w:rPr>
          <w:sz w:val="24"/>
          <w:szCs w:val="24"/>
        </w:rPr>
        <w:t xml:space="preserve">the company’s international business and higher compensation </w:t>
      </w:r>
      <w:r w:rsidR="00E365D1" w:rsidRPr="00C749E0">
        <w:rPr>
          <w:sz w:val="24"/>
          <w:szCs w:val="24"/>
        </w:rPr>
        <w:t>expenses</w:t>
      </w:r>
      <w:r w:rsidR="001D428E" w:rsidRPr="00C749E0">
        <w:rPr>
          <w:sz w:val="24"/>
          <w:szCs w:val="24"/>
        </w:rPr>
        <w:t xml:space="preserve">, </w:t>
      </w:r>
      <w:r w:rsidR="00E365D1" w:rsidRPr="00C749E0">
        <w:rPr>
          <w:sz w:val="24"/>
          <w:szCs w:val="24"/>
        </w:rPr>
        <w:t>and consulting and management fees.</w:t>
      </w:r>
    </w:p>
    <w:p w14:paraId="0D71A958" w14:textId="5C7A3C4E" w:rsidR="000E4179" w:rsidRDefault="000E4179" w:rsidP="00405B4E">
      <w:pPr>
        <w:spacing w:after="0" w:line="240" w:lineRule="auto"/>
        <w:rPr>
          <w:sz w:val="24"/>
          <w:szCs w:val="24"/>
        </w:rPr>
      </w:pPr>
    </w:p>
    <w:p w14:paraId="58686409" w14:textId="18BF8B3D" w:rsidR="000E4179" w:rsidRDefault="000E4179" w:rsidP="00405B4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8A26B8">
        <w:rPr>
          <w:sz w:val="24"/>
          <w:szCs w:val="24"/>
        </w:rPr>
        <w:t xml:space="preserve">The company’s cash requirements have been for working capital and capital expenditures. </w:t>
      </w:r>
      <w:r w:rsidR="00276242">
        <w:rPr>
          <w:sz w:val="24"/>
          <w:szCs w:val="24"/>
        </w:rPr>
        <w:t>The cash needed for funding inventory and property</w:t>
      </w:r>
      <w:r w:rsidR="00110611">
        <w:rPr>
          <w:sz w:val="24"/>
          <w:szCs w:val="24"/>
        </w:rPr>
        <w:t>,</w:t>
      </w:r>
      <w:r w:rsidR="00276242">
        <w:rPr>
          <w:sz w:val="24"/>
          <w:szCs w:val="24"/>
        </w:rPr>
        <w:t xml:space="preserve"> plant and equipment came from cash flows from operating activities, borrowing under our bank credit facility and issuance debt securities.</w:t>
      </w:r>
      <w:r w:rsidR="00166EAB">
        <w:rPr>
          <w:sz w:val="24"/>
          <w:szCs w:val="24"/>
        </w:rPr>
        <w:t xml:space="preserve"> Capital investments have included </w:t>
      </w:r>
      <w:r w:rsidR="003924FE">
        <w:rPr>
          <w:sz w:val="24"/>
          <w:szCs w:val="24"/>
        </w:rPr>
        <w:t>expanding</w:t>
      </w:r>
      <w:r w:rsidR="00166EAB">
        <w:rPr>
          <w:sz w:val="24"/>
          <w:szCs w:val="24"/>
        </w:rPr>
        <w:t xml:space="preserve"> the </w:t>
      </w:r>
      <w:r w:rsidR="003924FE">
        <w:rPr>
          <w:sz w:val="24"/>
          <w:szCs w:val="24"/>
        </w:rPr>
        <w:t>company</w:t>
      </w:r>
      <w:r w:rsidR="00166EAB">
        <w:rPr>
          <w:sz w:val="24"/>
          <w:szCs w:val="24"/>
        </w:rPr>
        <w:t xml:space="preserve"> in</w:t>
      </w:r>
      <w:r w:rsidR="000A1351">
        <w:rPr>
          <w:sz w:val="24"/>
          <w:szCs w:val="24"/>
        </w:rPr>
        <w:t xml:space="preserve"> </w:t>
      </w:r>
      <w:r w:rsidR="00166EAB">
        <w:rPr>
          <w:sz w:val="24"/>
          <w:szCs w:val="24"/>
        </w:rPr>
        <w:t xml:space="preserve">store </w:t>
      </w:r>
      <w:r w:rsidR="003924FE">
        <w:rPr>
          <w:sz w:val="24"/>
          <w:szCs w:val="24"/>
        </w:rPr>
        <w:t>fixtures</w:t>
      </w:r>
      <w:r w:rsidR="00166EAB">
        <w:rPr>
          <w:sz w:val="24"/>
          <w:szCs w:val="24"/>
        </w:rPr>
        <w:t xml:space="preserve"> and branded concept shop programs, lease h</w:t>
      </w:r>
      <w:r w:rsidR="007468F4">
        <w:rPr>
          <w:sz w:val="24"/>
          <w:szCs w:val="24"/>
        </w:rPr>
        <w:t xml:space="preserve">old </w:t>
      </w:r>
      <w:r w:rsidR="003924FE">
        <w:rPr>
          <w:sz w:val="24"/>
          <w:szCs w:val="24"/>
        </w:rPr>
        <w:t>improvement</w:t>
      </w:r>
      <w:r w:rsidR="007468F4">
        <w:rPr>
          <w:sz w:val="24"/>
          <w:szCs w:val="24"/>
        </w:rPr>
        <w:t xml:space="preserve"> to our brand and factory </w:t>
      </w:r>
      <w:r w:rsidR="003924FE">
        <w:rPr>
          <w:sz w:val="24"/>
          <w:szCs w:val="24"/>
        </w:rPr>
        <w:t>house</w:t>
      </w:r>
      <w:r w:rsidR="007468F4">
        <w:rPr>
          <w:sz w:val="24"/>
          <w:szCs w:val="24"/>
        </w:rPr>
        <w:t xml:space="preserve"> stores, a</w:t>
      </w:r>
      <w:r w:rsidR="003924FE">
        <w:rPr>
          <w:sz w:val="24"/>
          <w:szCs w:val="24"/>
        </w:rPr>
        <w:t>nd improvements in information technology systems.</w:t>
      </w:r>
      <w:r w:rsidR="003B1DE3">
        <w:rPr>
          <w:sz w:val="24"/>
          <w:szCs w:val="24"/>
        </w:rPr>
        <w:t xml:space="preserve"> Cash flows provided by operating </w:t>
      </w:r>
      <w:r w:rsidR="00A05128">
        <w:rPr>
          <w:sz w:val="24"/>
          <w:szCs w:val="24"/>
        </w:rPr>
        <w:t>activities decrease</w:t>
      </w:r>
      <w:r w:rsidR="001A2010">
        <w:rPr>
          <w:sz w:val="24"/>
          <w:szCs w:val="24"/>
        </w:rPr>
        <w:t>d</w:t>
      </w:r>
      <w:r w:rsidR="00A05128">
        <w:rPr>
          <w:sz w:val="24"/>
          <w:szCs w:val="24"/>
        </w:rPr>
        <w:t xml:space="preserve"> $119 million to </w:t>
      </w:r>
      <w:r w:rsidR="000A00BD">
        <w:rPr>
          <w:sz w:val="24"/>
          <w:szCs w:val="24"/>
        </w:rPr>
        <w:t>$</w:t>
      </w:r>
      <w:r w:rsidR="00A05128">
        <w:rPr>
          <w:sz w:val="24"/>
          <w:szCs w:val="24"/>
        </w:rPr>
        <w:t xml:space="preserve">509 million in 2019 from </w:t>
      </w:r>
      <w:r w:rsidR="000A00BD">
        <w:rPr>
          <w:sz w:val="24"/>
          <w:szCs w:val="24"/>
        </w:rPr>
        <w:t>$628 million in 2018.</w:t>
      </w:r>
      <w:r w:rsidR="00F51808">
        <w:rPr>
          <w:sz w:val="24"/>
          <w:szCs w:val="24"/>
        </w:rPr>
        <w:t xml:space="preserve"> This decrease was due to </w:t>
      </w:r>
      <w:r w:rsidR="004B2CB5">
        <w:rPr>
          <w:sz w:val="24"/>
          <w:szCs w:val="24"/>
        </w:rPr>
        <w:t>a decrease in working capital.</w:t>
      </w:r>
      <w:r w:rsidR="001E4903">
        <w:rPr>
          <w:sz w:val="24"/>
          <w:szCs w:val="24"/>
        </w:rPr>
        <w:t xml:space="preserve"> </w:t>
      </w:r>
      <w:r w:rsidR="005D6B0B">
        <w:rPr>
          <w:sz w:val="24"/>
          <w:szCs w:val="24"/>
        </w:rPr>
        <w:t xml:space="preserve">In 2019 the current </w:t>
      </w:r>
      <w:r w:rsidR="00EF68C8">
        <w:rPr>
          <w:sz w:val="24"/>
          <w:szCs w:val="24"/>
        </w:rPr>
        <w:t>ratio was 1.90 which was a 7% decrease from 2018 which was 1.97</w:t>
      </w:r>
      <w:r w:rsidR="007E6819">
        <w:rPr>
          <w:sz w:val="24"/>
          <w:szCs w:val="24"/>
        </w:rPr>
        <w:t xml:space="preserve"> </w:t>
      </w:r>
      <w:r w:rsidR="00557F0E">
        <w:rPr>
          <w:sz w:val="24"/>
          <w:szCs w:val="24"/>
        </w:rPr>
        <w:t>that</w:t>
      </w:r>
      <w:r w:rsidR="00A96F66">
        <w:rPr>
          <w:sz w:val="24"/>
          <w:szCs w:val="24"/>
        </w:rPr>
        <w:t xml:space="preserve"> means</w:t>
      </w:r>
      <w:r w:rsidR="00DF5E72">
        <w:rPr>
          <w:sz w:val="24"/>
          <w:szCs w:val="24"/>
        </w:rPr>
        <w:t xml:space="preserve"> that in</w:t>
      </w:r>
      <w:r w:rsidR="007E6819">
        <w:rPr>
          <w:sz w:val="24"/>
          <w:szCs w:val="24"/>
        </w:rPr>
        <w:t xml:space="preserve"> both years </w:t>
      </w:r>
      <w:r w:rsidR="00734C08">
        <w:rPr>
          <w:sz w:val="24"/>
          <w:szCs w:val="24"/>
        </w:rPr>
        <w:t xml:space="preserve">the company had enough </w:t>
      </w:r>
      <w:r w:rsidR="00E4212C">
        <w:rPr>
          <w:sz w:val="24"/>
          <w:szCs w:val="24"/>
        </w:rPr>
        <w:t>cash</w:t>
      </w:r>
      <w:r w:rsidR="00734C08">
        <w:rPr>
          <w:sz w:val="24"/>
          <w:szCs w:val="24"/>
        </w:rPr>
        <w:t xml:space="preserve"> </w:t>
      </w:r>
      <w:r w:rsidR="00557F0E">
        <w:rPr>
          <w:sz w:val="24"/>
          <w:szCs w:val="24"/>
        </w:rPr>
        <w:t>to cover its</w:t>
      </w:r>
      <w:r w:rsidR="00E4212C">
        <w:rPr>
          <w:sz w:val="24"/>
          <w:szCs w:val="24"/>
        </w:rPr>
        <w:t xml:space="preserve"> current</w:t>
      </w:r>
      <w:r w:rsidR="00557F0E">
        <w:rPr>
          <w:sz w:val="24"/>
          <w:szCs w:val="24"/>
        </w:rPr>
        <w:t xml:space="preserve"> debts.</w:t>
      </w:r>
      <w:r w:rsidR="00B747E3">
        <w:rPr>
          <w:sz w:val="24"/>
          <w:szCs w:val="24"/>
        </w:rPr>
        <w:t xml:space="preserve"> </w:t>
      </w:r>
      <w:r w:rsidR="001F1091">
        <w:rPr>
          <w:sz w:val="24"/>
          <w:szCs w:val="24"/>
        </w:rPr>
        <w:t>The acid test</w:t>
      </w:r>
      <w:r w:rsidR="00FE7F23">
        <w:rPr>
          <w:sz w:val="24"/>
          <w:szCs w:val="24"/>
        </w:rPr>
        <w:t xml:space="preserve"> in 2019 was </w:t>
      </w:r>
      <w:r w:rsidR="00160618">
        <w:rPr>
          <w:sz w:val="24"/>
          <w:szCs w:val="24"/>
        </w:rPr>
        <w:t>1.05 which was an increase from 2018 which was 0.97.</w:t>
      </w:r>
      <w:r w:rsidR="00102BC2">
        <w:rPr>
          <w:sz w:val="24"/>
          <w:szCs w:val="24"/>
        </w:rPr>
        <w:t xml:space="preserve"> The company was able to meet its short-term obligations.</w:t>
      </w:r>
      <w:r w:rsidR="00160618">
        <w:rPr>
          <w:sz w:val="24"/>
          <w:szCs w:val="24"/>
        </w:rPr>
        <w:t xml:space="preserve"> </w:t>
      </w:r>
      <w:r w:rsidR="00815E83">
        <w:rPr>
          <w:sz w:val="24"/>
          <w:szCs w:val="24"/>
        </w:rPr>
        <w:t>The accounts receivable</w:t>
      </w:r>
      <w:r w:rsidR="00584C34">
        <w:rPr>
          <w:sz w:val="24"/>
          <w:szCs w:val="24"/>
        </w:rPr>
        <w:t xml:space="preserve"> turnover</w:t>
      </w:r>
      <w:r w:rsidR="00815E83">
        <w:rPr>
          <w:sz w:val="24"/>
          <w:szCs w:val="24"/>
        </w:rPr>
        <w:t xml:space="preserve"> ratio </w:t>
      </w:r>
      <w:r w:rsidR="00486BA9">
        <w:rPr>
          <w:sz w:val="24"/>
          <w:szCs w:val="24"/>
        </w:rPr>
        <w:t xml:space="preserve">was </w:t>
      </w:r>
      <w:r w:rsidR="00ED68F1">
        <w:rPr>
          <w:sz w:val="24"/>
          <w:szCs w:val="24"/>
        </w:rPr>
        <w:t>similar</w:t>
      </w:r>
      <w:r w:rsidR="00717DA4">
        <w:rPr>
          <w:sz w:val="24"/>
          <w:szCs w:val="24"/>
        </w:rPr>
        <w:t xml:space="preserve"> in </w:t>
      </w:r>
      <w:r w:rsidR="00832C84">
        <w:rPr>
          <w:sz w:val="24"/>
          <w:szCs w:val="24"/>
        </w:rPr>
        <w:t>2019 to</w:t>
      </w:r>
      <w:r w:rsidR="00486BA9">
        <w:rPr>
          <w:sz w:val="24"/>
          <w:szCs w:val="24"/>
        </w:rPr>
        <w:t xml:space="preserve"> 2018 </w:t>
      </w:r>
      <w:r w:rsidR="00ED68F1">
        <w:rPr>
          <w:sz w:val="24"/>
          <w:szCs w:val="24"/>
        </w:rPr>
        <w:t>which</w:t>
      </w:r>
      <w:r w:rsidR="00486BA9">
        <w:rPr>
          <w:sz w:val="24"/>
          <w:szCs w:val="24"/>
        </w:rPr>
        <w:t xml:space="preserve"> approximated</w:t>
      </w:r>
      <w:r w:rsidR="00ED68F1">
        <w:rPr>
          <w:sz w:val="24"/>
          <w:szCs w:val="24"/>
        </w:rPr>
        <w:t xml:space="preserve"> </w:t>
      </w:r>
      <w:r w:rsidR="00832C84">
        <w:rPr>
          <w:sz w:val="24"/>
          <w:szCs w:val="24"/>
        </w:rPr>
        <w:t>7.74 turns</w:t>
      </w:r>
      <w:r w:rsidR="00486BA9">
        <w:rPr>
          <w:sz w:val="24"/>
          <w:szCs w:val="24"/>
        </w:rPr>
        <w:t>.</w:t>
      </w:r>
      <w:r w:rsidR="00E63438">
        <w:rPr>
          <w:sz w:val="24"/>
          <w:szCs w:val="24"/>
        </w:rPr>
        <w:t xml:space="preserve"> The company </w:t>
      </w:r>
      <w:r w:rsidR="00832C84">
        <w:rPr>
          <w:sz w:val="24"/>
          <w:szCs w:val="24"/>
        </w:rPr>
        <w:t>continues to</w:t>
      </w:r>
      <w:r w:rsidR="00F163F3">
        <w:rPr>
          <w:sz w:val="24"/>
          <w:szCs w:val="24"/>
        </w:rPr>
        <w:t xml:space="preserve"> collect their </w:t>
      </w:r>
      <w:r w:rsidR="00522B45">
        <w:rPr>
          <w:sz w:val="24"/>
          <w:szCs w:val="24"/>
        </w:rPr>
        <w:t>receivables</w:t>
      </w:r>
      <w:r w:rsidR="00944081">
        <w:rPr>
          <w:sz w:val="24"/>
          <w:szCs w:val="24"/>
        </w:rPr>
        <w:t xml:space="preserve"> </w:t>
      </w:r>
      <w:r w:rsidR="00091142">
        <w:rPr>
          <w:sz w:val="24"/>
          <w:szCs w:val="24"/>
        </w:rPr>
        <w:t>in a timely manner to pay off their current liabilities</w:t>
      </w:r>
      <w:r w:rsidR="00944081">
        <w:rPr>
          <w:sz w:val="24"/>
          <w:szCs w:val="24"/>
        </w:rPr>
        <w:t xml:space="preserve">. </w:t>
      </w:r>
      <w:r w:rsidR="00506BD5">
        <w:rPr>
          <w:sz w:val="24"/>
          <w:szCs w:val="24"/>
        </w:rPr>
        <w:t>The inventory turnover ratio</w:t>
      </w:r>
      <w:r w:rsidR="00A55379">
        <w:rPr>
          <w:sz w:val="24"/>
          <w:szCs w:val="24"/>
        </w:rPr>
        <w:t xml:space="preserve"> of 2.93 in 2019 approximated that in 2018.</w:t>
      </w:r>
      <w:r w:rsidR="00EE49E1">
        <w:rPr>
          <w:sz w:val="24"/>
          <w:szCs w:val="24"/>
        </w:rPr>
        <w:t xml:space="preserve"> </w:t>
      </w:r>
      <w:r w:rsidR="00216B54">
        <w:rPr>
          <w:sz w:val="24"/>
          <w:szCs w:val="24"/>
        </w:rPr>
        <w:t xml:space="preserve">The </w:t>
      </w:r>
      <w:proofErr w:type="spellStart"/>
      <w:r w:rsidR="00216B54">
        <w:rPr>
          <w:sz w:val="24"/>
          <w:szCs w:val="24"/>
        </w:rPr>
        <w:t>companie</w:t>
      </w:r>
      <w:r w:rsidR="00EE49E1">
        <w:rPr>
          <w:sz w:val="24"/>
          <w:szCs w:val="24"/>
        </w:rPr>
        <w:t>’</w:t>
      </w:r>
      <w:r w:rsidR="00216B54">
        <w:rPr>
          <w:sz w:val="24"/>
          <w:szCs w:val="24"/>
        </w:rPr>
        <w:t>s</w:t>
      </w:r>
      <w:proofErr w:type="spellEnd"/>
      <w:r w:rsidR="00216B54">
        <w:rPr>
          <w:sz w:val="24"/>
          <w:szCs w:val="24"/>
        </w:rPr>
        <w:t xml:space="preserve"> challenge is to increase the inventory</w:t>
      </w:r>
      <w:r w:rsidR="00E84D6D">
        <w:rPr>
          <w:sz w:val="24"/>
          <w:szCs w:val="24"/>
        </w:rPr>
        <w:t xml:space="preserve"> turnover</w:t>
      </w:r>
      <w:r w:rsidR="00216B54">
        <w:rPr>
          <w:sz w:val="24"/>
          <w:szCs w:val="24"/>
        </w:rPr>
        <w:t xml:space="preserve"> ratio</w:t>
      </w:r>
      <w:r w:rsidR="00983220">
        <w:rPr>
          <w:sz w:val="24"/>
          <w:szCs w:val="24"/>
        </w:rPr>
        <w:t xml:space="preserve"> </w:t>
      </w:r>
      <w:r w:rsidR="00E84D6D">
        <w:rPr>
          <w:sz w:val="24"/>
          <w:szCs w:val="24"/>
        </w:rPr>
        <w:t xml:space="preserve">and the accounts </w:t>
      </w:r>
      <w:r w:rsidR="009752F8">
        <w:rPr>
          <w:sz w:val="24"/>
          <w:szCs w:val="24"/>
        </w:rPr>
        <w:t>receivable</w:t>
      </w:r>
      <w:r w:rsidR="00983220">
        <w:rPr>
          <w:sz w:val="24"/>
          <w:szCs w:val="24"/>
        </w:rPr>
        <w:t xml:space="preserve"> turnover ratio</w:t>
      </w:r>
      <w:r w:rsidR="00E84D6D">
        <w:rPr>
          <w:sz w:val="24"/>
          <w:szCs w:val="24"/>
        </w:rPr>
        <w:t xml:space="preserve"> </w:t>
      </w:r>
      <w:r w:rsidR="009752F8">
        <w:rPr>
          <w:sz w:val="24"/>
          <w:szCs w:val="24"/>
        </w:rPr>
        <w:t>so</w:t>
      </w:r>
      <w:r w:rsidR="00983220">
        <w:rPr>
          <w:sz w:val="24"/>
          <w:szCs w:val="24"/>
        </w:rPr>
        <w:t xml:space="preserve"> that</w:t>
      </w:r>
      <w:r w:rsidR="009752F8">
        <w:rPr>
          <w:sz w:val="24"/>
          <w:szCs w:val="24"/>
        </w:rPr>
        <w:t xml:space="preserve"> the company can convert </w:t>
      </w:r>
      <w:r w:rsidR="00682AEE">
        <w:rPr>
          <w:sz w:val="24"/>
          <w:szCs w:val="24"/>
        </w:rPr>
        <w:t>their</w:t>
      </w:r>
      <w:r w:rsidR="009752F8">
        <w:rPr>
          <w:sz w:val="24"/>
          <w:szCs w:val="24"/>
        </w:rPr>
        <w:t xml:space="preserve"> inventory and receivable </w:t>
      </w:r>
      <w:r w:rsidR="006C4611">
        <w:rPr>
          <w:sz w:val="24"/>
          <w:szCs w:val="24"/>
        </w:rPr>
        <w:t>into cash quicker.</w:t>
      </w:r>
      <w:r w:rsidR="00B12B86">
        <w:rPr>
          <w:sz w:val="24"/>
          <w:szCs w:val="24"/>
        </w:rPr>
        <w:t xml:space="preserve"> The industry standard for </w:t>
      </w:r>
      <w:r w:rsidR="00FB1213">
        <w:rPr>
          <w:sz w:val="24"/>
          <w:szCs w:val="24"/>
        </w:rPr>
        <w:t xml:space="preserve">inventory </w:t>
      </w:r>
      <w:r w:rsidR="00B12B86">
        <w:rPr>
          <w:sz w:val="24"/>
          <w:szCs w:val="24"/>
        </w:rPr>
        <w:t xml:space="preserve">turnover ratio is </w:t>
      </w:r>
      <w:r w:rsidR="007F4CCC">
        <w:rPr>
          <w:sz w:val="24"/>
          <w:szCs w:val="24"/>
        </w:rPr>
        <w:t xml:space="preserve">approximately </w:t>
      </w:r>
      <w:r w:rsidR="00B12B86">
        <w:rPr>
          <w:sz w:val="24"/>
          <w:szCs w:val="24"/>
        </w:rPr>
        <w:t>4</w:t>
      </w:r>
      <w:r w:rsidR="00742418">
        <w:rPr>
          <w:sz w:val="24"/>
          <w:szCs w:val="24"/>
        </w:rPr>
        <w:t>.</w:t>
      </w:r>
      <w:r w:rsidR="007F4CCC">
        <w:rPr>
          <w:sz w:val="24"/>
          <w:szCs w:val="24"/>
        </w:rPr>
        <w:t>0</w:t>
      </w:r>
      <w:r w:rsidR="00B12B86">
        <w:rPr>
          <w:sz w:val="24"/>
          <w:szCs w:val="24"/>
        </w:rPr>
        <w:t xml:space="preserve"> and </w:t>
      </w:r>
      <w:r w:rsidR="00FB1213">
        <w:rPr>
          <w:sz w:val="24"/>
          <w:szCs w:val="24"/>
        </w:rPr>
        <w:t>accounts</w:t>
      </w:r>
      <w:r w:rsidR="00B12B86">
        <w:rPr>
          <w:sz w:val="24"/>
          <w:szCs w:val="24"/>
        </w:rPr>
        <w:t xml:space="preserve"> </w:t>
      </w:r>
      <w:r w:rsidR="00FB1213">
        <w:rPr>
          <w:sz w:val="24"/>
          <w:szCs w:val="24"/>
        </w:rPr>
        <w:t xml:space="preserve">receivable turnover ratio is approximately </w:t>
      </w:r>
      <w:r w:rsidR="002F1BF1">
        <w:rPr>
          <w:sz w:val="24"/>
          <w:szCs w:val="24"/>
        </w:rPr>
        <w:t>9.</w:t>
      </w:r>
      <w:r w:rsidR="009724B3">
        <w:rPr>
          <w:sz w:val="24"/>
          <w:szCs w:val="24"/>
        </w:rPr>
        <w:t>0.</w:t>
      </w:r>
      <w:r w:rsidR="00293641">
        <w:rPr>
          <w:sz w:val="24"/>
          <w:szCs w:val="24"/>
        </w:rPr>
        <w:t xml:space="preserve"> The company</w:t>
      </w:r>
      <w:r w:rsidR="00BF5407">
        <w:rPr>
          <w:sz w:val="24"/>
          <w:szCs w:val="24"/>
        </w:rPr>
        <w:t xml:space="preserve">’s assets turnover ratio is 1.99 which </w:t>
      </w:r>
      <w:r w:rsidR="00742418">
        <w:rPr>
          <w:sz w:val="24"/>
          <w:szCs w:val="24"/>
        </w:rPr>
        <w:t xml:space="preserve">is </w:t>
      </w:r>
      <w:r w:rsidR="00DE4441">
        <w:rPr>
          <w:sz w:val="24"/>
          <w:szCs w:val="24"/>
        </w:rPr>
        <w:t xml:space="preserve">better than the </w:t>
      </w:r>
      <w:r w:rsidR="00BF5407">
        <w:rPr>
          <w:sz w:val="24"/>
          <w:szCs w:val="24"/>
        </w:rPr>
        <w:t>standard</w:t>
      </w:r>
      <w:r w:rsidR="00DE4441">
        <w:rPr>
          <w:sz w:val="24"/>
          <w:szCs w:val="24"/>
        </w:rPr>
        <w:t xml:space="preserve"> industry</w:t>
      </w:r>
      <w:r w:rsidR="00BF5407">
        <w:rPr>
          <w:sz w:val="24"/>
          <w:szCs w:val="24"/>
        </w:rPr>
        <w:t xml:space="preserve"> ratio </w:t>
      </w:r>
      <w:r w:rsidR="00DE4441">
        <w:rPr>
          <w:sz w:val="24"/>
          <w:szCs w:val="24"/>
        </w:rPr>
        <w:t>of 1.6.</w:t>
      </w:r>
    </w:p>
    <w:p w14:paraId="1C68C5F4" w14:textId="7A7EDCE8" w:rsidR="003D639F" w:rsidRDefault="003D639F" w:rsidP="00405B4E">
      <w:pPr>
        <w:spacing w:after="0" w:line="240" w:lineRule="auto"/>
        <w:rPr>
          <w:sz w:val="24"/>
          <w:szCs w:val="24"/>
        </w:rPr>
      </w:pPr>
    </w:p>
    <w:p w14:paraId="5048F86B" w14:textId="2D4A8F4C" w:rsidR="00BA5E17" w:rsidRDefault="003D639F" w:rsidP="00405B4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The</w:t>
      </w:r>
      <w:r w:rsidR="00401843">
        <w:rPr>
          <w:sz w:val="24"/>
          <w:szCs w:val="24"/>
        </w:rPr>
        <w:t xml:space="preserve"> company’s internal control over financial reporting as of December 31, 2019 </w:t>
      </w:r>
      <w:r w:rsidR="00DB1BDE">
        <w:rPr>
          <w:sz w:val="24"/>
          <w:szCs w:val="24"/>
        </w:rPr>
        <w:t xml:space="preserve">has been audited by PricewaterhouseCoopers. In 2015 the company began the process of </w:t>
      </w:r>
      <w:r w:rsidR="00B14746">
        <w:rPr>
          <w:sz w:val="24"/>
          <w:szCs w:val="24"/>
        </w:rPr>
        <w:t>implementing</w:t>
      </w:r>
      <w:r w:rsidR="008E13B3">
        <w:rPr>
          <w:sz w:val="24"/>
          <w:szCs w:val="24"/>
        </w:rPr>
        <w:t xml:space="preserve"> a global operating and </w:t>
      </w:r>
      <w:r w:rsidR="00B14746">
        <w:rPr>
          <w:sz w:val="24"/>
          <w:szCs w:val="24"/>
        </w:rPr>
        <w:t>financial</w:t>
      </w:r>
      <w:r w:rsidR="008E13B3">
        <w:rPr>
          <w:sz w:val="24"/>
          <w:szCs w:val="24"/>
        </w:rPr>
        <w:t xml:space="preserve"> reporting information </w:t>
      </w:r>
      <w:r w:rsidR="00B14746">
        <w:rPr>
          <w:sz w:val="24"/>
          <w:szCs w:val="24"/>
        </w:rPr>
        <w:t>technology</w:t>
      </w:r>
      <w:r w:rsidR="008E13B3">
        <w:rPr>
          <w:sz w:val="24"/>
          <w:szCs w:val="24"/>
        </w:rPr>
        <w:t xml:space="preserve"> system, SAP fashion</w:t>
      </w:r>
      <w:r w:rsidR="00D53204">
        <w:rPr>
          <w:sz w:val="24"/>
          <w:szCs w:val="24"/>
        </w:rPr>
        <w:t xml:space="preserve"> management solution, as part of a </w:t>
      </w:r>
      <w:r w:rsidR="00B14746">
        <w:rPr>
          <w:sz w:val="24"/>
          <w:szCs w:val="24"/>
        </w:rPr>
        <w:t>multi-year</w:t>
      </w:r>
      <w:r w:rsidR="00D53204">
        <w:rPr>
          <w:sz w:val="24"/>
          <w:szCs w:val="24"/>
        </w:rPr>
        <w:t xml:space="preserve"> plan to integrate and upgrade the </w:t>
      </w:r>
      <w:r w:rsidR="00B14746">
        <w:rPr>
          <w:sz w:val="24"/>
          <w:szCs w:val="24"/>
        </w:rPr>
        <w:t>company’s</w:t>
      </w:r>
      <w:r w:rsidR="00D53204">
        <w:rPr>
          <w:sz w:val="24"/>
          <w:szCs w:val="24"/>
        </w:rPr>
        <w:t xml:space="preserve"> systems and </w:t>
      </w:r>
      <w:r w:rsidR="00B14746">
        <w:rPr>
          <w:sz w:val="24"/>
          <w:szCs w:val="24"/>
        </w:rPr>
        <w:t>processes</w:t>
      </w:r>
      <w:r w:rsidR="009F3A53">
        <w:rPr>
          <w:sz w:val="24"/>
          <w:szCs w:val="24"/>
        </w:rPr>
        <w:t xml:space="preserve">. </w:t>
      </w:r>
      <w:r w:rsidR="00986D49">
        <w:rPr>
          <w:sz w:val="24"/>
          <w:szCs w:val="24"/>
        </w:rPr>
        <w:t xml:space="preserve">This implementation of the systems and </w:t>
      </w:r>
      <w:r w:rsidR="004841F0">
        <w:rPr>
          <w:sz w:val="24"/>
          <w:szCs w:val="24"/>
        </w:rPr>
        <w:t>related</w:t>
      </w:r>
      <w:r w:rsidR="00986D49">
        <w:rPr>
          <w:sz w:val="24"/>
          <w:szCs w:val="24"/>
        </w:rPr>
        <w:t xml:space="preserve"> change</w:t>
      </w:r>
      <w:r w:rsidR="00A96F66">
        <w:rPr>
          <w:sz w:val="24"/>
          <w:szCs w:val="24"/>
        </w:rPr>
        <w:t xml:space="preserve"> </w:t>
      </w:r>
      <w:r w:rsidR="00986D49">
        <w:rPr>
          <w:sz w:val="24"/>
          <w:szCs w:val="24"/>
        </w:rPr>
        <w:t xml:space="preserve">to </w:t>
      </w:r>
      <w:r w:rsidR="004841F0">
        <w:rPr>
          <w:sz w:val="24"/>
          <w:szCs w:val="24"/>
        </w:rPr>
        <w:t>internal</w:t>
      </w:r>
      <w:r w:rsidR="00986D49">
        <w:rPr>
          <w:sz w:val="24"/>
          <w:szCs w:val="24"/>
        </w:rPr>
        <w:t xml:space="preserve"> controls wi</w:t>
      </w:r>
      <w:r w:rsidR="004841F0">
        <w:rPr>
          <w:sz w:val="24"/>
          <w:szCs w:val="24"/>
        </w:rPr>
        <w:t>ll</w:t>
      </w:r>
      <w:r w:rsidR="00986D49">
        <w:rPr>
          <w:sz w:val="24"/>
          <w:szCs w:val="24"/>
        </w:rPr>
        <w:t xml:space="preserve"> enhance the </w:t>
      </w:r>
      <w:r w:rsidR="004841F0">
        <w:rPr>
          <w:sz w:val="24"/>
          <w:szCs w:val="24"/>
        </w:rPr>
        <w:t>company’s</w:t>
      </w:r>
      <w:r w:rsidR="00986D49">
        <w:rPr>
          <w:sz w:val="24"/>
          <w:szCs w:val="24"/>
        </w:rPr>
        <w:t xml:space="preserve"> financial reporting.</w:t>
      </w:r>
      <w:r w:rsidR="004841F0">
        <w:rPr>
          <w:sz w:val="24"/>
          <w:szCs w:val="24"/>
        </w:rPr>
        <w:t xml:space="preserve"> The company will continue to </w:t>
      </w:r>
      <w:r w:rsidR="004841F0">
        <w:rPr>
          <w:sz w:val="24"/>
          <w:szCs w:val="24"/>
        </w:rPr>
        <w:lastRenderedPageBreak/>
        <w:t>strengthen their internal</w:t>
      </w:r>
      <w:r w:rsidR="00445405">
        <w:rPr>
          <w:sz w:val="24"/>
          <w:szCs w:val="24"/>
        </w:rPr>
        <w:t xml:space="preserve"> financial reporting</w:t>
      </w:r>
      <w:r w:rsidR="004841F0">
        <w:rPr>
          <w:sz w:val="24"/>
          <w:szCs w:val="24"/>
        </w:rPr>
        <w:t xml:space="preserve"> control</w:t>
      </w:r>
      <w:r w:rsidR="00445405">
        <w:rPr>
          <w:sz w:val="24"/>
          <w:szCs w:val="24"/>
        </w:rPr>
        <w:t xml:space="preserve">s by automating </w:t>
      </w:r>
      <w:r w:rsidR="00AF51F2">
        <w:rPr>
          <w:sz w:val="24"/>
          <w:szCs w:val="24"/>
        </w:rPr>
        <w:t>select</w:t>
      </w:r>
      <w:r w:rsidR="00445405">
        <w:rPr>
          <w:sz w:val="24"/>
          <w:szCs w:val="24"/>
        </w:rPr>
        <w:t xml:space="preserve"> manual processes and standardizing </w:t>
      </w:r>
      <w:r w:rsidR="00AF51F2">
        <w:rPr>
          <w:sz w:val="24"/>
          <w:szCs w:val="24"/>
        </w:rPr>
        <w:t xml:space="preserve">business reporting and processes across the organization. </w:t>
      </w:r>
      <w:r w:rsidR="00FA7DB9">
        <w:rPr>
          <w:sz w:val="24"/>
          <w:szCs w:val="24"/>
        </w:rPr>
        <w:t xml:space="preserve">During 2019 the company implemented internal controls to ensure </w:t>
      </w:r>
      <w:r w:rsidR="0075425A">
        <w:rPr>
          <w:sz w:val="24"/>
          <w:szCs w:val="24"/>
        </w:rPr>
        <w:t>adequate</w:t>
      </w:r>
      <w:r w:rsidR="00FA7DB9">
        <w:rPr>
          <w:sz w:val="24"/>
          <w:szCs w:val="24"/>
        </w:rPr>
        <w:t xml:space="preserve"> </w:t>
      </w:r>
      <w:r w:rsidR="0075425A">
        <w:rPr>
          <w:sz w:val="24"/>
          <w:szCs w:val="24"/>
        </w:rPr>
        <w:t xml:space="preserve">valuation of contracts and properly </w:t>
      </w:r>
      <w:r w:rsidR="00DF48B9">
        <w:rPr>
          <w:sz w:val="24"/>
          <w:szCs w:val="24"/>
        </w:rPr>
        <w:t>assess</w:t>
      </w:r>
      <w:r w:rsidR="0075425A">
        <w:rPr>
          <w:sz w:val="24"/>
          <w:szCs w:val="24"/>
        </w:rPr>
        <w:t xml:space="preserve"> the impact of the new lease accounting standard on the financial statements in accordance with ASU 2016-02. The company also implemented controls</w:t>
      </w:r>
      <w:r w:rsidR="00C45C11">
        <w:rPr>
          <w:sz w:val="24"/>
          <w:szCs w:val="24"/>
        </w:rPr>
        <w:t xml:space="preserve"> over</w:t>
      </w:r>
      <w:r w:rsidR="0075425A">
        <w:rPr>
          <w:sz w:val="24"/>
          <w:szCs w:val="24"/>
        </w:rPr>
        <w:t xml:space="preserve"> the new leases system </w:t>
      </w:r>
      <w:r w:rsidR="00292804">
        <w:rPr>
          <w:sz w:val="24"/>
          <w:szCs w:val="24"/>
        </w:rPr>
        <w:t xml:space="preserve">and accounting under this ASU to monitor and maintain appropriate internal control over </w:t>
      </w:r>
      <w:r w:rsidR="00D84FAA">
        <w:rPr>
          <w:sz w:val="24"/>
          <w:szCs w:val="24"/>
        </w:rPr>
        <w:t>financial</w:t>
      </w:r>
      <w:r w:rsidR="00292804">
        <w:rPr>
          <w:sz w:val="24"/>
          <w:szCs w:val="24"/>
        </w:rPr>
        <w:t xml:space="preserve"> reporting.</w:t>
      </w:r>
    </w:p>
    <w:p w14:paraId="2CCA1B6B" w14:textId="528DF77B" w:rsidR="005E3CF9" w:rsidRDefault="005E3CF9" w:rsidP="00405B4E">
      <w:pPr>
        <w:spacing w:after="0" w:line="240" w:lineRule="auto"/>
        <w:rPr>
          <w:sz w:val="24"/>
          <w:szCs w:val="24"/>
        </w:rPr>
      </w:pPr>
    </w:p>
    <w:p w14:paraId="2B5C1655" w14:textId="244491F2" w:rsidR="005E3CF9" w:rsidRDefault="005E3CF9" w:rsidP="00405B4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507B78">
        <w:rPr>
          <w:sz w:val="24"/>
          <w:szCs w:val="24"/>
        </w:rPr>
        <w:t xml:space="preserve">In the opinion of PricewaterhouseCoopers </w:t>
      </w:r>
      <w:r w:rsidR="00D91AD3">
        <w:rPr>
          <w:sz w:val="24"/>
          <w:szCs w:val="24"/>
        </w:rPr>
        <w:t xml:space="preserve">the consolidated financial statements present fairly </w:t>
      </w:r>
      <w:r w:rsidR="00FD546D">
        <w:rPr>
          <w:sz w:val="24"/>
          <w:szCs w:val="24"/>
        </w:rPr>
        <w:t>in all material respects the financial position of the company as of December 31</w:t>
      </w:r>
      <w:r w:rsidR="002E10F2">
        <w:rPr>
          <w:sz w:val="24"/>
          <w:szCs w:val="24"/>
        </w:rPr>
        <w:t>,</w:t>
      </w:r>
      <w:r w:rsidR="00FD546D">
        <w:rPr>
          <w:sz w:val="24"/>
          <w:szCs w:val="24"/>
        </w:rPr>
        <w:t xml:space="preserve"> 201</w:t>
      </w:r>
      <w:r w:rsidR="00AD78B4">
        <w:rPr>
          <w:sz w:val="24"/>
          <w:szCs w:val="24"/>
        </w:rPr>
        <w:t>9</w:t>
      </w:r>
      <w:r w:rsidR="00C45C11">
        <w:rPr>
          <w:sz w:val="24"/>
          <w:szCs w:val="24"/>
        </w:rPr>
        <w:t xml:space="preserve"> and</w:t>
      </w:r>
      <w:r w:rsidR="00FD546D">
        <w:rPr>
          <w:sz w:val="24"/>
          <w:szCs w:val="24"/>
        </w:rPr>
        <w:t xml:space="preserve"> 201</w:t>
      </w:r>
      <w:r w:rsidR="00AD78B4">
        <w:rPr>
          <w:sz w:val="24"/>
          <w:szCs w:val="24"/>
        </w:rPr>
        <w:t>8</w:t>
      </w:r>
      <w:r w:rsidR="00FD546D">
        <w:rPr>
          <w:sz w:val="24"/>
          <w:szCs w:val="24"/>
        </w:rPr>
        <w:t xml:space="preserve"> as result of its operations and cash flows for each of the years presented in </w:t>
      </w:r>
      <w:r w:rsidR="00392945">
        <w:rPr>
          <w:sz w:val="24"/>
          <w:szCs w:val="24"/>
        </w:rPr>
        <w:t>conformity</w:t>
      </w:r>
      <w:r w:rsidR="00FD546D">
        <w:rPr>
          <w:sz w:val="24"/>
          <w:szCs w:val="24"/>
        </w:rPr>
        <w:t xml:space="preserve"> with</w:t>
      </w:r>
      <w:r w:rsidR="00392945">
        <w:rPr>
          <w:sz w:val="24"/>
          <w:szCs w:val="24"/>
        </w:rPr>
        <w:t xml:space="preserve"> general accepting accounting principles. The company changed the </w:t>
      </w:r>
      <w:r w:rsidR="003457F4">
        <w:rPr>
          <w:sz w:val="24"/>
          <w:szCs w:val="24"/>
        </w:rPr>
        <w:t>manner</w:t>
      </w:r>
      <w:r w:rsidR="00392945">
        <w:rPr>
          <w:sz w:val="24"/>
          <w:szCs w:val="24"/>
        </w:rPr>
        <w:t xml:space="preserve"> in which</w:t>
      </w:r>
      <w:r w:rsidR="0032695F">
        <w:rPr>
          <w:sz w:val="24"/>
          <w:szCs w:val="24"/>
        </w:rPr>
        <w:t xml:space="preserve"> it</w:t>
      </w:r>
      <w:r w:rsidR="00392945">
        <w:rPr>
          <w:sz w:val="24"/>
          <w:szCs w:val="24"/>
        </w:rPr>
        <w:t xml:space="preserve"> account</w:t>
      </w:r>
      <w:r w:rsidR="0032695F">
        <w:rPr>
          <w:sz w:val="24"/>
          <w:szCs w:val="24"/>
        </w:rPr>
        <w:t>ed</w:t>
      </w:r>
      <w:r w:rsidR="00392945">
        <w:rPr>
          <w:sz w:val="24"/>
          <w:szCs w:val="24"/>
        </w:rPr>
        <w:t xml:space="preserve"> for leases in </w:t>
      </w:r>
      <w:r w:rsidR="000E06A7">
        <w:rPr>
          <w:sz w:val="24"/>
          <w:szCs w:val="24"/>
        </w:rPr>
        <w:t>2019, the</w:t>
      </w:r>
      <w:r w:rsidR="00275E49">
        <w:rPr>
          <w:sz w:val="24"/>
          <w:szCs w:val="24"/>
        </w:rPr>
        <w:t xml:space="preserve"> company </w:t>
      </w:r>
      <w:r w:rsidR="00527118">
        <w:rPr>
          <w:sz w:val="24"/>
          <w:szCs w:val="24"/>
        </w:rPr>
        <w:t>adopted</w:t>
      </w:r>
      <w:r w:rsidR="002178CA">
        <w:rPr>
          <w:sz w:val="24"/>
          <w:szCs w:val="24"/>
        </w:rPr>
        <w:t xml:space="preserve"> ASU 2016-2 leases </w:t>
      </w:r>
      <w:r w:rsidR="00527118">
        <w:rPr>
          <w:sz w:val="24"/>
          <w:szCs w:val="24"/>
        </w:rPr>
        <w:t>(topic 842).</w:t>
      </w:r>
    </w:p>
    <w:p w14:paraId="52BB5133" w14:textId="7726F2DB" w:rsidR="000E06A7" w:rsidRDefault="000E06A7" w:rsidP="00405B4E">
      <w:pPr>
        <w:spacing w:after="0" w:line="240" w:lineRule="auto"/>
        <w:rPr>
          <w:sz w:val="24"/>
          <w:szCs w:val="24"/>
        </w:rPr>
      </w:pPr>
    </w:p>
    <w:p w14:paraId="515673D0" w14:textId="30135574" w:rsidR="004A5937" w:rsidRDefault="000E06A7" w:rsidP="00405B4E">
      <w:pPr>
        <w:spacing w:after="0" w:line="240" w:lineRule="auto"/>
        <w:rPr>
          <w:b/>
          <w:bCs/>
          <w:sz w:val="24"/>
          <w:szCs w:val="24"/>
        </w:rPr>
      </w:pPr>
      <w:r w:rsidRPr="000E06A7">
        <w:rPr>
          <w:b/>
          <w:bCs/>
          <w:sz w:val="24"/>
          <w:szCs w:val="24"/>
        </w:rPr>
        <w:t>Recommendations</w:t>
      </w:r>
    </w:p>
    <w:p w14:paraId="7ED62624" w14:textId="0640E2ED" w:rsidR="00F349E2" w:rsidRDefault="00A57496" w:rsidP="00405B4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4A5937" w:rsidRPr="004A5937">
        <w:rPr>
          <w:sz w:val="24"/>
          <w:szCs w:val="24"/>
        </w:rPr>
        <w:t>Due</w:t>
      </w:r>
      <w:r w:rsidR="00917475">
        <w:rPr>
          <w:sz w:val="24"/>
          <w:szCs w:val="24"/>
        </w:rPr>
        <w:t xml:space="preserve"> to the situation that the world is currently facing with </w:t>
      </w:r>
      <w:r w:rsidR="00370537">
        <w:rPr>
          <w:sz w:val="24"/>
          <w:szCs w:val="24"/>
        </w:rPr>
        <w:t xml:space="preserve">COVID 19 </w:t>
      </w:r>
      <w:r w:rsidR="00917475">
        <w:rPr>
          <w:sz w:val="24"/>
          <w:szCs w:val="24"/>
        </w:rPr>
        <w:t>this will have a negative effect on sales</w:t>
      </w:r>
      <w:r w:rsidR="00131390">
        <w:rPr>
          <w:sz w:val="24"/>
          <w:szCs w:val="24"/>
        </w:rPr>
        <w:t xml:space="preserve">, </w:t>
      </w:r>
      <w:r w:rsidR="00077782">
        <w:rPr>
          <w:sz w:val="24"/>
          <w:szCs w:val="24"/>
        </w:rPr>
        <w:t>gross</w:t>
      </w:r>
      <w:r w:rsidR="00917475">
        <w:rPr>
          <w:sz w:val="24"/>
          <w:szCs w:val="24"/>
        </w:rPr>
        <w:t xml:space="preserve"> profit</w:t>
      </w:r>
      <w:r w:rsidR="00131390">
        <w:rPr>
          <w:sz w:val="24"/>
          <w:szCs w:val="24"/>
        </w:rPr>
        <w:t xml:space="preserve"> and operating profit</w:t>
      </w:r>
      <w:r w:rsidR="00917475">
        <w:rPr>
          <w:sz w:val="24"/>
          <w:szCs w:val="24"/>
        </w:rPr>
        <w:t xml:space="preserve"> which is why the company should </w:t>
      </w:r>
      <w:r w:rsidR="009B7D02">
        <w:rPr>
          <w:sz w:val="24"/>
          <w:szCs w:val="24"/>
        </w:rPr>
        <w:t xml:space="preserve">focus more on online marketing </w:t>
      </w:r>
      <w:r w:rsidR="00C206CE">
        <w:rPr>
          <w:sz w:val="24"/>
          <w:szCs w:val="24"/>
        </w:rPr>
        <w:t>throughout</w:t>
      </w:r>
      <w:r w:rsidR="006854D6">
        <w:rPr>
          <w:sz w:val="24"/>
          <w:szCs w:val="24"/>
        </w:rPr>
        <w:t xml:space="preserve"> th</w:t>
      </w:r>
      <w:r w:rsidR="00C206CE">
        <w:rPr>
          <w:sz w:val="24"/>
          <w:szCs w:val="24"/>
        </w:rPr>
        <w:t>ese</w:t>
      </w:r>
      <w:r w:rsidR="006854D6">
        <w:rPr>
          <w:sz w:val="24"/>
          <w:szCs w:val="24"/>
        </w:rPr>
        <w:t xml:space="preserve"> challenging time</w:t>
      </w:r>
      <w:r w:rsidR="00C206CE">
        <w:rPr>
          <w:sz w:val="24"/>
          <w:szCs w:val="24"/>
        </w:rPr>
        <w:t>s</w:t>
      </w:r>
      <w:r w:rsidR="006854D6">
        <w:rPr>
          <w:sz w:val="24"/>
          <w:szCs w:val="24"/>
        </w:rPr>
        <w:t>.</w:t>
      </w:r>
      <w:r w:rsidR="00AA001F">
        <w:rPr>
          <w:sz w:val="24"/>
          <w:szCs w:val="24"/>
        </w:rPr>
        <w:t xml:space="preserve"> The company should also consider </w:t>
      </w:r>
      <w:r w:rsidR="00173011">
        <w:rPr>
          <w:sz w:val="24"/>
          <w:szCs w:val="24"/>
        </w:rPr>
        <w:t xml:space="preserve">selling products </w:t>
      </w:r>
      <w:r w:rsidR="00421EC2">
        <w:rPr>
          <w:sz w:val="24"/>
          <w:szCs w:val="24"/>
        </w:rPr>
        <w:t>to</w:t>
      </w:r>
      <w:r w:rsidR="00173011">
        <w:rPr>
          <w:sz w:val="24"/>
          <w:szCs w:val="24"/>
        </w:rPr>
        <w:t xml:space="preserve"> online shoppers without charging the customers a shipping charge.</w:t>
      </w:r>
      <w:r w:rsidR="006854D6">
        <w:rPr>
          <w:sz w:val="24"/>
          <w:szCs w:val="24"/>
        </w:rPr>
        <w:t xml:space="preserve"> </w:t>
      </w:r>
      <w:r w:rsidR="00547031">
        <w:rPr>
          <w:sz w:val="24"/>
          <w:szCs w:val="24"/>
        </w:rPr>
        <w:t xml:space="preserve">To </w:t>
      </w:r>
      <w:r w:rsidR="00BC0F72">
        <w:rPr>
          <w:sz w:val="24"/>
          <w:szCs w:val="24"/>
        </w:rPr>
        <w:t>ensure</w:t>
      </w:r>
      <w:r w:rsidR="00547031">
        <w:rPr>
          <w:sz w:val="24"/>
          <w:szCs w:val="24"/>
        </w:rPr>
        <w:t xml:space="preserve"> the</w:t>
      </w:r>
      <w:r w:rsidR="00636A6B">
        <w:rPr>
          <w:sz w:val="24"/>
          <w:szCs w:val="24"/>
        </w:rPr>
        <w:t xml:space="preserve"> safety of the</w:t>
      </w:r>
      <w:r w:rsidR="00547031">
        <w:rPr>
          <w:sz w:val="24"/>
          <w:szCs w:val="24"/>
        </w:rPr>
        <w:t xml:space="preserve"> supply chain and increase profit</w:t>
      </w:r>
      <w:r w:rsidR="00636A6B">
        <w:rPr>
          <w:sz w:val="24"/>
          <w:szCs w:val="24"/>
        </w:rPr>
        <w:t>s</w:t>
      </w:r>
      <w:r w:rsidR="00547031">
        <w:rPr>
          <w:sz w:val="24"/>
          <w:szCs w:val="24"/>
        </w:rPr>
        <w:t xml:space="preserve"> the company </w:t>
      </w:r>
      <w:r w:rsidR="00857DC1">
        <w:rPr>
          <w:sz w:val="24"/>
          <w:szCs w:val="24"/>
        </w:rPr>
        <w:t>may need to come up with an alternative to produce their product</w:t>
      </w:r>
      <w:r w:rsidR="00421EC2">
        <w:rPr>
          <w:sz w:val="24"/>
          <w:szCs w:val="24"/>
        </w:rPr>
        <w:t>s</w:t>
      </w:r>
      <w:r w:rsidR="00C03DF8">
        <w:rPr>
          <w:sz w:val="24"/>
          <w:szCs w:val="24"/>
        </w:rPr>
        <w:t xml:space="preserve"> in other </w:t>
      </w:r>
      <w:r w:rsidR="00857DC1">
        <w:rPr>
          <w:sz w:val="24"/>
          <w:szCs w:val="24"/>
        </w:rPr>
        <w:t>countr</w:t>
      </w:r>
      <w:r w:rsidR="00C03DF8">
        <w:rPr>
          <w:sz w:val="24"/>
          <w:szCs w:val="24"/>
        </w:rPr>
        <w:t>ies</w:t>
      </w:r>
      <w:r w:rsidR="00950AC9">
        <w:rPr>
          <w:sz w:val="24"/>
          <w:szCs w:val="24"/>
        </w:rPr>
        <w:t xml:space="preserve"> and expand production in the U.S</w:t>
      </w:r>
      <w:r w:rsidR="00857DC1">
        <w:rPr>
          <w:sz w:val="24"/>
          <w:szCs w:val="24"/>
        </w:rPr>
        <w:t xml:space="preserve">. </w:t>
      </w:r>
      <w:r w:rsidR="00421EC2">
        <w:rPr>
          <w:sz w:val="24"/>
          <w:szCs w:val="24"/>
        </w:rPr>
        <w:t>S</w:t>
      </w:r>
      <w:r w:rsidR="00094FDB">
        <w:rPr>
          <w:sz w:val="24"/>
          <w:szCs w:val="24"/>
        </w:rPr>
        <w:t>hort term</w:t>
      </w:r>
      <w:r w:rsidR="008E4415">
        <w:rPr>
          <w:sz w:val="24"/>
          <w:szCs w:val="24"/>
        </w:rPr>
        <w:t xml:space="preserve"> </w:t>
      </w:r>
      <w:r w:rsidR="003F7C65">
        <w:rPr>
          <w:sz w:val="24"/>
          <w:szCs w:val="24"/>
        </w:rPr>
        <w:t>furlough</w:t>
      </w:r>
      <w:r w:rsidR="004B0650">
        <w:rPr>
          <w:sz w:val="24"/>
          <w:szCs w:val="24"/>
        </w:rPr>
        <w:t>s</w:t>
      </w:r>
      <w:r w:rsidR="008E4415">
        <w:rPr>
          <w:sz w:val="24"/>
          <w:szCs w:val="24"/>
        </w:rPr>
        <w:t xml:space="preserve"> and some temporary</w:t>
      </w:r>
      <w:r w:rsidR="00367622">
        <w:rPr>
          <w:sz w:val="24"/>
          <w:szCs w:val="24"/>
        </w:rPr>
        <w:t xml:space="preserve"> layoffs of employees</w:t>
      </w:r>
      <w:r w:rsidR="003A41D5">
        <w:rPr>
          <w:sz w:val="24"/>
          <w:szCs w:val="24"/>
        </w:rPr>
        <w:t xml:space="preserve"> will improve results</w:t>
      </w:r>
      <w:r w:rsidR="00135A40">
        <w:rPr>
          <w:sz w:val="24"/>
          <w:szCs w:val="24"/>
        </w:rPr>
        <w:t xml:space="preserve"> in the short term</w:t>
      </w:r>
      <w:r w:rsidR="0028206C">
        <w:rPr>
          <w:sz w:val="24"/>
          <w:szCs w:val="24"/>
        </w:rPr>
        <w:t>.</w:t>
      </w:r>
      <w:r w:rsidR="007E4FB4">
        <w:rPr>
          <w:sz w:val="24"/>
          <w:szCs w:val="24"/>
        </w:rPr>
        <w:t xml:space="preserve"> If the company has a </w:t>
      </w:r>
      <w:r w:rsidR="001E7D9D">
        <w:rPr>
          <w:sz w:val="24"/>
          <w:szCs w:val="24"/>
        </w:rPr>
        <w:t>slowdown</w:t>
      </w:r>
      <w:r w:rsidR="007E4FB4">
        <w:rPr>
          <w:sz w:val="24"/>
          <w:szCs w:val="24"/>
        </w:rPr>
        <w:t xml:space="preserve"> in its </w:t>
      </w:r>
      <w:r w:rsidR="00950324">
        <w:rPr>
          <w:sz w:val="24"/>
          <w:szCs w:val="24"/>
        </w:rPr>
        <w:t>business,</w:t>
      </w:r>
      <w:r w:rsidR="007E4FB4">
        <w:rPr>
          <w:sz w:val="24"/>
          <w:szCs w:val="24"/>
        </w:rPr>
        <w:t xml:space="preserve"> they may have to raise</w:t>
      </w:r>
      <w:r w:rsidR="00E21829">
        <w:rPr>
          <w:sz w:val="24"/>
          <w:szCs w:val="24"/>
        </w:rPr>
        <w:t xml:space="preserve"> </w:t>
      </w:r>
      <w:r w:rsidR="001E7D9D">
        <w:rPr>
          <w:sz w:val="24"/>
          <w:szCs w:val="24"/>
        </w:rPr>
        <w:t>cash by issu</w:t>
      </w:r>
      <w:r w:rsidR="00950324">
        <w:rPr>
          <w:sz w:val="24"/>
          <w:szCs w:val="24"/>
        </w:rPr>
        <w:t>ing</w:t>
      </w:r>
      <w:r w:rsidR="001E7D9D">
        <w:rPr>
          <w:sz w:val="24"/>
          <w:szCs w:val="24"/>
        </w:rPr>
        <w:t xml:space="preserve"> debt, stock or</w:t>
      </w:r>
      <w:r w:rsidR="00950324">
        <w:rPr>
          <w:sz w:val="24"/>
          <w:szCs w:val="24"/>
        </w:rPr>
        <w:t xml:space="preserve"> pursu</w:t>
      </w:r>
      <w:r w:rsidR="00E21829">
        <w:rPr>
          <w:sz w:val="24"/>
          <w:szCs w:val="24"/>
        </w:rPr>
        <w:t>ing</w:t>
      </w:r>
      <w:r w:rsidR="00950324">
        <w:rPr>
          <w:sz w:val="24"/>
          <w:szCs w:val="24"/>
        </w:rPr>
        <w:t xml:space="preserve"> </w:t>
      </w:r>
      <w:r w:rsidR="001E7D9D">
        <w:rPr>
          <w:sz w:val="24"/>
          <w:szCs w:val="24"/>
        </w:rPr>
        <w:t>additional bank borrowings.</w:t>
      </w:r>
      <w:r w:rsidR="0028206C">
        <w:rPr>
          <w:sz w:val="24"/>
          <w:szCs w:val="24"/>
        </w:rPr>
        <w:t xml:space="preserve"> The company </w:t>
      </w:r>
      <w:r w:rsidR="00264D9F">
        <w:rPr>
          <w:sz w:val="24"/>
          <w:szCs w:val="24"/>
        </w:rPr>
        <w:t>will</w:t>
      </w:r>
      <w:r w:rsidR="00E3667A">
        <w:rPr>
          <w:sz w:val="24"/>
          <w:szCs w:val="24"/>
        </w:rPr>
        <w:t xml:space="preserve"> complete </w:t>
      </w:r>
      <w:r w:rsidR="00636FE9">
        <w:rPr>
          <w:sz w:val="24"/>
          <w:szCs w:val="24"/>
        </w:rPr>
        <w:t>the</w:t>
      </w:r>
      <w:r w:rsidR="0028206C">
        <w:rPr>
          <w:sz w:val="24"/>
          <w:szCs w:val="24"/>
        </w:rPr>
        <w:t xml:space="preserve"> implement</w:t>
      </w:r>
      <w:r w:rsidR="004B0650">
        <w:rPr>
          <w:sz w:val="24"/>
          <w:szCs w:val="24"/>
        </w:rPr>
        <w:t>ation</w:t>
      </w:r>
      <w:r w:rsidR="00636FE9">
        <w:rPr>
          <w:sz w:val="24"/>
          <w:szCs w:val="24"/>
        </w:rPr>
        <w:t xml:space="preserve"> of a</w:t>
      </w:r>
      <w:r w:rsidR="0028206C">
        <w:rPr>
          <w:sz w:val="24"/>
          <w:szCs w:val="24"/>
        </w:rPr>
        <w:t xml:space="preserve"> new </w:t>
      </w:r>
      <w:r w:rsidR="00810E33">
        <w:rPr>
          <w:sz w:val="24"/>
          <w:szCs w:val="24"/>
        </w:rPr>
        <w:t>financial</w:t>
      </w:r>
      <w:r w:rsidR="0028206C">
        <w:rPr>
          <w:sz w:val="24"/>
          <w:szCs w:val="24"/>
        </w:rPr>
        <w:t xml:space="preserve"> system and put standard </w:t>
      </w:r>
      <w:r w:rsidR="004532A0">
        <w:rPr>
          <w:sz w:val="24"/>
          <w:szCs w:val="24"/>
        </w:rPr>
        <w:t>controls in</w:t>
      </w:r>
      <w:r w:rsidR="00135A40">
        <w:rPr>
          <w:sz w:val="24"/>
          <w:szCs w:val="24"/>
        </w:rPr>
        <w:t xml:space="preserve"> place </w:t>
      </w:r>
      <w:r w:rsidR="00636FE9">
        <w:rPr>
          <w:sz w:val="24"/>
          <w:szCs w:val="24"/>
        </w:rPr>
        <w:t>that</w:t>
      </w:r>
      <w:r w:rsidR="00810E33">
        <w:rPr>
          <w:sz w:val="24"/>
          <w:szCs w:val="24"/>
        </w:rPr>
        <w:t xml:space="preserve"> will enhance results and give the company consistency</w:t>
      </w:r>
      <w:r w:rsidR="00841A4B">
        <w:rPr>
          <w:sz w:val="24"/>
          <w:szCs w:val="24"/>
        </w:rPr>
        <w:t xml:space="preserve"> and confidence</w:t>
      </w:r>
      <w:r w:rsidR="00810E33">
        <w:rPr>
          <w:sz w:val="24"/>
          <w:szCs w:val="24"/>
        </w:rPr>
        <w:t xml:space="preserve"> in its reporting.</w:t>
      </w:r>
    </w:p>
    <w:p w14:paraId="5299E94B" w14:textId="77777777" w:rsidR="00F349E2" w:rsidRDefault="00F349E2" w:rsidP="00A96C3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12881947"/>
        <w:docPartObj>
          <w:docPartGallery w:val="Bibliographies"/>
          <w:docPartUnique/>
        </w:docPartObj>
      </w:sdtPr>
      <w:sdtEndPr/>
      <w:sdtContent>
        <w:p w14:paraId="53A2C854" w14:textId="16747B46" w:rsidR="000F3B88" w:rsidRDefault="000F3B88">
          <w:pPr>
            <w:pStyle w:val="Heading1"/>
            <w:rPr>
              <w:color w:val="auto"/>
            </w:rPr>
          </w:pPr>
          <w:r w:rsidRPr="000F3B88">
            <w:rPr>
              <w:color w:val="auto"/>
            </w:rPr>
            <w:t>References</w:t>
          </w:r>
        </w:p>
        <w:p w14:paraId="0DA9E587" w14:textId="77777777" w:rsidR="000F3B88" w:rsidRPr="000F3B88" w:rsidRDefault="000F3B88" w:rsidP="000F3B88"/>
        <w:sdt>
          <w:sdtPr>
            <w:id w:val="-573587230"/>
            <w:bibliography/>
          </w:sdtPr>
          <w:sdtEndPr/>
          <w:sdtContent>
            <w:p w14:paraId="07B97785" w14:textId="77777777" w:rsidR="000F3B88" w:rsidRDefault="000F3B88" w:rsidP="000F3B88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Under Armour Inc. (2019, May 1). </w:t>
              </w:r>
              <w:r>
                <w:rPr>
                  <w:i/>
                  <w:iCs/>
                  <w:noProof/>
                </w:rPr>
                <w:t>Annual report which provides a comprehensive overview of the company for the past year</w:t>
              </w:r>
              <w:r>
                <w:rPr>
                  <w:noProof/>
                </w:rPr>
                <w:t>. Retrieved May 4, 2019, from Under Armour: https://about.underarmour.com/investor-relations/financials#module-3</w:t>
              </w:r>
            </w:p>
            <w:p w14:paraId="26EC1C1A" w14:textId="01FFE0DC" w:rsidR="000F3B88" w:rsidRDefault="000F3B88" w:rsidP="000F3B8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2BE4AC6" w14:textId="49F4E9F4" w:rsidR="00055885" w:rsidRDefault="00055885" w:rsidP="00810E33">
      <w:pPr>
        <w:spacing w:after="0" w:line="480" w:lineRule="auto"/>
        <w:rPr>
          <w:sz w:val="24"/>
          <w:szCs w:val="24"/>
        </w:rPr>
      </w:pPr>
    </w:p>
    <w:p w14:paraId="1ABAD14C" w14:textId="0BFC0211" w:rsidR="00B87419" w:rsidRDefault="00B874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969783" w14:textId="70550ED9" w:rsidR="00E4274A" w:rsidRDefault="00B87419" w:rsidP="00810E33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Appendix A</w:t>
      </w:r>
    </w:p>
    <w:p w14:paraId="4D5E1D13" w14:textId="00B3DAD2" w:rsidR="0092772C" w:rsidRDefault="006C5764" w:rsidP="00810E33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See Attachment for Company Analysis and Company information tables</w:t>
      </w:r>
    </w:p>
    <w:bookmarkStart w:id="0" w:name="_MON_1661855131"/>
    <w:bookmarkEnd w:id="0"/>
    <w:p w14:paraId="0EDE512E" w14:textId="4D79D62A" w:rsidR="0092772C" w:rsidRDefault="00072301" w:rsidP="00810E33">
      <w:pPr>
        <w:spacing w:after="0"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object w:dxaOrig="1526" w:dyaOrig="979" w14:anchorId="480731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76.2pt;height:49.2pt" o:ole="">
            <v:imagedata r:id="rId7" o:title=""/>
          </v:shape>
          <o:OLEObject Type="Embed" ProgID="Excel.Sheet.12" ShapeID="_x0000_i1027" DrawAspect="Icon" ObjectID="_1661855374" r:id="rId8"/>
        </w:object>
      </w:r>
    </w:p>
    <w:p w14:paraId="09A49D1A" w14:textId="43112FEB" w:rsidR="00D81807" w:rsidRDefault="00D81807" w:rsidP="00810E33">
      <w:pPr>
        <w:spacing w:after="0" w:line="480" w:lineRule="auto"/>
        <w:rPr>
          <w:sz w:val="24"/>
          <w:szCs w:val="24"/>
        </w:rPr>
      </w:pPr>
    </w:p>
    <w:p w14:paraId="6753E0B9" w14:textId="17E1130B" w:rsidR="004D4BD7" w:rsidRDefault="004D4BD7" w:rsidP="00810E33">
      <w:pPr>
        <w:spacing w:after="0" w:line="480" w:lineRule="auto"/>
        <w:rPr>
          <w:sz w:val="24"/>
          <w:szCs w:val="24"/>
        </w:rPr>
      </w:pPr>
    </w:p>
    <w:p w14:paraId="30A44DCF" w14:textId="762BECA8" w:rsidR="004D4BD7" w:rsidRDefault="004D4BD7" w:rsidP="00810E33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Appendix B</w:t>
      </w:r>
    </w:p>
    <w:p w14:paraId="6BAA7932" w14:textId="77777777" w:rsidR="004D4BD7" w:rsidRDefault="004D4BD7" w:rsidP="000B2FBF">
      <w:pPr>
        <w:jc w:val="center"/>
      </w:pPr>
      <w:r>
        <w:rPr>
          <w:b/>
          <w:sz w:val="32"/>
          <w:szCs w:val="32"/>
        </w:rPr>
        <w:t>Financial Statement Analysis Rubric</w:t>
      </w:r>
    </w:p>
    <w:p w14:paraId="05F8570C" w14:textId="77777777" w:rsidR="004D4BD7" w:rsidRDefault="004D4BD7" w:rsidP="008C4C2D">
      <w:pPr>
        <w:jc w:val="center"/>
      </w:pPr>
      <w:r>
        <w:t>Total 100 points</w:t>
      </w:r>
    </w:p>
    <w:p w14:paraId="23301FC8" w14:textId="77777777" w:rsidR="004D4BD7" w:rsidRDefault="004D4BD7" w:rsidP="008C4C2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931"/>
        <w:gridCol w:w="1956"/>
        <w:gridCol w:w="1956"/>
        <w:gridCol w:w="1742"/>
      </w:tblGrid>
      <w:tr w:rsidR="004D4BD7" w14:paraId="65DB1156" w14:textId="77777777" w:rsidTr="0037579A">
        <w:tc>
          <w:tcPr>
            <w:tcW w:w="1765" w:type="dxa"/>
          </w:tcPr>
          <w:p w14:paraId="08400CE2" w14:textId="77777777" w:rsidR="004D4BD7" w:rsidRPr="00C0369B" w:rsidRDefault="004D4BD7">
            <w:pPr>
              <w:rPr>
                <w:b/>
              </w:rPr>
            </w:pPr>
            <w:r w:rsidRPr="00C0369B">
              <w:rPr>
                <w:b/>
              </w:rPr>
              <w:t>Criteria</w:t>
            </w:r>
          </w:p>
        </w:tc>
        <w:tc>
          <w:tcPr>
            <w:tcW w:w="1931" w:type="dxa"/>
          </w:tcPr>
          <w:p w14:paraId="1C3AE9AF" w14:textId="77777777" w:rsidR="004D4BD7" w:rsidRPr="00C0369B" w:rsidRDefault="004D4BD7" w:rsidP="00C0369B">
            <w:pPr>
              <w:jc w:val="center"/>
              <w:rPr>
                <w:b/>
              </w:rPr>
            </w:pPr>
            <w:r w:rsidRPr="00C0369B">
              <w:rPr>
                <w:b/>
              </w:rPr>
              <w:t>Unacceptable</w:t>
            </w:r>
          </w:p>
        </w:tc>
        <w:tc>
          <w:tcPr>
            <w:tcW w:w="1956" w:type="dxa"/>
          </w:tcPr>
          <w:p w14:paraId="1B239F2A" w14:textId="77777777" w:rsidR="004D4BD7" w:rsidRPr="00C0369B" w:rsidRDefault="004D4BD7" w:rsidP="00C0369B">
            <w:pPr>
              <w:jc w:val="center"/>
              <w:rPr>
                <w:b/>
              </w:rPr>
            </w:pPr>
            <w:r w:rsidRPr="00C0369B">
              <w:rPr>
                <w:b/>
              </w:rPr>
              <w:t>Acceptable</w:t>
            </w:r>
          </w:p>
        </w:tc>
        <w:tc>
          <w:tcPr>
            <w:tcW w:w="1956" w:type="dxa"/>
          </w:tcPr>
          <w:p w14:paraId="409DD7C3" w14:textId="77777777" w:rsidR="004D4BD7" w:rsidRPr="00C0369B" w:rsidRDefault="004D4BD7" w:rsidP="00C0369B">
            <w:pPr>
              <w:jc w:val="center"/>
              <w:rPr>
                <w:b/>
              </w:rPr>
            </w:pPr>
            <w:r w:rsidRPr="00C0369B">
              <w:rPr>
                <w:b/>
              </w:rPr>
              <w:t>Proficient</w:t>
            </w:r>
          </w:p>
        </w:tc>
        <w:tc>
          <w:tcPr>
            <w:tcW w:w="1742" w:type="dxa"/>
          </w:tcPr>
          <w:p w14:paraId="026B34F3" w14:textId="77777777" w:rsidR="004D4BD7" w:rsidRPr="00C0369B" w:rsidRDefault="004D4BD7" w:rsidP="00C0369B">
            <w:pPr>
              <w:jc w:val="center"/>
              <w:rPr>
                <w:b/>
              </w:rPr>
            </w:pPr>
            <w:r>
              <w:rPr>
                <w:b/>
              </w:rPr>
              <w:t>Student Score and Comments</w:t>
            </w:r>
          </w:p>
        </w:tc>
      </w:tr>
      <w:tr w:rsidR="004D4BD7" w14:paraId="1749EF4C" w14:textId="77777777" w:rsidTr="0037579A">
        <w:trPr>
          <w:trHeight w:val="1673"/>
        </w:trPr>
        <w:tc>
          <w:tcPr>
            <w:tcW w:w="1765" w:type="dxa"/>
          </w:tcPr>
          <w:p w14:paraId="2034FFE4" w14:textId="77777777" w:rsidR="004D4BD7" w:rsidRPr="00370CD0" w:rsidRDefault="004D4B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Accurately completes </w:t>
            </w:r>
            <w:proofErr w:type="gramStart"/>
            <w:r>
              <w:rPr>
                <w:rFonts w:ascii="Calibri" w:hAnsi="Calibri" w:cs="Calibri"/>
                <w:color w:val="000000"/>
              </w:rPr>
              <w:t>the  company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analysis worksheet.</w:t>
            </w:r>
          </w:p>
        </w:tc>
        <w:tc>
          <w:tcPr>
            <w:tcW w:w="1931" w:type="dxa"/>
          </w:tcPr>
          <w:p w14:paraId="2C498AAC" w14:textId="77777777" w:rsidR="004D4BD7" w:rsidRDefault="004D4BD7" w:rsidP="0026239E">
            <w:r>
              <w:t>Does not accurately complete the ratio analysis and/or interpretations.</w:t>
            </w:r>
          </w:p>
          <w:p w14:paraId="1C59AED8" w14:textId="77777777" w:rsidR="004D4BD7" w:rsidRDefault="004D4BD7" w:rsidP="0026239E"/>
          <w:p w14:paraId="37955D73" w14:textId="77777777" w:rsidR="004D4BD7" w:rsidRDefault="004D4BD7" w:rsidP="0026239E"/>
          <w:p w14:paraId="782EDB77" w14:textId="77777777" w:rsidR="004D4BD7" w:rsidRDefault="004D4BD7" w:rsidP="0026239E"/>
          <w:p w14:paraId="38A66A81" w14:textId="77777777" w:rsidR="004D4BD7" w:rsidRDefault="004D4BD7" w:rsidP="0026239E"/>
          <w:p w14:paraId="63509D85" w14:textId="77777777" w:rsidR="004D4BD7" w:rsidRDefault="004D4BD7" w:rsidP="0026239E">
            <w:r>
              <w:t>(0-9 points)</w:t>
            </w:r>
          </w:p>
        </w:tc>
        <w:tc>
          <w:tcPr>
            <w:tcW w:w="1956" w:type="dxa"/>
          </w:tcPr>
          <w:p w14:paraId="26B7DC2C" w14:textId="77777777" w:rsidR="004D4BD7" w:rsidRDefault="004D4BD7" w:rsidP="002623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 the most, accurately completes the ratio analysis and/or interpretations, and links most formulas.</w:t>
            </w:r>
          </w:p>
          <w:p w14:paraId="76864A30" w14:textId="77777777" w:rsidR="004D4BD7" w:rsidRDefault="004D4BD7" w:rsidP="0026239E">
            <w:pPr>
              <w:rPr>
                <w:rFonts w:ascii="Calibri" w:hAnsi="Calibri" w:cs="Calibri"/>
                <w:color w:val="000000"/>
              </w:rPr>
            </w:pPr>
          </w:p>
          <w:p w14:paraId="18D91B36" w14:textId="77777777" w:rsidR="004D4BD7" w:rsidRPr="00370CD0" w:rsidRDefault="004D4BD7" w:rsidP="002623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(10-17 points)</w:t>
            </w:r>
          </w:p>
        </w:tc>
        <w:tc>
          <w:tcPr>
            <w:tcW w:w="1956" w:type="dxa"/>
          </w:tcPr>
          <w:p w14:paraId="5BF59F30" w14:textId="77777777" w:rsidR="004D4BD7" w:rsidRDefault="004D4BD7" w:rsidP="002623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Accurately completes the ratio analysis and </w:t>
            </w:r>
            <w:proofErr w:type="gramStart"/>
            <w:r>
              <w:rPr>
                <w:rFonts w:ascii="Calibri" w:hAnsi="Calibri" w:cs="Calibri"/>
                <w:color w:val="000000"/>
              </w:rPr>
              <w:t>interpretations, and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links all formulas.</w:t>
            </w:r>
          </w:p>
          <w:p w14:paraId="78E8D398" w14:textId="77777777" w:rsidR="004D4BD7" w:rsidRDefault="004D4BD7" w:rsidP="0026239E">
            <w:pPr>
              <w:rPr>
                <w:rFonts w:ascii="Calibri" w:hAnsi="Calibri" w:cs="Calibri"/>
                <w:color w:val="000000"/>
              </w:rPr>
            </w:pPr>
          </w:p>
          <w:p w14:paraId="170A6249" w14:textId="77777777" w:rsidR="004D4BD7" w:rsidRDefault="004D4BD7" w:rsidP="0026239E">
            <w:pPr>
              <w:rPr>
                <w:rFonts w:ascii="Calibri" w:hAnsi="Calibri" w:cs="Calibri"/>
                <w:color w:val="000000"/>
              </w:rPr>
            </w:pPr>
          </w:p>
          <w:p w14:paraId="04694BF0" w14:textId="77777777" w:rsidR="004D4BD7" w:rsidRDefault="004D4BD7" w:rsidP="0026239E">
            <w:pPr>
              <w:rPr>
                <w:rFonts w:ascii="Calibri" w:hAnsi="Calibri" w:cs="Calibri"/>
                <w:color w:val="000000"/>
              </w:rPr>
            </w:pPr>
          </w:p>
          <w:p w14:paraId="5692D941" w14:textId="77777777" w:rsidR="004D4BD7" w:rsidRPr="00370CD0" w:rsidRDefault="004D4BD7" w:rsidP="002623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(18-25 points)</w:t>
            </w:r>
          </w:p>
        </w:tc>
        <w:tc>
          <w:tcPr>
            <w:tcW w:w="1742" w:type="dxa"/>
          </w:tcPr>
          <w:p w14:paraId="5AA56CC0" w14:textId="77777777" w:rsidR="004D4BD7" w:rsidRDefault="004D4BD7" w:rsidP="0026239E">
            <w:pPr>
              <w:rPr>
                <w:rFonts w:cs="Times New Roman"/>
              </w:rPr>
            </w:pPr>
          </w:p>
        </w:tc>
      </w:tr>
      <w:tr w:rsidR="004D4BD7" w14:paraId="0000DA2F" w14:textId="77777777" w:rsidTr="0037579A">
        <w:tc>
          <w:tcPr>
            <w:tcW w:w="1765" w:type="dxa"/>
          </w:tcPr>
          <w:p w14:paraId="0A6DFF85" w14:textId="77777777" w:rsidR="004D4BD7" w:rsidRDefault="004D4BD7">
            <w:r>
              <w:t>Develops an opening paragraph that introduces and accurately describes the company.</w:t>
            </w:r>
          </w:p>
          <w:p w14:paraId="38F03AAD" w14:textId="77777777" w:rsidR="004D4BD7" w:rsidRDefault="004D4BD7"/>
          <w:p w14:paraId="7307E2E0" w14:textId="77777777" w:rsidR="004D4BD7" w:rsidRDefault="004D4BD7"/>
          <w:p w14:paraId="10979806" w14:textId="77777777" w:rsidR="004D4BD7" w:rsidRDefault="004D4BD7" w:rsidP="0026239E"/>
        </w:tc>
        <w:tc>
          <w:tcPr>
            <w:tcW w:w="1931" w:type="dxa"/>
          </w:tcPr>
          <w:p w14:paraId="22AFE058" w14:textId="77777777" w:rsidR="004D4BD7" w:rsidRDefault="004D4BD7" w:rsidP="0026239E">
            <w:pPr>
              <w:rPr>
                <w:rFonts w:cs="Times New Roman"/>
              </w:rPr>
            </w:pPr>
            <w:r>
              <w:t>Vaguely develops an opening paragraph that introduces the company and identifies few to none of the facts requested.</w:t>
            </w:r>
          </w:p>
          <w:p w14:paraId="503E525B" w14:textId="77777777" w:rsidR="004D4BD7" w:rsidRDefault="004D4BD7" w:rsidP="0026239E">
            <w:pPr>
              <w:rPr>
                <w:rFonts w:cs="Times New Roman"/>
              </w:rPr>
            </w:pPr>
          </w:p>
          <w:p w14:paraId="01EA445B" w14:textId="77777777" w:rsidR="004D4BD7" w:rsidRPr="001A51F3" w:rsidRDefault="004D4BD7" w:rsidP="00555C24">
            <w:pPr>
              <w:rPr>
                <w:rFonts w:cs="Times New Roman"/>
              </w:rPr>
            </w:pPr>
            <w:r>
              <w:rPr>
                <w:rFonts w:cs="Times New Roman"/>
              </w:rPr>
              <w:t>(0-10 points)</w:t>
            </w:r>
          </w:p>
        </w:tc>
        <w:tc>
          <w:tcPr>
            <w:tcW w:w="1956" w:type="dxa"/>
          </w:tcPr>
          <w:p w14:paraId="134CFBA0" w14:textId="77777777" w:rsidR="004D4BD7" w:rsidRDefault="004D4BD7" w:rsidP="0026239E">
            <w:pPr>
              <w:rPr>
                <w:rFonts w:cs="Times New Roman"/>
              </w:rPr>
            </w:pPr>
            <w:r>
              <w:t>Develops an opening paragraph that introduces the company and/or identifies few of the facts requested</w:t>
            </w:r>
            <w:r w:rsidRPr="001A51F3">
              <w:rPr>
                <w:rFonts w:cs="Times New Roman"/>
              </w:rPr>
              <w:t>.</w:t>
            </w:r>
          </w:p>
          <w:p w14:paraId="0B5DF52F" w14:textId="77777777" w:rsidR="004D4BD7" w:rsidRDefault="004D4BD7" w:rsidP="0026239E">
            <w:pPr>
              <w:rPr>
                <w:rFonts w:cs="Times New Roman"/>
              </w:rPr>
            </w:pPr>
          </w:p>
          <w:p w14:paraId="2E93BE34" w14:textId="77777777" w:rsidR="004D4BD7" w:rsidRDefault="004D4BD7" w:rsidP="0026239E">
            <w:pPr>
              <w:rPr>
                <w:rFonts w:cs="Times New Roman"/>
              </w:rPr>
            </w:pPr>
          </w:p>
          <w:p w14:paraId="74F49838" w14:textId="77777777" w:rsidR="004D4BD7" w:rsidRPr="001A51F3" w:rsidRDefault="004D4BD7" w:rsidP="0045486F">
            <w:pPr>
              <w:rPr>
                <w:rFonts w:cs="Times New Roman"/>
              </w:rPr>
            </w:pPr>
            <w:r>
              <w:rPr>
                <w:rFonts w:cs="Times New Roman"/>
              </w:rPr>
              <w:t>(11-13 points)</w:t>
            </w:r>
          </w:p>
        </w:tc>
        <w:tc>
          <w:tcPr>
            <w:tcW w:w="1956" w:type="dxa"/>
          </w:tcPr>
          <w:p w14:paraId="6680998C" w14:textId="77777777" w:rsidR="004D4BD7" w:rsidRDefault="004D4BD7" w:rsidP="0026239E">
            <w:pPr>
              <w:rPr>
                <w:rFonts w:cs="Times New Roman"/>
              </w:rPr>
            </w:pPr>
            <w:r>
              <w:t xml:space="preserve">Develops an opening paragraph that introduces the company, identifies the facts requested, </w:t>
            </w:r>
            <w:r w:rsidRPr="001A51F3">
              <w:rPr>
                <w:rFonts w:cs="Times New Roman"/>
              </w:rPr>
              <w:t>and demonstrates solid ability to accomplish the assignment.</w:t>
            </w:r>
          </w:p>
          <w:p w14:paraId="6E8F7DC7" w14:textId="77777777" w:rsidR="004D4BD7" w:rsidRDefault="004D4BD7" w:rsidP="0026239E">
            <w:pPr>
              <w:rPr>
                <w:rFonts w:cs="Times New Roman"/>
              </w:rPr>
            </w:pPr>
          </w:p>
          <w:p w14:paraId="11D9270B" w14:textId="77777777" w:rsidR="004D4BD7" w:rsidRPr="001A51F3" w:rsidRDefault="004D4BD7" w:rsidP="00347352">
            <w:pPr>
              <w:rPr>
                <w:rFonts w:cs="Times New Roman"/>
              </w:rPr>
            </w:pPr>
            <w:r>
              <w:rPr>
                <w:rFonts w:cs="Times New Roman"/>
              </w:rPr>
              <w:t>(14-15 points)</w:t>
            </w:r>
          </w:p>
        </w:tc>
        <w:tc>
          <w:tcPr>
            <w:tcW w:w="1742" w:type="dxa"/>
          </w:tcPr>
          <w:p w14:paraId="52BB8C43" w14:textId="77777777" w:rsidR="004D4BD7" w:rsidRDefault="004D4BD7" w:rsidP="0026239E">
            <w:pPr>
              <w:rPr>
                <w:rFonts w:cs="Times New Roman"/>
              </w:rPr>
            </w:pPr>
          </w:p>
        </w:tc>
      </w:tr>
      <w:tr w:rsidR="004D4BD7" w14:paraId="2B7CC0CE" w14:textId="77777777" w:rsidTr="0037579A">
        <w:tc>
          <w:tcPr>
            <w:tcW w:w="1765" w:type="dxa"/>
          </w:tcPr>
          <w:p w14:paraId="3BBEE982" w14:textId="77777777" w:rsidR="004D4BD7" w:rsidRDefault="004D4BD7" w:rsidP="00A248D0">
            <w:pPr>
              <w:pStyle w:val="NormalWeb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Analytically discusses</w:t>
            </w:r>
            <w:r w:rsidRPr="00A248D0">
              <w:rPr>
                <w:rFonts w:asciiTheme="minorHAnsi" w:hAnsiTheme="minorHAnsi" w:cstheme="minorHAnsi"/>
                <w:sz w:val="22"/>
                <w:szCs w:val="22"/>
              </w:rPr>
              <w:t xml:space="preserve"> the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analysis</w:t>
            </w:r>
            <w:r w:rsidRPr="00A248D0">
              <w:rPr>
                <w:rFonts w:asciiTheme="minorHAnsi" w:hAnsiTheme="minorHAnsi" w:cstheme="minorHAnsi"/>
                <w:sz w:val="22"/>
                <w:szCs w:val="22"/>
              </w:rPr>
              <w:t xml:space="preserve"> results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and integrates established accounting principles into the discussion.</w:t>
            </w:r>
          </w:p>
          <w:p w14:paraId="2610EF0E" w14:textId="77777777" w:rsidR="004D4BD7" w:rsidRPr="00A248D0" w:rsidRDefault="004D4BD7" w:rsidP="00A248D0">
            <w:pPr>
              <w:pStyle w:val="NormalWeb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31" w:type="dxa"/>
          </w:tcPr>
          <w:p w14:paraId="72AFB0A4" w14:textId="77777777" w:rsidR="004D4BD7" w:rsidRPr="00A248D0" w:rsidRDefault="004D4BD7" w:rsidP="00A248D0">
            <w:pPr>
              <w:contextualSpacing/>
              <w:rPr>
                <w:rFonts w:cstheme="minorHAnsi"/>
              </w:rPr>
            </w:pPr>
            <w:r w:rsidRPr="00A248D0">
              <w:rPr>
                <w:rFonts w:cstheme="minorHAnsi"/>
              </w:rPr>
              <w:lastRenderedPageBreak/>
              <w:t xml:space="preserve">Vaguely discusses the </w:t>
            </w:r>
            <w:r>
              <w:rPr>
                <w:rFonts w:cstheme="minorHAnsi"/>
              </w:rPr>
              <w:t xml:space="preserve">company </w:t>
            </w:r>
            <w:r>
              <w:rPr>
                <w:rFonts w:cstheme="minorHAnsi"/>
              </w:rPr>
              <w:lastRenderedPageBreak/>
              <w:t>analysis results and rarely integrates accounting principles into the discussion</w:t>
            </w:r>
            <w:r w:rsidRPr="00A248D0">
              <w:rPr>
                <w:rFonts w:cstheme="minorHAnsi"/>
              </w:rPr>
              <w:t>.</w:t>
            </w:r>
          </w:p>
          <w:p w14:paraId="59188B7F" w14:textId="77777777" w:rsidR="004D4BD7" w:rsidRPr="00A248D0" w:rsidRDefault="004D4BD7" w:rsidP="00A248D0">
            <w:pPr>
              <w:contextualSpacing/>
              <w:rPr>
                <w:rFonts w:cstheme="minorHAnsi"/>
              </w:rPr>
            </w:pPr>
          </w:p>
          <w:p w14:paraId="1DAC7429" w14:textId="77777777" w:rsidR="004D4BD7" w:rsidRPr="00A248D0" w:rsidRDefault="004D4BD7" w:rsidP="00A248D0">
            <w:pPr>
              <w:contextualSpacing/>
              <w:rPr>
                <w:rFonts w:cstheme="minorHAnsi"/>
              </w:rPr>
            </w:pPr>
            <w:r w:rsidRPr="00A248D0">
              <w:rPr>
                <w:rFonts w:cstheme="minorHAnsi"/>
              </w:rPr>
              <w:t>(0-</w:t>
            </w:r>
            <w:r>
              <w:rPr>
                <w:rFonts w:cstheme="minorHAnsi"/>
              </w:rPr>
              <w:t>14</w:t>
            </w:r>
            <w:r w:rsidRPr="00A248D0">
              <w:rPr>
                <w:rFonts w:cstheme="minorHAnsi"/>
              </w:rPr>
              <w:t xml:space="preserve"> points)</w:t>
            </w:r>
          </w:p>
        </w:tc>
        <w:tc>
          <w:tcPr>
            <w:tcW w:w="1956" w:type="dxa"/>
          </w:tcPr>
          <w:p w14:paraId="7BF10762" w14:textId="77777777" w:rsidR="004D4BD7" w:rsidRPr="00A248D0" w:rsidRDefault="004D4BD7" w:rsidP="00A248D0">
            <w:pPr>
              <w:contextualSpacing/>
              <w:rPr>
                <w:rFonts w:cstheme="minorHAnsi"/>
              </w:rPr>
            </w:pPr>
            <w:r w:rsidRPr="00A248D0">
              <w:rPr>
                <w:rFonts w:cstheme="minorHAnsi"/>
              </w:rPr>
              <w:lastRenderedPageBreak/>
              <w:t xml:space="preserve">For the most part </w:t>
            </w:r>
            <w:r>
              <w:rPr>
                <w:rFonts w:cstheme="minorHAnsi"/>
              </w:rPr>
              <w:t xml:space="preserve">accurately </w:t>
            </w:r>
            <w:r>
              <w:rPr>
                <w:rFonts w:cstheme="minorHAnsi"/>
              </w:rPr>
              <w:lastRenderedPageBreak/>
              <w:t>discusses</w:t>
            </w:r>
            <w:r w:rsidRPr="00A248D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the company analysis results and does a good job of integrating accounting principles into the discussion.</w:t>
            </w:r>
            <w:r w:rsidRPr="00A248D0">
              <w:rPr>
                <w:rFonts w:cstheme="minorHAnsi"/>
              </w:rPr>
              <w:t xml:space="preserve"> </w:t>
            </w:r>
          </w:p>
          <w:p w14:paraId="68B5272C" w14:textId="77777777" w:rsidR="004D4BD7" w:rsidRPr="00A248D0" w:rsidRDefault="004D4BD7" w:rsidP="00A248D0">
            <w:pPr>
              <w:contextualSpacing/>
              <w:rPr>
                <w:rFonts w:cstheme="minorHAnsi"/>
              </w:rPr>
            </w:pPr>
          </w:p>
          <w:p w14:paraId="08ACA478" w14:textId="77777777" w:rsidR="004D4BD7" w:rsidRPr="00A248D0" w:rsidRDefault="004D4BD7" w:rsidP="00A248D0">
            <w:pPr>
              <w:contextualSpacing/>
              <w:rPr>
                <w:rFonts w:cstheme="minorHAnsi"/>
              </w:rPr>
            </w:pPr>
            <w:r w:rsidRPr="00A248D0">
              <w:rPr>
                <w:rFonts w:cstheme="minorHAnsi"/>
              </w:rPr>
              <w:t>(</w:t>
            </w:r>
            <w:r>
              <w:rPr>
                <w:rFonts w:cstheme="minorHAnsi"/>
              </w:rPr>
              <w:t>15</w:t>
            </w:r>
            <w:r w:rsidRPr="00A248D0">
              <w:rPr>
                <w:rFonts w:cstheme="minorHAnsi"/>
              </w:rPr>
              <w:t>-</w:t>
            </w:r>
            <w:r>
              <w:rPr>
                <w:rFonts w:cstheme="minorHAnsi"/>
              </w:rPr>
              <w:t>24</w:t>
            </w:r>
            <w:r w:rsidRPr="00A248D0">
              <w:rPr>
                <w:rFonts w:cstheme="minorHAnsi"/>
              </w:rPr>
              <w:t xml:space="preserve"> points)</w:t>
            </w:r>
          </w:p>
        </w:tc>
        <w:tc>
          <w:tcPr>
            <w:tcW w:w="1956" w:type="dxa"/>
          </w:tcPr>
          <w:p w14:paraId="622E4F22" w14:textId="77777777" w:rsidR="004D4BD7" w:rsidRDefault="004D4BD7" w:rsidP="00A248D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Thoroughly and accurately </w:t>
            </w:r>
            <w:r w:rsidRPr="00A248D0">
              <w:rPr>
                <w:rFonts w:cstheme="minorHAnsi"/>
              </w:rPr>
              <w:lastRenderedPageBreak/>
              <w:t xml:space="preserve">discusses the </w:t>
            </w:r>
            <w:r>
              <w:rPr>
                <w:rFonts w:cstheme="minorHAnsi"/>
              </w:rPr>
              <w:t>analysis</w:t>
            </w:r>
            <w:r w:rsidRPr="00A248D0">
              <w:rPr>
                <w:rFonts w:cstheme="minorHAnsi"/>
              </w:rPr>
              <w:t xml:space="preserve"> and </w:t>
            </w:r>
            <w:r>
              <w:rPr>
                <w:rFonts w:cstheme="minorHAnsi"/>
              </w:rPr>
              <w:t>strongly establishes accounting principles into the discussion.</w:t>
            </w:r>
          </w:p>
          <w:p w14:paraId="259EA664" w14:textId="77777777" w:rsidR="004D4BD7" w:rsidRPr="00A248D0" w:rsidRDefault="004D4BD7" w:rsidP="00A248D0">
            <w:pPr>
              <w:contextualSpacing/>
              <w:rPr>
                <w:rFonts w:cstheme="minorHAnsi"/>
              </w:rPr>
            </w:pPr>
          </w:p>
          <w:p w14:paraId="52621867" w14:textId="77777777" w:rsidR="004D4BD7" w:rsidRPr="00A248D0" w:rsidRDefault="004D4BD7" w:rsidP="00A248D0">
            <w:pPr>
              <w:contextualSpacing/>
              <w:rPr>
                <w:rFonts w:cstheme="minorHAnsi"/>
              </w:rPr>
            </w:pPr>
            <w:r w:rsidRPr="00A248D0">
              <w:rPr>
                <w:rFonts w:cstheme="minorHAnsi"/>
              </w:rPr>
              <w:t>(</w:t>
            </w:r>
            <w:r>
              <w:rPr>
                <w:rFonts w:cstheme="minorHAnsi"/>
              </w:rPr>
              <w:t>25</w:t>
            </w:r>
            <w:r w:rsidRPr="00A248D0">
              <w:rPr>
                <w:rFonts w:cstheme="minorHAnsi"/>
              </w:rPr>
              <w:t>-</w:t>
            </w:r>
            <w:r>
              <w:rPr>
                <w:rFonts w:cstheme="minorHAnsi"/>
              </w:rPr>
              <w:t>30</w:t>
            </w:r>
            <w:r w:rsidRPr="00A248D0">
              <w:rPr>
                <w:rFonts w:cstheme="minorHAnsi"/>
              </w:rPr>
              <w:t xml:space="preserve"> points)</w:t>
            </w:r>
          </w:p>
        </w:tc>
        <w:tc>
          <w:tcPr>
            <w:tcW w:w="1742" w:type="dxa"/>
          </w:tcPr>
          <w:p w14:paraId="184F0B9A" w14:textId="77777777" w:rsidR="004D4BD7" w:rsidRDefault="004D4BD7" w:rsidP="00A248D0"/>
        </w:tc>
      </w:tr>
      <w:tr w:rsidR="004D4BD7" w14:paraId="276243FC" w14:textId="77777777" w:rsidTr="0037579A">
        <w:tc>
          <w:tcPr>
            <w:tcW w:w="1765" w:type="dxa"/>
          </w:tcPr>
          <w:p w14:paraId="6BFD589A" w14:textId="77777777" w:rsidR="004D4BD7" w:rsidRDefault="004D4BD7" w:rsidP="00A248D0">
            <w:pPr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  <w:r w:rsidRPr="001A51F3">
              <w:rPr>
                <w:rFonts w:cs="Times New Roman"/>
              </w:rPr>
              <w:t>evelops</w:t>
            </w:r>
            <w:r>
              <w:rPr>
                <w:rFonts w:cs="Times New Roman"/>
              </w:rPr>
              <w:t xml:space="preserve"> a clear recommendation that is supported with ratio analysis</w:t>
            </w:r>
            <w:r w:rsidRPr="001A51F3">
              <w:rPr>
                <w:rFonts w:cs="Times New Roman"/>
              </w:rPr>
              <w:t>.</w:t>
            </w:r>
          </w:p>
          <w:p w14:paraId="713D0DDE" w14:textId="77777777" w:rsidR="004D4BD7" w:rsidRPr="001A51F3" w:rsidRDefault="004D4BD7" w:rsidP="00A248D0"/>
        </w:tc>
        <w:tc>
          <w:tcPr>
            <w:tcW w:w="1931" w:type="dxa"/>
          </w:tcPr>
          <w:p w14:paraId="4E49FCA7" w14:textId="77777777" w:rsidR="004D4BD7" w:rsidRDefault="004D4BD7" w:rsidP="00A248D0">
            <w:pPr>
              <w:rPr>
                <w:rFonts w:cs="Times New Roman"/>
              </w:rPr>
            </w:pPr>
            <w:r w:rsidRPr="001A51F3">
              <w:rPr>
                <w:rFonts w:cs="Times New Roman"/>
              </w:rPr>
              <w:t>Demonstrates little clarity and logic. Readers have difficulty following the line of reasoning.</w:t>
            </w:r>
          </w:p>
          <w:p w14:paraId="076E6804" w14:textId="77777777" w:rsidR="004D4BD7" w:rsidRDefault="004D4BD7" w:rsidP="00A248D0"/>
          <w:p w14:paraId="319910A9" w14:textId="77777777" w:rsidR="004D4BD7" w:rsidRDefault="004D4BD7" w:rsidP="00A248D0"/>
          <w:p w14:paraId="5820E781" w14:textId="77777777" w:rsidR="004D4BD7" w:rsidRPr="001A51F3" w:rsidRDefault="004D4BD7" w:rsidP="00A248D0">
            <w:pPr>
              <w:rPr>
                <w:rFonts w:cs="Times New Roman"/>
              </w:rPr>
            </w:pPr>
            <w:r>
              <w:t>(0-7 points)</w:t>
            </w:r>
          </w:p>
        </w:tc>
        <w:tc>
          <w:tcPr>
            <w:tcW w:w="1956" w:type="dxa"/>
          </w:tcPr>
          <w:p w14:paraId="015E1DFA" w14:textId="77777777" w:rsidR="004D4BD7" w:rsidRDefault="004D4BD7" w:rsidP="00A248D0">
            <w:pPr>
              <w:rPr>
                <w:rFonts w:cs="Times New Roman"/>
              </w:rPr>
            </w:pPr>
            <w:r w:rsidRPr="001A51F3">
              <w:rPr>
                <w:rFonts w:cs="Times New Roman"/>
              </w:rPr>
              <w:t xml:space="preserve">Develops </w:t>
            </w:r>
            <w:r>
              <w:rPr>
                <w:rFonts w:cs="Times New Roman"/>
              </w:rPr>
              <w:t xml:space="preserve">a recommendation </w:t>
            </w:r>
            <w:r w:rsidRPr="001A51F3">
              <w:rPr>
                <w:rFonts w:cs="Times New Roman"/>
              </w:rPr>
              <w:t xml:space="preserve">with clarity and logic. </w:t>
            </w:r>
            <w:r>
              <w:rPr>
                <w:rFonts w:cs="Times New Roman"/>
              </w:rPr>
              <w:t>The recommendation is somewhat supported with interpretations of ratio analysis.</w:t>
            </w:r>
          </w:p>
          <w:p w14:paraId="12B0B8B2" w14:textId="77777777" w:rsidR="004D4BD7" w:rsidRDefault="004D4BD7" w:rsidP="00A248D0">
            <w:pPr>
              <w:rPr>
                <w:rFonts w:cs="Times New Roman"/>
              </w:rPr>
            </w:pPr>
          </w:p>
          <w:p w14:paraId="20AA32F9" w14:textId="77777777" w:rsidR="004D4BD7" w:rsidRPr="001A51F3" w:rsidRDefault="004D4BD7" w:rsidP="00A248D0">
            <w:pPr>
              <w:rPr>
                <w:rFonts w:cs="Times New Roman"/>
              </w:rPr>
            </w:pPr>
            <w:r>
              <w:t>(8-14 points)</w:t>
            </w:r>
          </w:p>
        </w:tc>
        <w:tc>
          <w:tcPr>
            <w:tcW w:w="1956" w:type="dxa"/>
          </w:tcPr>
          <w:p w14:paraId="3C72432D" w14:textId="77777777" w:rsidR="004D4BD7" w:rsidRDefault="004D4BD7" w:rsidP="00A248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1A51F3">
              <w:rPr>
                <w:rFonts w:cs="Times New Roman"/>
              </w:rPr>
              <w:t xml:space="preserve">Develops </w:t>
            </w:r>
            <w:r>
              <w:rPr>
                <w:rFonts w:cs="Times New Roman"/>
              </w:rPr>
              <w:t>a recommendation</w:t>
            </w:r>
            <w:r w:rsidRPr="001A51F3">
              <w:rPr>
                <w:rFonts w:cs="Times New Roman"/>
              </w:rPr>
              <w:t xml:space="preserve"> with clarity and logic</w:t>
            </w:r>
            <w:r>
              <w:rPr>
                <w:rFonts w:cs="Times New Roman"/>
              </w:rPr>
              <w:t>.  The recommendation is well supported with excellent interpretations of ratio analysis.</w:t>
            </w:r>
          </w:p>
          <w:p w14:paraId="0687E6D6" w14:textId="77777777" w:rsidR="004D4BD7" w:rsidRDefault="004D4BD7" w:rsidP="00A248D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14:paraId="26AF547E" w14:textId="77777777" w:rsidR="004D4BD7" w:rsidRPr="001A51F3" w:rsidRDefault="004D4BD7" w:rsidP="00A248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t>(15-</w:t>
            </w:r>
            <w:proofErr w:type="gramStart"/>
            <w:r>
              <w:t>20  points</w:t>
            </w:r>
            <w:proofErr w:type="gramEnd"/>
            <w:r>
              <w:t>)</w:t>
            </w:r>
          </w:p>
        </w:tc>
        <w:tc>
          <w:tcPr>
            <w:tcW w:w="1742" w:type="dxa"/>
          </w:tcPr>
          <w:p w14:paraId="2F493AD2" w14:textId="77777777" w:rsidR="004D4BD7" w:rsidRPr="001A51F3" w:rsidRDefault="004D4BD7" w:rsidP="00A248D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</w:tr>
    </w:tbl>
    <w:p w14:paraId="7FD6EF23" w14:textId="77777777" w:rsidR="004D4BD7" w:rsidRDefault="004D4B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1953"/>
        <w:gridCol w:w="1953"/>
        <w:gridCol w:w="1953"/>
        <w:gridCol w:w="1857"/>
      </w:tblGrid>
      <w:tr w:rsidR="004D4BD7" w14:paraId="672BD830" w14:textId="77777777" w:rsidTr="000B2FBF">
        <w:tc>
          <w:tcPr>
            <w:tcW w:w="1634" w:type="dxa"/>
          </w:tcPr>
          <w:p w14:paraId="73A114B0" w14:textId="77777777" w:rsidR="004D4BD7" w:rsidRDefault="004D4BD7" w:rsidP="005F0C39">
            <w:r>
              <w:t xml:space="preserve">Uses supporting documentation that has been properly references and cited. </w:t>
            </w:r>
          </w:p>
          <w:p w14:paraId="05A39143" w14:textId="77777777" w:rsidR="004D4BD7" w:rsidRDefault="004D4BD7" w:rsidP="005F0C39"/>
        </w:tc>
        <w:tc>
          <w:tcPr>
            <w:tcW w:w="1953" w:type="dxa"/>
          </w:tcPr>
          <w:p w14:paraId="6F086B6A" w14:textId="77777777" w:rsidR="004D4BD7" w:rsidRDefault="004D4BD7" w:rsidP="005F0C39">
            <w:r>
              <w:t>Inadequate or minimal use of supporting documentation or not properly referenced or cited.</w:t>
            </w:r>
          </w:p>
          <w:p w14:paraId="310DA490" w14:textId="77777777" w:rsidR="004D4BD7" w:rsidRDefault="004D4BD7" w:rsidP="005F0C39">
            <w:r>
              <w:rPr>
                <w:rFonts w:cs="Times New Roman"/>
              </w:rPr>
              <w:t>(0-2 points)</w:t>
            </w:r>
          </w:p>
        </w:tc>
        <w:tc>
          <w:tcPr>
            <w:tcW w:w="1953" w:type="dxa"/>
          </w:tcPr>
          <w:p w14:paraId="736F073E" w14:textId="77777777" w:rsidR="004D4BD7" w:rsidRDefault="004D4BD7" w:rsidP="005F0C39">
            <w:r>
              <w:t>For the most part, uses supporting documentation that is properly referenced and cited.</w:t>
            </w:r>
          </w:p>
          <w:p w14:paraId="0575DB0D" w14:textId="77777777" w:rsidR="004D4BD7" w:rsidRDefault="004D4BD7" w:rsidP="005F0C39"/>
          <w:p w14:paraId="15612936" w14:textId="77777777" w:rsidR="004D4BD7" w:rsidRDefault="004D4BD7" w:rsidP="005F0C39">
            <w:r>
              <w:rPr>
                <w:rFonts w:cs="Times New Roman"/>
              </w:rPr>
              <w:t>(3-4 points)</w:t>
            </w:r>
          </w:p>
        </w:tc>
        <w:tc>
          <w:tcPr>
            <w:tcW w:w="1953" w:type="dxa"/>
          </w:tcPr>
          <w:p w14:paraId="4B76CBE4" w14:textId="77777777" w:rsidR="004D4BD7" w:rsidRDefault="004D4BD7" w:rsidP="005F0C39">
            <w:r>
              <w:t>Consistently uses supporting documentation that is properly referenced and cited.</w:t>
            </w:r>
          </w:p>
          <w:p w14:paraId="2778CA6A" w14:textId="77777777" w:rsidR="004D4BD7" w:rsidRDefault="004D4BD7" w:rsidP="005F0C39"/>
          <w:p w14:paraId="5FF9FD27" w14:textId="77777777" w:rsidR="004D4BD7" w:rsidRDefault="004D4BD7" w:rsidP="005F0C39">
            <w:r>
              <w:rPr>
                <w:rFonts w:cs="Times New Roman"/>
              </w:rPr>
              <w:t>(5 points)</w:t>
            </w:r>
          </w:p>
        </w:tc>
        <w:tc>
          <w:tcPr>
            <w:tcW w:w="1857" w:type="dxa"/>
          </w:tcPr>
          <w:p w14:paraId="1471A74C" w14:textId="77777777" w:rsidR="004D4BD7" w:rsidRDefault="004D4BD7" w:rsidP="005F0C39"/>
        </w:tc>
      </w:tr>
      <w:tr w:rsidR="004D4BD7" w14:paraId="78609BA7" w14:textId="77777777" w:rsidTr="000B2FBF">
        <w:tc>
          <w:tcPr>
            <w:tcW w:w="1634" w:type="dxa"/>
          </w:tcPr>
          <w:p w14:paraId="18119184" w14:textId="77777777" w:rsidR="004D4BD7" w:rsidRDefault="004D4BD7" w:rsidP="001A51F3">
            <w:r>
              <w:t>Considered holistically, demonstrates the ability to write at the undergraduate level.</w:t>
            </w:r>
          </w:p>
          <w:p w14:paraId="750833E4" w14:textId="77777777" w:rsidR="004D4BD7" w:rsidRDefault="004D4BD7" w:rsidP="001A51F3"/>
          <w:p w14:paraId="56BBA1D8" w14:textId="77777777" w:rsidR="004D4BD7" w:rsidRDefault="004D4BD7" w:rsidP="00C058D3"/>
        </w:tc>
        <w:tc>
          <w:tcPr>
            <w:tcW w:w="1953" w:type="dxa"/>
          </w:tcPr>
          <w:p w14:paraId="773CCA96" w14:textId="77777777" w:rsidR="004D4BD7" w:rsidRDefault="004D4BD7" w:rsidP="004139CE">
            <w:r>
              <w:t>Considered holistically, the student demonstrates an inadequate ability to write at the undergraduate level.</w:t>
            </w:r>
          </w:p>
          <w:p w14:paraId="7234C4A4" w14:textId="77777777" w:rsidR="004D4BD7" w:rsidRDefault="004D4BD7" w:rsidP="004139CE"/>
          <w:p w14:paraId="6D68B3FF" w14:textId="77777777" w:rsidR="004D4BD7" w:rsidRDefault="004D4BD7" w:rsidP="00555C24">
            <w:r>
              <w:t>(0-2 points)</w:t>
            </w:r>
          </w:p>
        </w:tc>
        <w:tc>
          <w:tcPr>
            <w:tcW w:w="1953" w:type="dxa"/>
          </w:tcPr>
          <w:p w14:paraId="64CE378B" w14:textId="77777777" w:rsidR="004D4BD7" w:rsidRDefault="004D4BD7" w:rsidP="004139CE">
            <w:r>
              <w:t>Considered holistically, the student demonstrates an acceptable ability to write at the undergraduate level.</w:t>
            </w:r>
          </w:p>
          <w:p w14:paraId="5635BDB7" w14:textId="77777777" w:rsidR="004D4BD7" w:rsidRDefault="004D4BD7" w:rsidP="004139CE"/>
          <w:p w14:paraId="66BBF6BC" w14:textId="77777777" w:rsidR="004D4BD7" w:rsidRDefault="004D4BD7" w:rsidP="00555C24">
            <w:r>
              <w:t>(3-4 points)</w:t>
            </w:r>
          </w:p>
        </w:tc>
        <w:tc>
          <w:tcPr>
            <w:tcW w:w="1953" w:type="dxa"/>
          </w:tcPr>
          <w:p w14:paraId="53F581A8" w14:textId="77777777" w:rsidR="004D4BD7" w:rsidRDefault="004D4BD7" w:rsidP="004139CE">
            <w:r>
              <w:t>Considered holistically, the student demonstrates a proficient ability to write at the undergraduate level.</w:t>
            </w:r>
          </w:p>
          <w:p w14:paraId="0C7BF170" w14:textId="77777777" w:rsidR="004D4BD7" w:rsidRDefault="004D4BD7" w:rsidP="004139CE"/>
          <w:p w14:paraId="09E9FC47" w14:textId="77777777" w:rsidR="004D4BD7" w:rsidRDefault="004D4BD7" w:rsidP="00555C24">
            <w:r>
              <w:t>(5 points)</w:t>
            </w:r>
          </w:p>
        </w:tc>
        <w:tc>
          <w:tcPr>
            <w:tcW w:w="1857" w:type="dxa"/>
          </w:tcPr>
          <w:p w14:paraId="707FF82C" w14:textId="77777777" w:rsidR="004D4BD7" w:rsidRDefault="004D4BD7" w:rsidP="004139CE"/>
        </w:tc>
      </w:tr>
      <w:tr w:rsidR="004D4BD7" w14:paraId="17E19EBE" w14:textId="77777777" w:rsidTr="000B2FBF">
        <w:tc>
          <w:tcPr>
            <w:tcW w:w="7493" w:type="dxa"/>
            <w:gridSpan w:val="4"/>
          </w:tcPr>
          <w:p w14:paraId="2D40569F" w14:textId="77777777" w:rsidR="004D4BD7" w:rsidRPr="00F865D8" w:rsidRDefault="004D4BD7" w:rsidP="00A271E3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Total </w:t>
            </w:r>
            <w:r w:rsidRPr="00F865D8">
              <w:rPr>
                <w:b/>
              </w:rPr>
              <w:t>Points</w:t>
            </w:r>
          </w:p>
        </w:tc>
        <w:tc>
          <w:tcPr>
            <w:tcW w:w="1857" w:type="dxa"/>
          </w:tcPr>
          <w:p w14:paraId="1847DC78" w14:textId="77777777" w:rsidR="004D4BD7" w:rsidRDefault="004D4BD7" w:rsidP="00F865D8">
            <w:pPr>
              <w:spacing w:before="240" w:after="240"/>
            </w:pPr>
          </w:p>
        </w:tc>
      </w:tr>
    </w:tbl>
    <w:p w14:paraId="4593ACE0" w14:textId="77777777" w:rsidR="004D4BD7" w:rsidRDefault="004D4BD7" w:rsidP="009E293D"/>
    <w:p w14:paraId="0E22F021" w14:textId="77777777" w:rsidR="004D4BD7" w:rsidRDefault="004D4BD7" w:rsidP="00810E33">
      <w:pPr>
        <w:spacing w:after="0" w:line="480" w:lineRule="auto"/>
        <w:rPr>
          <w:sz w:val="24"/>
          <w:szCs w:val="24"/>
        </w:rPr>
      </w:pPr>
    </w:p>
    <w:p w14:paraId="6DFC3183" w14:textId="21BA4B0F" w:rsidR="00191ED1" w:rsidRDefault="00191ED1" w:rsidP="00810E33">
      <w:pPr>
        <w:spacing w:after="0" w:line="480" w:lineRule="auto"/>
        <w:rPr>
          <w:sz w:val="24"/>
          <w:szCs w:val="24"/>
        </w:rPr>
      </w:pPr>
    </w:p>
    <w:p w14:paraId="78F8A926" w14:textId="13FE3BDA" w:rsidR="00B87419" w:rsidRPr="004A5937" w:rsidRDefault="00B87419" w:rsidP="00810E33">
      <w:pPr>
        <w:spacing w:after="0" w:line="480" w:lineRule="auto"/>
        <w:rPr>
          <w:sz w:val="24"/>
          <w:szCs w:val="24"/>
        </w:rPr>
      </w:pPr>
    </w:p>
    <w:p w14:paraId="5230C555" w14:textId="33A678E3" w:rsidR="00363403" w:rsidRPr="008246A5" w:rsidRDefault="00904C43" w:rsidP="00221D34">
      <w:pPr>
        <w:spacing w:after="0"/>
        <w:rPr>
          <w:sz w:val="24"/>
          <w:szCs w:val="24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D8F60EB" wp14:editId="4AA1364B">
            <wp:simplePos x="0" y="0"/>
            <wp:positionH relativeFrom="margin">
              <wp:align>right</wp:align>
            </wp:positionH>
            <wp:positionV relativeFrom="paragraph">
              <wp:posOffset>261648</wp:posOffset>
            </wp:positionV>
            <wp:extent cx="5943600" cy="6230620"/>
            <wp:effectExtent l="0" t="0" r="0" b="0"/>
            <wp:wrapSquare wrapText="bothSides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lance Shee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4BD7" w:rsidRPr="008246A5">
        <w:rPr>
          <w:sz w:val="24"/>
          <w:szCs w:val="24"/>
        </w:rPr>
        <w:t>Appen</w:t>
      </w:r>
      <w:r w:rsidR="008246A5" w:rsidRPr="008246A5">
        <w:rPr>
          <w:sz w:val="24"/>
          <w:szCs w:val="24"/>
        </w:rPr>
        <w:t>dix C</w:t>
      </w:r>
    </w:p>
    <w:p w14:paraId="6D29FBE1" w14:textId="6FD44923" w:rsidR="00304FDC" w:rsidRPr="000137A8" w:rsidRDefault="00304FDC" w:rsidP="00221D34">
      <w:pPr>
        <w:spacing w:after="0"/>
      </w:pPr>
    </w:p>
    <w:p w14:paraId="7DC667F4" w14:textId="46EFEA74" w:rsidR="000A5913" w:rsidRDefault="000A5913" w:rsidP="00221D34">
      <w:pPr>
        <w:spacing w:after="0"/>
        <w:rPr>
          <w:b/>
          <w:bCs/>
        </w:rPr>
      </w:pPr>
    </w:p>
    <w:p w14:paraId="5DBC55A7" w14:textId="14785FAE" w:rsidR="000A1D14" w:rsidRDefault="00904C43" w:rsidP="00221D34">
      <w:pPr>
        <w:spacing w:after="0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1" behindDoc="0" locked="0" layoutInCell="1" allowOverlap="1" wp14:anchorId="1022ED60" wp14:editId="4F646393">
            <wp:simplePos x="0" y="0"/>
            <wp:positionH relativeFrom="column">
              <wp:posOffset>-79182</wp:posOffset>
            </wp:positionH>
            <wp:positionV relativeFrom="paragraph">
              <wp:posOffset>-608</wp:posOffset>
            </wp:positionV>
            <wp:extent cx="5943600" cy="4325620"/>
            <wp:effectExtent l="0" t="0" r="0" b="0"/>
            <wp:wrapSquare wrapText="bothSides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come State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397FD2" w14:textId="77777777" w:rsidR="00904C43" w:rsidRDefault="00904C43" w:rsidP="00E4274A">
      <w:pPr>
        <w:rPr>
          <w:noProof/>
        </w:rPr>
      </w:pPr>
    </w:p>
    <w:p w14:paraId="55C483C5" w14:textId="77777777" w:rsidR="00904C43" w:rsidRDefault="00904C43" w:rsidP="00E4274A">
      <w:pPr>
        <w:rPr>
          <w:noProof/>
        </w:rPr>
      </w:pPr>
    </w:p>
    <w:p w14:paraId="6EF86A4B" w14:textId="77777777" w:rsidR="00904C43" w:rsidRDefault="00904C43" w:rsidP="00E4274A">
      <w:pPr>
        <w:rPr>
          <w:noProof/>
        </w:rPr>
      </w:pPr>
    </w:p>
    <w:p w14:paraId="7E148D4E" w14:textId="77777777" w:rsidR="00904C43" w:rsidRDefault="00904C43" w:rsidP="00E4274A"/>
    <w:p w14:paraId="79DCCBCE" w14:textId="77777777" w:rsidR="00904C43" w:rsidRDefault="00904C43" w:rsidP="00E4274A"/>
    <w:p w14:paraId="2297B447" w14:textId="77777777" w:rsidR="00904C43" w:rsidRDefault="00904C43" w:rsidP="00E4274A"/>
    <w:p w14:paraId="61E3108D" w14:textId="77777777" w:rsidR="00904C43" w:rsidRDefault="00904C43" w:rsidP="00E4274A"/>
    <w:p w14:paraId="251BB167" w14:textId="5936DE4C" w:rsidR="000A1D14" w:rsidRDefault="00904C43" w:rsidP="00E4274A">
      <w:r>
        <w:rPr>
          <w:noProof/>
        </w:rPr>
        <w:lastRenderedPageBreak/>
        <w:drawing>
          <wp:anchor distT="0" distB="0" distL="114300" distR="114300" simplePos="0" relativeHeight="251658242" behindDoc="0" locked="0" layoutInCell="1" allowOverlap="1" wp14:anchorId="1F37DDE4" wp14:editId="185658C0">
            <wp:simplePos x="0" y="0"/>
            <wp:positionH relativeFrom="column">
              <wp:posOffset>0</wp:posOffset>
            </wp:positionH>
            <wp:positionV relativeFrom="paragraph">
              <wp:posOffset>-4509770</wp:posOffset>
            </wp:positionV>
            <wp:extent cx="5725324" cy="6134956"/>
            <wp:effectExtent l="0" t="0" r="8890" b="0"/>
            <wp:wrapSquare wrapText="bothSides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h Flow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C936A" w14:textId="02958D99" w:rsidR="00904C43" w:rsidRPr="000A1D14" w:rsidRDefault="00904C43" w:rsidP="00E4274A">
      <w:r>
        <w:rPr>
          <w:noProof/>
        </w:rPr>
        <w:lastRenderedPageBreak/>
        <w:drawing>
          <wp:anchor distT="0" distB="0" distL="114300" distR="114300" simplePos="0" relativeHeight="251658243" behindDoc="0" locked="0" layoutInCell="1" allowOverlap="1" wp14:anchorId="2ECFBE6A" wp14:editId="09BAAACB">
            <wp:simplePos x="0" y="0"/>
            <wp:positionH relativeFrom="column">
              <wp:posOffset>-95637</wp:posOffset>
            </wp:positionH>
            <wp:positionV relativeFrom="paragraph">
              <wp:posOffset>221</wp:posOffset>
            </wp:positionV>
            <wp:extent cx="5943600" cy="5138420"/>
            <wp:effectExtent l="0" t="0" r="0" b="5080"/>
            <wp:wrapSquare wrapText="bothSides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ock Holder Equi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04C43" w:rsidRPr="000A1D1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62752" w14:textId="77777777" w:rsidR="00D008AD" w:rsidRDefault="00D008AD" w:rsidP="000B5355">
      <w:pPr>
        <w:spacing w:after="0" w:line="240" w:lineRule="auto"/>
      </w:pPr>
      <w:r>
        <w:separator/>
      </w:r>
    </w:p>
  </w:endnote>
  <w:endnote w:type="continuationSeparator" w:id="0">
    <w:p w14:paraId="7E2A79FD" w14:textId="77777777" w:rsidR="00D008AD" w:rsidRDefault="00D008AD" w:rsidP="000B5355">
      <w:pPr>
        <w:spacing w:after="0" w:line="240" w:lineRule="auto"/>
      </w:pPr>
      <w:r>
        <w:continuationSeparator/>
      </w:r>
    </w:p>
  </w:endnote>
  <w:endnote w:type="continuationNotice" w:id="1">
    <w:p w14:paraId="3AE66548" w14:textId="77777777" w:rsidR="00D008AD" w:rsidRDefault="00D008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86B36" w14:textId="77777777" w:rsidR="00D008AD" w:rsidRDefault="00D008AD" w:rsidP="000B5355">
      <w:pPr>
        <w:spacing w:after="0" w:line="240" w:lineRule="auto"/>
      </w:pPr>
      <w:r>
        <w:separator/>
      </w:r>
    </w:p>
  </w:footnote>
  <w:footnote w:type="continuationSeparator" w:id="0">
    <w:p w14:paraId="55144861" w14:textId="77777777" w:rsidR="00D008AD" w:rsidRDefault="00D008AD" w:rsidP="000B5355">
      <w:pPr>
        <w:spacing w:after="0" w:line="240" w:lineRule="auto"/>
      </w:pPr>
      <w:r>
        <w:continuationSeparator/>
      </w:r>
    </w:p>
  </w:footnote>
  <w:footnote w:type="continuationNotice" w:id="1">
    <w:p w14:paraId="0692045C" w14:textId="77777777" w:rsidR="00D008AD" w:rsidRDefault="00D008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128765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B675E9E" w14:textId="1A6C8967" w:rsidR="0004114B" w:rsidRDefault="0004114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390510" w14:textId="77777777" w:rsidR="0004114B" w:rsidRDefault="000411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2D"/>
    <w:rsid w:val="00002F26"/>
    <w:rsid w:val="000137A8"/>
    <w:rsid w:val="00037F31"/>
    <w:rsid w:val="0004053E"/>
    <w:rsid w:val="0004114B"/>
    <w:rsid w:val="00047C84"/>
    <w:rsid w:val="0005166C"/>
    <w:rsid w:val="00055278"/>
    <w:rsid w:val="00055885"/>
    <w:rsid w:val="000603F1"/>
    <w:rsid w:val="00064EF7"/>
    <w:rsid w:val="00072301"/>
    <w:rsid w:val="00077782"/>
    <w:rsid w:val="00083117"/>
    <w:rsid w:val="00091142"/>
    <w:rsid w:val="000936B6"/>
    <w:rsid w:val="00094FDB"/>
    <w:rsid w:val="00096829"/>
    <w:rsid w:val="000A00BD"/>
    <w:rsid w:val="000A1351"/>
    <w:rsid w:val="000A1D14"/>
    <w:rsid w:val="000A554D"/>
    <w:rsid w:val="000A5913"/>
    <w:rsid w:val="000B2E7B"/>
    <w:rsid w:val="000B5355"/>
    <w:rsid w:val="000C6B56"/>
    <w:rsid w:val="000E06A7"/>
    <w:rsid w:val="000E4179"/>
    <w:rsid w:val="000E5FAC"/>
    <w:rsid w:val="000F3B88"/>
    <w:rsid w:val="00102BC2"/>
    <w:rsid w:val="00110611"/>
    <w:rsid w:val="00123AB9"/>
    <w:rsid w:val="00131390"/>
    <w:rsid w:val="00135A40"/>
    <w:rsid w:val="00153068"/>
    <w:rsid w:val="00157001"/>
    <w:rsid w:val="00160331"/>
    <w:rsid w:val="00160618"/>
    <w:rsid w:val="00166EAB"/>
    <w:rsid w:val="00173011"/>
    <w:rsid w:val="001777FE"/>
    <w:rsid w:val="00183689"/>
    <w:rsid w:val="00191ED1"/>
    <w:rsid w:val="0019571E"/>
    <w:rsid w:val="001A2010"/>
    <w:rsid w:val="001D0B09"/>
    <w:rsid w:val="001D2CC8"/>
    <w:rsid w:val="001D428E"/>
    <w:rsid w:val="001D6855"/>
    <w:rsid w:val="001E4903"/>
    <w:rsid w:val="001E7D9D"/>
    <w:rsid w:val="001F1091"/>
    <w:rsid w:val="00205BA7"/>
    <w:rsid w:val="00216B54"/>
    <w:rsid w:val="002178CA"/>
    <w:rsid w:val="00221D34"/>
    <w:rsid w:val="00231429"/>
    <w:rsid w:val="00233371"/>
    <w:rsid w:val="002358B1"/>
    <w:rsid w:val="002375A8"/>
    <w:rsid w:val="00245E4F"/>
    <w:rsid w:val="00255AB4"/>
    <w:rsid w:val="00264D9F"/>
    <w:rsid w:val="00267959"/>
    <w:rsid w:val="00275E49"/>
    <w:rsid w:val="0027606A"/>
    <w:rsid w:val="00276242"/>
    <w:rsid w:val="00276AEC"/>
    <w:rsid w:val="002815A4"/>
    <w:rsid w:val="0028206C"/>
    <w:rsid w:val="0028477E"/>
    <w:rsid w:val="002860F7"/>
    <w:rsid w:val="00292804"/>
    <w:rsid w:val="00293641"/>
    <w:rsid w:val="002A1295"/>
    <w:rsid w:val="002B0854"/>
    <w:rsid w:val="002D35A1"/>
    <w:rsid w:val="002E10F2"/>
    <w:rsid w:val="002E48CB"/>
    <w:rsid w:val="002F1BF1"/>
    <w:rsid w:val="00301A95"/>
    <w:rsid w:val="00304FDC"/>
    <w:rsid w:val="00305671"/>
    <w:rsid w:val="00320E9C"/>
    <w:rsid w:val="0032695F"/>
    <w:rsid w:val="003457F4"/>
    <w:rsid w:val="00363403"/>
    <w:rsid w:val="003651AF"/>
    <w:rsid w:val="00366E21"/>
    <w:rsid w:val="00367622"/>
    <w:rsid w:val="00370537"/>
    <w:rsid w:val="003804FA"/>
    <w:rsid w:val="00382E42"/>
    <w:rsid w:val="003924FE"/>
    <w:rsid w:val="00392945"/>
    <w:rsid w:val="003930F8"/>
    <w:rsid w:val="003A0C3A"/>
    <w:rsid w:val="003A170D"/>
    <w:rsid w:val="003A1D72"/>
    <w:rsid w:val="003A41D5"/>
    <w:rsid w:val="003B1DE3"/>
    <w:rsid w:val="003B420B"/>
    <w:rsid w:val="003B731A"/>
    <w:rsid w:val="003D639F"/>
    <w:rsid w:val="003E6876"/>
    <w:rsid w:val="003F2D4C"/>
    <w:rsid w:val="003F7C65"/>
    <w:rsid w:val="004004EB"/>
    <w:rsid w:val="00401843"/>
    <w:rsid w:val="004032B5"/>
    <w:rsid w:val="00403C18"/>
    <w:rsid w:val="00404BEC"/>
    <w:rsid w:val="00405B4E"/>
    <w:rsid w:val="00410829"/>
    <w:rsid w:val="00417BBD"/>
    <w:rsid w:val="00421EC2"/>
    <w:rsid w:val="00445405"/>
    <w:rsid w:val="004532A0"/>
    <w:rsid w:val="00482445"/>
    <w:rsid w:val="004841F0"/>
    <w:rsid w:val="00486BA9"/>
    <w:rsid w:val="00491F58"/>
    <w:rsid w:val="004A5937"/>
    <w:rsid w:val="004B0650"/>
    <w:rsid w:val="004B2CB5"/>
    <w:rsid w:val="004C055E"/>
    <w:rsid w:val="004C4C8D"/>
    <w:rsid w:val="004D0AD5"/>
    <w:rsid w:val="004D4BD7"/>
    <w:rsid w:val="004E6251"/>
    <w:rsid w:val="004E6E00"/>
    <w:rsid w:val="00506BD5"/>
    <w:rsid w:val="00507B78"/>
    <w:rsid w:val="00522B45"/>
    <w:rsid w:val="00523D20"/>
    <w:rsid w:val="00527118"/>
    <w:rsid w:val="005304BB"/>
    <w:rsid w:val="00547031"/>
    <w:rsid w:val="005574F8"/>
    <w:rsid w:val="00557F0E"/>
    <w:rsid w:val="0056337B"/>
    <w:rsid w:val="00577624"/>
    <w:rsid w:val="005777D6"/>
    <w:rsid w:val="005831F8"/>
    <w:rsid w:val="00584BBE"/>
    <w:rsid w:val="00584C34"/>
    <w:rsid w:val="00596294"/>
    <w:rsid w:val="005D6B0B"/>
    <w:rsid w:val="005E08E5"/>
    <w:rsid w:val="005E3CF9"/>
    <w:rsid w:val="0060383A"/>
    <w:rsid w:val="0060682C"/>
    <w:rsid w:val="00632AE4"/>
    <w:rsid w:val="00635ED4"/>
    <w:rsid w:val="00636A6B"/>
    <w:rsid w:val="00636FE9"/>
    <w:rsid w:val="00640330"/>
    <w:rsid w:val="00643A6F"/>
    <w:rsid w:val="006530AD"/>
    <w:rsid w:val="00653832"/>
    <w:rsid w:val="00662D17"/>
    <w:rsid w:val="0068269B"/>
    <w:rsid w:val="00682AEE"/>
    <w:rsid w:val="006854D6"/>
    <w:rsid w:val="00692939"/>
    <w:rsid w:val="00694CC4"/>
    <w:rsid w:val="006B0BF3"/>
    <w:rsid w:val="006B5B29"/>
    <w:rsid w:val="006B70CD"/>
    <w:rsid w:val="006C4611"/>
    <w:rsid w:val="006C5764"/>
    <w:rsid w:val="006D1149"/>
    <w:rsid w:val="006D2C83"/>
    <w:rsid w:val="006F1EFF"/>
    <w:rsid w:val="007046A5"/>
    <w:rsid w:val="00713282"/>
    <w:rsid w:val="00717DA4"/>
    <w:rsid w:val="007213C8"/>
    <w:rsid w:val="00730CBC"/>
    <w:rsid w:val="00734C08"/>
    <w:rsid w:val="00742418"/>
    <w:rsid w:val="007468F4"/>
    <w:rsid w:val="0075409C"/>
    <w:rsid w:val="0075425A"/>
    <w:rsid w:val="007551FD"/>
    <w:rsid w:val="00763A34"/>
    <w:rsid w:val="00764BFB"/>
    <w:rsid w:val="007678E7"/>
    <w:rsid w:val="00771DDD"/>
    <w:rsid w:val="007B4777"/>
    <w:rsid w:val="007B4EC4"/>
    <w:rsid w:val="007C4B7F"/>
    <w:rsid w:val="007D10B5"/>
    <w:rsid w:val="007D2BE4"/>
    <w:rsid w:val="007D727E"/>
    <w:rsid w:val="007E4FB4"/>
    <w:rsid w:val="007E6819"/>
    <w:rsid w:val="007F4CCC"/>
    <w:rsid w:val="00804EEA"/>
    <w:rsid w:val="00805724"/>
    <w:rsid w:val="00805D28"/>
    <w:rsid w:val="00810E33"/>
    <w:rsid w:val="00814421"/>
    <w:rsid w:val="00814F3A"/>
    <w:rsid w:val="00815CF4"/>
    <w:rsid w:val="00815E83"/>
    <w:rsid w:val="0082033A"/>
    <w:rsid w:val="00822DD4"/>
    <w:rsid w:val="008246A5"/>
    <w:rsid w:val="00832C84"/>
    <w:rsid w:val="00841A4B"/>
    <w:rsid w:val="0085559C"/>
    <w:rsid w:val="00857DC1"/>
    <w:rsid w:val="008735AD"/>
    <w:rsid w:val="00885C8A"/>
    <w:rsid w:val="00896964"/>
    <w:rsid w:val="008A26B8"/>
    <w:rsid w:val="008A4D2E"/>
    <w:rsid w:val="008A5B15"/>
    <w:rsid w:val="008B06CC"/>
    <w:rsid w:val="008B145A"/>
    <w:rsid w:val="008B7B1B"/>
    <w:rsid w:val="008C55EC"/>
    <w:rsid w:val="008E13B3"/>
    <w:rsid w:val="008E2156"/>
    <w:rsid w:val="008E4415"/>
    <w:rsid w:val="008F2C0C"/>
    <w:rsid w:val="008F4591"/>
    <w:rsid w:val="00904C43"/>
    <w:rsid w:val="00917475"/>
    <w:rsid w:val="0092709C"/>
    <w:rsid w:val="00927567"/>
    <w:rsid w:val="0092772C"/>
    <w:rsid w:val="00940C29"/>
    <w:rsid w:val="00944081"/>
    <w:rsid w:val="00950324"/>
    <w:rsid w:val="00950AC9"/>
    <w:rsid w:val="00957386"/>
    <w:rsid w:val="009724B3"/>
    <w:rsid w:val="009752F8"/>
    <w:rsid w:val="00982F28"/>
    <w:rsid w:val="00983220"/>
    <w:rsid w:val="00986D49"/>
    <w:rsid w:val="00990826"/>
    <w:rsid w:val="00994545"/>
    <w:rsid w:val="00997164"/>
    <w:rsid w:val="009A5DCC"/>
    <w:rsid w:val="009B3E37"/>
    <w:rsid w:val="009B7D02"/>
    <w:rsid w:val="009C0084"/>
    <w:rsid w:val="009E68A6"/>
    <w:rsid w:val="009E6B22"/>
    <w:rsid w:val="009F3A53"/>
    <w:rsid w:val="00A05128"/>
    <w:rsid w:val="00A05F32"/>
    <w:rsid w:val="00A20B78"/>
    <w:rsid w:val="00A32A79"/>
    <w:rsid w:val="00A47D8E"/>
    <w:rsid w:val="00A55379"/>
    <w:rsid w:val="00A57496"/>
    <w:rsid w:val="00A6651A"/>
    <w:rsid w:val="00A67C5B"/>
    <w:rsid w:val="00A9107D"/>
    <w:rsid w:val="00A92770"/>
    <w:rsid w:val="00A931A8"/>
    <w:rsid w:val="00A96C37"/>
    <w:rsid w:val="00A96F66"/>
    <w:rsid w:val="00AA001F"/>
    <w:rsid w:val="00AA5B4A"/>
    <w:rsid w:val="00AA6D15"/>
    <w:rsid w:val="00AA7E72"/>
    <w:rsid w:val="00AB3332"/>
    <w:rsid w:val="00AB3780"/>
    <w:rsid w:val="00AC65A9"/>
    <w:rsid w:val="00AD00B3"/>
    <w:rsid w:val="00AD78B4"/>
    <w:rsid w:val="00AE4065"/>
    <w:rsid w:val="00AF51F2"/>
    <w:rsid w:val="00B01B82"/>
    <w:rsid w:val="00B12B86"/>
    <w:rsid w:val="00B14746"/>
    <w:rsid w:val="00B26BD3"/>
    <w:rsid w:val="00B4010A"/>
    <w:rsid w:val="00B43E86"/>
    <w:rsid w:val="00B51984"/>
    <w:rsid w:val="00B747E3"/>
    <w:rsid w:val="00B77D7F"/>
    <w:rsid w:val="00B8391E"/>
    <w:rsid w:val="00B84A61"/>
    <w:rsid w:val="00B87419"/>
    <w:rsid w:val="00B9252F"/>
    <w:rsid w:val="00B9383E"/>
    <w:rsid w:val="00BA083B"/>
    <w:rsid w:val="00BA4318"/>
    <w:rsid w:val="00BA5E17"/>
    <w:rsid w:val="00BB7CF1"/>
    <w:rsid w:val="00BC0F72"/>
    <w:rsid w:val="00BE146B"/>
    <w:rsid w:val="00BF5407"/>
    <w:rsid w:val="00C00413"/>
    <w:rsid w:val="00C03DF8"/>
    <w:rsid w:val="00C172BB"/>
    <w:rsid w:val="00C206CE"/>
    <w:rsid w:val="00C253A4"/>
    <w:rsid w:val="00C305E7"/>
    <w:rsid w:val="00C3106B"/>
    <w:rsid w:val="00C45C11"/>
    <w:rsid w:val="00C61F35"/>
    <w:rsid w:val="00C749E0"/>
    <w:rsid w:val="00C75499"/>
    <w:rsid w:val="00CC048B"/>
    <w:rsid w:val="00CC0AF8"/>
    <w:rsid w:val="00CC680F"/>
    <w:rsid w:val="00CE19BA"/>
    <w:rsid w:val="00CE426A"/>
    <w:rsid w:val="00D008AD"/>
    <w:rsid w:val="00D13844"/>
    <w:rsid w:val="00D1422F"/>
    <w:rsid w:val="00D4217C"/>
    <w:rsid w:val="00D53204"/>
    <w:rsid w:val="00D535CB"/>
    <w:rsid w:val="00D81807"/>
    <w:rsid w:val="00D84FAA"/>
    <w:rsid w:val="00D852B1"/>
    <w:rsid w:val="00D91AD3"/>
    <w:rsid w:val="00DB1BDE"/>
    <w:rsid w:val="00DC37D8"/>
    <w:rsid w:val="00DD05EE"/>
    <w:rsid w:val="00DE4441"/>
    <w:rsid w:val="00DF2A8D"/>
    <w:rsid w:val="00DF48B9"/>
    <w:rsid w:val="00DF4A38"/>
    <w:rsid w:val="00DF5E72"/>
    <w:rsid w:val="00E0710C"/>
    <w:rsid w:val="00E17FA9"/>
    <w:rsid w:val="00E21829"/>
    <w:rsid w:val="00E2682D"/>
    <w:rsid w:val="00E34596"/>
    <w:rsid w:val="00E365D1"/>
    <w:rsid w:val="00E3667A"/>
    <w:rsid w:val="00E40ADC"/>
    <w:rsid w:val="00E40BB3"/>
    <w:rsid w:val="00E41FB3"/>
    <w:rsid w:val="00E4212C"/>
    <w:rsid w:val="00E4274A"/>
    <w:rsid w:val="00E427C3"/>
    <w:rsid w:val="00E428F4"/>
    <w:rsid w:val="00E51F34"/>
    <w:rsid w:val="00E63438"/>
    <w:rsid w:val="00E671FE"/>
    <w:rsid w:val="00E73D6E"/>
    <w:rsid w:val="00E76E07"/>
    <w:rsid w:val="00E84D6D"/>
    <w:rsid w:val="00E8634F"/>
    <w:rsid w:val="00E97B5E"/>
    <w:rsid w:val="00EA2F9E"/>
    <w:rsid w:val="00EB3896"/>
    <w:rsid w:val="00ED68F1"/>
    <w:rsid w:val="00EE3754"/>
    <w:rsid w:val="00EE49E1"/>
    <w:rsid w:val="00EE7B29"/>
    <w:rsid w:val="00EF23B7"/>
    <w:rsid w:val="00EF68C8"/>
    <w:rsid w:val="00F000EF"/>
    <w:rsid w:val="00F0094B"/>
    <w:rsid w:val="00F05C6D"/>
    <w:rsid w:val="00F160E8"/>
    <w:rsid w:val="00F163F3"/>
    <w:rsid w:val="00F1698C"/>
    <w:rsid w:val="00F201B6"/>
    <w:rsid w:val="00F342FA"/>
    <w:rsid w:val="00F349E2"/>
    <w:rsid w:val="00F37C68"/>
    <w:rsid w:val="00F37DC5"/>
    <w:rsid w:val="00F40AF7"/>
    <w:rsid w:val="00F51808"/>
    <w:rsid w:val="00F63D14"/>
    <w:rsid w:val="00F66E98"/>
    <w:rsid w:val="00F72146"/>
    <w:rsid w:val="00F84A44"/>
    <w:rsid w:val="00F9508E"/>
    <w:rsid w:val="00FA64C6"/>
    <w:rsid w:val="00FA7DB9"/>
    <w:rsid w:val="00FB1213"/>
    <w:rsid w:val="00FB7D35"/>
    <w:rsid w:val="00FC31A2"/>
    <w:rsid w:val="00FC59A3"/>
    <w:rsid w:val="00FD3FB0"/>
    <w:rsid w:val="00FD53F1"/>
    <w:rsid w:val="00FD546D"/>
    <w:rsid w:val="00FD5A2E"/>
    <w:rsid w:val="00FE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E3E6E90"/>
  <w15:chartTrackingRefBased/>
  <w15:docId w15:val="{92D80FC0-2CEE-46A9-B66F-E2D0A076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39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91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B5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355"/>
  </w:style>
  <w:style w:type="paragraph" w:styleId="Footer">
    <w:name w:val="footer"/>
    <w:basedOn w:val="Normal"/>
    <w:link w:val="FooterChar"/>
    <w:uiPriority w:val="99"/>
    <w:unhideWhenUsed/>
    <w:rsid w:val="000B5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355"/>
  </w:style>
  <w:style w:type="table" w:styleId="TableGrid">
    <w:name w:val="Table Grid"/>
    <w:basedOn w:val="TableNormal"/>
    <w:uiPriority w:val="59"/>
    <w:rsid w:val="00653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D4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5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55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Und19</b:Tag>
    <b:SourceType>InternetSite</b:SourceType>
    <b:Guid>{3A040701-3E17-4002-BD05-6448D7B80869}</b:Guid>
    <b:Title>Annual report which provides a comprehensive overview of the company for the past year</b:Title>
    <b:Year>2019</b:Year>
    <b:Author>
      <b:Author>
        <b:Corporate>Under Armour Inc</b:Corporate>
      </b:Author>
    </b:Author>
    <b:InternetSiteTitle>Under Armour</b:InternetSiteTitle>
    <b:Month>May</b:Month>
    <b:Day>1</b:Day>
    <b:URL>https://about.underarmour.com/investor-relations/financials#module-3</b:URL>
    <b:YearAccessed>2019</b:YearAccessed>
    <b:MonthAccessed>May</b:MonthAccessed>
    <b:DayAccessed>4</b:DayAccessed>
    <b:RefOrder>1</b:RefOrder>
  </b:Source>
</b:Sources>
</file>

<file path=customXml/itemProps1.xml><?xml version="1.0" encoding="utf-8"?>
<ds:datastoreItem xmlns:ds="http://schemas.openxmlformats.org/officeDocument/2006/customXml" ds:itemID="{1584B627-72EB-0848-9788-BC15FD398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10</Pages>
  <Words>1850</Words>
  <Characters>10549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Mariani</dc:creator>
  <cp:keywords/>
  <dc:description/>
  <cp:lastModifiedBy>Matthew Mariani</cp:lastModifiedBy>
  <cp:revision>404</cp:revision>
  <cp:lastPrinted>2020-05-04T21:47:00Z</cp:lastPrinted>
  <dcterms:created xsi:type="dcterms:W3CDTF">2020-04-26T18:43:00Z</dcterms:created>
  <dcterms:modified xsi:type="dcterms:W3CDTF">2020-09-17T17:43:00Z</dcterms:modified>
</cp:coreProperties>
</file>