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high-leverage-tier-1-practices"/>
    <w:p>
      <w:pPr>
        <w:pStyle w:val="Heading1"/>
      </w:pPr>
      <w:r>
        <w:t xml:space="preserve">High-Leverage Tier 1 Practices</w:t>
      </w:r>
    </w:p>
    <w:p>
      <w:pPr>
        <w:pStyle w:val="FirstParagraph"/>
      </w:pPr>
      <w:r>
        <w:t xml:space="preserve">A reference guide to the instructional and behavioral practices that produce the largest gains in universal (Tier 1) implementation. This is not a comprehensive literature review — it is a working synthesis of the practices with the strongest evidence base and the biggest gap between</w:t>
      </w:r>
      <w:r>
        <w:t xml:space="preserve"> </w:t>
      </w:r>
      <w:r>
        <w:t xml:space="preserve">“we think we do this”</w:t>
      </w:r>
      <w:r>
        <w:t xml:space="preserve"> </w:t>
      </w:r>
      <w:r>
        <w:t xml:space="preserve">and</w:t>
      </w:r>
      <w:r>
        <w:t xml:space="preserve"> </w:t>
      </w:r>
      <w:r>
        <w:t xml:space="preserve">“we actually do this”</w:t>
      </w:r>
      <w:r>
        <w:t xml:space="preserve"> </w:t>
      </w:r>
      <w:r>
        <w:t xml:space="preserve">in day-to-day classrooms.</w:t>
      </w:r>
    </w:p>
    <w:p>
      <w:pPr>
        <w:pStyle w:val="BodyText"/>
      </w:pPr>
      <w:r>
        <w:t xml:space="preserve">Use this document when your MTSS team is planning PD, auditing Tier 1 instruction, or deciding what a classroom walkthrough should look for.</w:t>
      </w:r>
      <w:r>
        <w:t xml:space="preserve"> </w:t>
      </w:r>
      <w:r>
        <w:rPr>
          <w:i/>
          <w:iCs/>
        </w:rPr>
        <w:t xml:space="preserve">See the MTSS Handbook §3 and §7 for how these practices connect to your school’s expectations and professional development plan.</w:t>
      </w:r>
    </w:p>
    <w:p>
      <w:pPr>
        <w:pStyle w:val="BodyText"/>
      </w:pPr>
      <w:r>
        <w:t xml:space="preserve">Six practices, three instructional and three behavioral. Each section has a short description and a side-by-side comparison of what the practice looks like in classrooms vs. what often gets confused with it. Full citations are in the References section at the end.</w:t>
      </w:r>
    </w:p>
    <w:p>
      <w:r>
        <w:pict>
          <v:rect style="width:0;height:1.5pt" o:hralign="center" o:hrstd="t" o:hr="t"/>
        </w:pict>
      </w:r>
    </w:p>
    <w:bookmarkStart w:id="9" w:name="the-six-practices-at-a-glance"/>
    <w:p>
      <w:pPr>
        <w:pStyle w:val="Heading2"/>
      </w:pPr>
      <w:r>
        <w:t xml:space="preserve">The six practices at a glance</w:t>
      </w:r>
    </w:p>
    <w:p>
      <w:pPr>
        <w:pStyle w:val="Compact"/>
        <w:numPr>
          <w:ilvl w:val="0"/>
          <w:numId w:val="1001"/>
        </w:numPr>
      </w:pPr>
      <w:r>
        <w:rPr>
          <w:b/>
          <w:bCs/>
        </w:rPr>
        <w:t xml:space="preserve">Explicit instruction</w:t>
      </w:r>
      <w:r>
        <w:t xml:space="preserve"> </w:t>
      </w:r>
      <w:r>
        <w:t xml:space="preserve">— teach the skill directly before asking students to apply it</w:t>
      </w:r>
    </w:p>
    <w:p>
      <w:pPr>
        <w:pStyle w:val="Compact"/>
        <w:numPr>
          <w:ilvl w:val="0"/>
          <w:numId w:val="1001"/>
        </w:numPr>
      </w:pPr>
      <w:r>
        <w:rPr>
          <w:b/>
          <w:bCs/>
        </w:rPr>
        <w:t xml:space="preserve">High rates of opportunity to respond</w:t>
      </w:r>
      <w:r>
        <w:t xml:space="preserve"> </w:t>
      </w:r>
      <w:r>
        <w:t xml:space="preserve">— every student, multiple times per lesson</w:t>
      </w:r>
    </w:p>
    <w:p>
      <w:pPr>
        <w:pStyle w:val="Compact"/>
        <w:numPr>
          <w:ilvl w:val="0"/>
          <w:numId w:val="1001"/>
        </w:numPr>
      </w:pPr>
      <w:r>
        <w:rPr>
          <w:b/>
          <w:bCs/>
        </w:rPr>
        <w:t xml:space="preserve">Formative assessment with immediate feedback</w:t>
      </w:r>
      <w:r>
        <w:t xml:space="preserve"> </w:t>
      </w:r>
      <w:r>
        <w:t xml:space="preserve">— check understanding during the lesson, not after</w:t>
      </w:r>
    </w:p>
    <w:p>
      <w:pPr>
        <w:pStyle w:val="Compact"/>
        <w:numPr>
          <w:ilvl w:val="0"/>
          <w:numId w:val="1001"/>
        </w:numPr>
      </w:pPr>
      <w:r>
        <w:rPr>
          <w:b/>
          <w:bCs/>
        </w:rPr>
        <w:t xml:space="preserve">Clear, positively-stated expectations</w:t>
      </w:r>
      <w:r>
        <w:t xml:space="preserve"> </w:t>
      </w:r>
      <w:r>
        <w:t xml:space="preserve">— 3–5 expectations, taught and re-taught</w:t>
      </w:r>
    </w:p>
    <w:p>
      <w:pPr>
        <w:pStyle w:val="Compact"/>
        <w:numPr>
          <w:ilvl w:val="0"/>
          <w:numId w:val="1001"/>
        </w:numPr>
      </w:pPr>
      <w:r>
        <w:rPr>
          <w:b/>
          <w:bCs/>
        </w:rPr>
        <w:t xml:space="preserve">High ratios of positive to corrective feedback</w:t>
      </w:r>
      <w:r>
        <w:t xml:space="preserve"> </w:t>
      </w:r>
      <w:r>
        <w:t xml:space="preserve">— at least 4 positive interactions for every corrective one</w:t>
      </w:r>
    </w:p>
    <w:p>
      <w:pPr>
        <w:pStyle w:val="Compact"/>
        <w:numPr>
          <w:ilvl w:val="0"/>
          <w:numId w:val="1001"/>
        </w:numPr>
      </w:pPr>
      <w:r>
        <w:rPr>
          <w:b/>
          <w:bCs/>
        </w:rPr>
        <w:t xml:space="preserve">Consistent routines and procedures</w:t>
      </w:r>
      <w:r>
        <w:t xml:space="preserve"> </w:t>
      </w:r>
      <w:r>
        <w:t xml:space="preserve">— predictable classroom structures that reduce cognitive load</w:t>
      </w:r>
    </w:p>
    <w:p>
      <w:r>
        <w:pict>
          <v:rect style="width:0;height:1.5pt" o:hralign="center" o:hrstd="t" o:hr="t"/>
        </w:pict>
      </w:r>
    </w:p>
    <w:bookmarkEnd w:id="9"/>
    <w:bookmarkStart w:id="10" w:name="explicit-instruction"/>
    <w:p>
      <w:pPr>
        <w:pStyle w:val="Heading2"/>
      </w:pPr>
      <w:r>
        <w:t xml:space="preserve">1. Explicit instruction</w:t>
      </w:r>
    </w:p>
    <w:p>
      <w:pPr>
        <w:pStyle w:val="FirstParagraph"/>
      </w:pPr>
      <w:r>
        <w:t xml:space="preserve">Teach the skill or concept directly, model it, walk students through guided practice, and only then move to independent practice. The teacher’s job in the first phase is to make the thinking visible — not to facilitate students</w:t>
      </w:r>
      <w:r>
        <w:t xml:space="preserve"> </w:t>
      </w:r>
      <w:r>
        <w:t xml:space="preserve">“discovering”</w:t>
      </w:r>
      <w:r>
        <w:t xml:space="preserve"> </w:t>
      </w:r>
      <w:r>
        <w:t xml:space="preserve">the skill on their own.</w:t>
      </w:r>
    </w:p>
    <w:p>
      <w:pPr>
        <w:pStyle w:val="BodyText"/>
      </w:pPr>
      <w:r>
        <w:t xml:space="preserve">This is the single most robust finding in instructional research. Students learning something</w:t>
      </w:r>
      <w:r>
        <w:t xml:space="preserve"> </w:t>
      </w:r>
      <w:r>
        <w:rPr>
          <w:i/>
          <w:iCs/>
        </w:rPr>
        <w:t xml:space="preserve">new</w:t>
      </w:r>
      <w:r>
        <w:t xml:space="preserve"> </w:t>
      </w:r>
      <w:r>
        <w:t xml:space="preserve">or</w:t>
      </w:r>
      <w:r>
        <w:t xml:space="preserve"> </w:t>
      </w:r>
      <w:r>
        <w:rPr>
          <w:i/>
          <w:iCs/>
        </w:rPr>
        <w:t xml:space="preserve">complex</w:t>
      </w:r>
      <w:r>
        <w:t xml:space="preserve"> </w:t>
      </w:r>
      <w:r>
        <w:t xml:space="preserve">benefit most from explicit instruction. Discovery and inquiry methods have their place later in the learning cycle, after foundational skills are secure.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it looks like</w:t>
            </w:r>
          </w:p>
        </w:tc>
        <w:tc>
          <w:tcPr/>
          <w:p>
            <w:pPr>
              <w:pStyle w:val="Compact"/>
            </w:pPr>
            <w:r>
              <w:t xml:space="preserve">What gets confused with it</w:t>
            </w:r>
          </w:p>
        </w:tc>
      </w:tr>
      <w:tr>
        <w:tc>
          <w:tcPr/>
          <w:p>
            <w:pPr>
              <w:pStyle w:val="Compact"/>
            </w:pPr>
            <w:r>
              <w:t xml:space="preserve">Teacher models the skill with a clear</w:t>
            </w:r>
            <w:r>
              <w:t xml:space="preserve"> </w:t>
            </w:r>
            <w:r>
              <w:t xml:space="preserve">“I do”</w:t>
            </w:r>
            <w:r>
              <w:t xml:space="preserve"> </w:t>
            </w:r>
            <w:r>
              <w:t xml:space="preserve">phase before students attempt it</w:t>
            </w:r>
          </w:p>
        </w:tc>
        <w:tc>
          <w:tcPr/>
          <w:p>
            <w:pPr>
              <w:pStyle w:val="Compact"/>
            </w:pPr>
            <w:r>
              <w:t xml:space="preserve">Teacher explains the concept once, then moves to independent practice</w:t>
            </w:r>
          </w:p>
        </w:tc>
      </w:tr>
      <w:tr>
        <w:tc>
          <w:tcPr/>
          <w:p>
            <w:pPr>
              <w:pStyle w:val="Compact"/>
            </w:pPr>
            <w:r>
              <w:t xml:space="preserve">Worked examples with think-aloud narration of the steps</w:t>
            </w:r>
          </w:p>
        </w:tc>
        <w:tc>
          <w:tcPr/>
          <w:p>
            <w:pPr>
              <w:pStyle w:val="Compact"/>
            </w:pPr>
            <w:r>
              <w:t xml:space="preserve">Assigning problems and walking around to help</w:t>
            </w:r>
          </w:p>
        </w:tc>
      </w:tr>
      <w:tr>
        <w:tc>
          <w:tcPr/>
          <w:p>
            <w:pPr>
              <w:pStyle w:val="Compact"/>
            </w:pPr>
            <w:r>
              <w:t xml:space="preserve">Guided practice where the teacher thins support gradually</w:t>
            </w:r>
          </w:p>
        </w:tc>
        <w:tc>
          <w:tcPr/>
          <w:p>
            <w:pPr>
              <w:pStyle w:val="Compact"/>
            </w:pPr>
            <w:r>
              <w:t xml:space="preserve">“Group work”</w:t>
            </w:r>
            <w:r>
              <w:t xml:space="preserve"> </w:t>
            </w:r>
            <w:r>
              <w:t xml:space="preserve">where struggling students copy peers</w:t>
            </w:r>
          </w:p>
        </w:tc>
      </w:tr>
      <w:tr>
        <w:tc>
          <w:tcPr/>
          <w:p>
            <w:pPr>
              <w:pStyle w:val="Compact"/>
            </w:pPr>
            <w:r>
              <w:t xml:space="preserve">Clear success criteria stated at the start of the lesson</w:t>
            </w:r>
          </w:p>
        </w:tc>
        <w:tc>
          <w:tcPr/>
          <w:p>
            <w:pPr>
              <w:pStyle w:val="Compact"/>
            </w:pPr>
            <w:r>
              <w:t xml:space="preserve">“By the end of the lesson, students will understand…”</w:t>
            </w:r>
            <w:r>
              <w:t xml:space="preserve"> </w:t>
            </w:r>
            <w:r>
              <w:t xml:space="preserve">with no observable behavior</w:t>
            </w:r>
          </w:p>
        </w:tc>
      </w:tr>
    </w:tbl>
    <w:p>
      <w:r>
        <w:pict>
          <v:rect style="width:0;height:1.5pt" o:hralign="center" o:hrstd="t" o:hr="t"/>
        </w:pict>
      </w:r>
    </w:p>
    <w:bookmarkEnd w:id="10"/>
    <w:bookmarkStart w:id="11" w:name="high-rates-of-opportunity-to-respond"/>
    <w:p>
      <w:pPr>
        <w:pStyle w:val="Heading2"/>
      </w:pPr>
      <w:r>
        <w:t xml:space="preserve">2. High rates of opportunity to respond</w:t>
      </w:r>
    </w:p>
    <w:p>
      <w:pPr>
        <w:pStyle w:val="FirstParagraph"/>
      </w:pPr>
      <w:r>
        <w:t xml:space="preserve">Every student responds to instruction many times per lesson — not just the three or four who raise their hands. Responses can be verbal (choral response, partner talk), written (whiteboards, sticky notes), or physical (signals, gestures). The point is participation density, not the format.</w:t>
      </w:r>
    </w:p>
    <w:p>
      <w:pPr>
        <w:pStyle w:val="BodyText"/>
      </w:pPr>
      <w:r>
        <w:t xml:space="preserve">Research-supported targets:</w:t>
      </w:r>
      <w:r>
        <w:t xml:space="preserve"> </w:t>
      </w:r>
      <w:r>
        <w:rPr>
          <w:b/>
          <w:bCs/>
        </w:rPr>
        <w:t xml:space="preserve">3–5 opportunities to respond per minute</w:t>
      </w:r>
      <w:r>
        <w:t xml:space="preserve"> </w:t>
      </w:r>
      <w:r>
        <w:t xml:space="preserve">during instructional delivery. Classrooms that hit this rate see higher on-task behavior and higher achievement, especially for students who would otherwise disengage.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it looks like</w:t>
            </w:r>
          </w:p>
        </w:tc>
        <w:tc>
          <w:tcPr/>
          <w:p>
            <w:pPr>
              <w:pStyle w:val="Compact"/>
            </w:pPr>
            <w:r>
              <w:t xml:space="preserve">What gets confused with it</w:t>
            </w:r>
          </w:p>
        </w:tc>
      </w:tr>
      <w:tr>
        <w:tc>
          <w:tcPr/>
          <w:p>
            <w:pPr>
              <w:pStyle w:val="Compact"/>
            </w:pPr>
            <w:r>
              <w:t xml:space="preserve">Choral response, whiteboards, partner turns used throughout the lesson</w:t>
            </w:r>
          </w:p>
        </w:tc>
        <w:tc>
          <w:tcPr/>
          <w:p>
            <w:pPr>
              <w:pStyle w:val="Compact"/>
            </w:pPr>
            <w:r>
              <w:t xml:space="preserve">Teacher calls on individual students who raise hands</w:t>
            </w:r>
          </w:p>
        </w:tc>
      </w:tr>
      <w:tr>
        <w:tc>
          <w:tcPr/>
          <w:p>
            <w:pPr>
              <w:pStyle w:val="Compact"/>
            </w:pPr>
            <w:r>
              <w:t xml:space="preserve">Every student signals an answer before the teacher reveals it</w:t>
            </w:r>
          </w:p>
        </w:tc>
        <w:tc>
          <w:tcPr/>
          <w:p>
            <w:pPr>
              <w:pStyle w:val="Compact"/>
            </w:pPr>
            <w:r>
              <w:t xml:space="preserve">Teacher asks a question and waits for one volunteer</w:t>
            </w:r>
          </w:p>
        </w:tc>
      </w:tr>
      <w:tr>
        <w:tc>
          <w:tcPr/>
          <w:p>
            <w:pPr>
              <w:pStyle w:val="Compact"/>
            </w:pPr>
            <w:r>
              <w:t xml:space="preserve">Partner talk with a structured prompt and a time limit</w:t>
            </w:r>
          </w:p>
        </w:tc>
        <w:tc>
          <w:tcPr/>
          <w:p>
            <w:pPr>
              <w:pStyle w:val="Compact"/>
            </w:pPr>
            <w:r>
              <w:t xml:space="preserve">“Discuss with your neighbor”</w:t>
            </w:r>
            <w:r>
              <w:t xml:space="preserve"> </w:t>
            </w:r>
            <w:r>
              <w:t xml:space="preserve">with no structure or accountability</w:t>
            </w:r>
          </w:p>
        </w:tc>
      </w:tr>
      <w:tr>
        <w:tc>
          <w:tcPr/>
          <w:p>
            <w:pPr>
              <w:pStyle w:val="Compact"/>
            </w:pPr>
            <w:r>
              <w:t xml:space="preserve">Random non-volunteer calling paired with wait time</w:t>
            </w:r>
          </w:p>
        </w:tc>
        <w:tc>
          <w:tcPr/>
          <w:p>
            <w:pPr>
              <w:pStyle w:val="Compact"/>
            </w:pPr>
            <w:r>
              <w:t xml:space="preserve">Only strong students get called on because they respond fastest</w:t>
            </w:r>
          </w:p>
        </w:tc>
      </w:tr>
    </w:tbl>
    <w:p>
      <w:r>
        <w:pict>
          <v:rect style="width:0;height:1.5pt" o:hralign="center" o:hrstd="t" o:hr="t"/>
        </w:pict>
      </w:r>
    </w:p>
    <w:bookmarkEnd w:id="11"/>
    <w:bookmarkStart w:id="12" w:name="Xd66a2f05d46f3ac8b4b5f7a69c0e4b217bf7e2a"/>
    <w:p>
      <w:pPr>
        <w:pStyle w:val="Heading2"/>
      </w:pPr>
      <w:r>
        <w:t xml:space="preserve">3. Formative assessment with immediate feedback</w:t>
      </w:r>
    </w:p>
    <w:p>
      <w:pPr>
        <w:pStyle w:val="FirstParagraph"/>
      </w:pPr>
      <w:r>
        <w:t xml:space="preserve">Check whether students got it</w:t>
      </w:r>
      <w:r>
        <w:t xml:space="preserve"> </w:t>
      </w:r>
      <w:r>
        <w:rPr>
          <w:i/>
          <w:iCs/>
        </w:rPr>
        <w:t xml:space="preserve">during</w:t>
      </w:r>
      <w:r>
        <w:t xml:space="preserve"> </w:t>
      </w:r>
      <w:r>
        <w:t xml:space="preserve">the lesson, not on tomorrow’s exit ticket. When you catch a misconception in the moment, you can correct it before it hardens. When you catch it the next day, half the class has practiced the wrong thing overnight.</w:t>
      </w:r>
    </w:p>
    <w:p>
      <w:pPr>
        <w:pStyle w:val="BodyText"/>
      </w:pPr>
      <w:r>
        <w:t xml:space="preserve">Formative assessment is a practice, not a tool. Whiteboards, hand signals,</w:t>
      </w:r>
      <w:r>
        <w:t xml:space="preserve"> </w:t>
      </w:r>
      <w:r>
        <w:t xml:space="preserve">“two stars and a wish”</w:t>
      </w:r>
      <w:r>
        <w:t xml:space="preserve"> </w:t>
      </w:r>
      <w:r>
        <w:t xml:space="preserve">partner checks, and quick polls all count. What makes it work is the</w:t>
      </w:r>
      <w:r>
        <w:t xml:space="preserve"> </w:t>
      </w:r>
      <w:r>
        <w:rPr>
          <w:b/>
          <w:bCs/>
        </w:rPr>
        <w:t xml:space="preserve">response loop</w:t>
      </w:r>
      <w:r>
        <w:t xml:space="preserve">: the teacher sees the misconception, addresses it immediately, and re-checks before moving 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it looks like</w:t>
            </w:r>
          </w:p>
        </w:tc>
        <w:tc>
          <w:tcPr/>
          <w:p>
            <w:pPr>
              <w:pStyle w:val="Compact"/>
            </w:pPr>
            <w:r>
              <w:t xml:space="preserve">What gets confused with it</w:t>
            </w:r>
          </w:p>
        </w:tc>
      </w:tr>
      <w:tr>
        <w:tc>
          <w:tcPr/>
          <w:p>
            <w:pPr>
              <w:pStyle w:val="Compact"/>
            </w:pPr>
            <w:r>
              <w:t xml:space="preserve">Mid-lesson checks that change what the teacher does next</w:t>
            </w:r>
          </w:p>
        </w:tc>
        <w:tc>
          <w:tcPr/>
          <w:p>
            <w:pPr>
              <w:pStyle w:val="Compact"/>
            </w:pPr>
            <w:r>
              <w:t xml:space="preserve">Exit tickets graded after students leave</w:t>
            </w:r>
          </w:p>
        </w:tc>
      </w:tr>
      <w:tr>
        <w:tc>
          <w:tcPr/>
          <w:p>
            <w:pPr>
              <w:pStyle w:val="Compact"/>
            </w:pPr>
            <w:r>
              <w:t xml:space="preserve">Teacher re-teaches when a majority miss a check</w:t>
            </w:r>
          </w:p>
        </w:tc>
        <w:tc>
          <w:tcPr/>
          <w:p>
            <w:pPr>
              <w:pStyle w:val="Compact"/>
            </w:pPr>
            <w:r>
              <w:t xml:space="preserve">Teacher moves on regardless of results</w:t>
            </w:r>
          </w:p>
        </w:tc>
      </w:tr>
      <w:tr>
        <w:tc>
          <w:tcPr/>
          <w:p>
            <w:pPr>
              <w:pStyle w:val="Compact"/>
            </w:pPr>
            <w:r>
              <w:t xml:space="preserve">Specific, actionable feedback in the moment (</w:t>
            </w:r>
            <w:r>
              <w:t xml:space="preserve">“you forgot to regroup — try again”</w:t>
            </w:r>
            <w:r>
              <w:t xml:space="preserve">)</w:t>
            </w:r>
          </w:p>
        </w:tc>
        <w:tc>
          <w:tcPr/>
          <w:p>
            <w:pPr>
              <w:pStyle w:val="Compact"/>
            </w:pPr>
            <w:r>
              <w:t xml:space="preserve">“Good job”</w:t>
            </w:r>
            <w:r>
              <w:t xml:space="preserve"> </w:t>
            </w:r>
            <w:r>
              <w:t xml:space="preserve">or a checkmark</w:t>
            </w:r>
          </w:p>
        </w:tc>
      </w:tr>
      <w:tr>
        <w:tc>
          <w:tcPr/>
          <w:p>
            <w:pPr>
              <w:pStyle w:val="Compact"/>
            </w:pPr>
            <w:r>
              <w:t xml:space="preserve">Students know what mastery looks like and can self-assess</w:t>
            </w:r>
          </w:p>
        </w:tc>
        <w:tc>
          <w:tcPr/>
          <w:p>
            <w:pPr>
              <w:pStyle w:val="Compact"/>
            </w:pPr>
            <w:r>
              <w:t xml:space="preserve">Grades returned without comments</w:t>
            </w:r>
          </w:p>
        </w:tc>
      </w:tr>
    </w:tbl>
    <w:p>
      <w:r>
        <w:pict>
          <v:rect style="width:0;height:1.5pt" o:hralign="center" o:hrstd="t" o:hr="t"/>
        </w:pict>
      </w:r>
    </w:p>
    <w:bookmarkEnd w:id="12"/>
    <w:bookmarkStart w:id="13" w:name="clear-positively-stated-expectations"/>
    <w:p>
      <w:pPr>
        <w:pStyle w:val="Heading2"/>
      </w:pPr>
      <w:r>
        <w:t xml:space="preserve">4. Clear, positively-stated expectations</w:t>
      </w:r>
    </w:p>
    <w:p>
      <w:pPr>
        <w:pStyle w:val="FirstParagraph"/>
      </w:pPr>
      <w:r>
        <w:t xml:space="preserve">A small number of expectations (usually 3–5) that apply everywhere in the building, are stated positively (</w:t>
      </w:r>
      <w:r>
        <w:t xml:space="preserve">“respect yourself and others,”</w:t>
      </w:r>
      <w:r>
        <w:t xml:space="preserve"> </w:t>
      </w:r>
      <w:r>
        <w:t xml:space="preserve">not</w:t>
      </w:r>
      <w:r>
        <w:t xml:space="preserve"> </w:t>
      </w:r>
      <w:r>
        <w:t xml:space="preserve">“no hitting”</w:t>
      </w:r>
      <w:r>
        <w:t xml:space="preserve">), and are taught explicitly — not assumed. Re-teaching happens on a schedule, not just when behavior breaks down.</w:t>
      </w:r>
    </w:p>
    <w:p>
      <w:pPr>
        <w:pStyle w:val="BodyText"/>
      </w:pPr>
      <w:r>
        <w:t xml:space="preserve">Positive framing matters because students can’t do</w:t>
      </w:r>
      <w:r>
        <w:t xml:space="preserve"> </w:t>
      </w:r>
      <w:r>
        <w:t xml:space="preserve">“not”</w:t>
      </w:r>
      <w:r>
        <w:t xml:space="preserve"> </w:t>
      </w:r>
      <w:r>
        <w:t xml:space="preserve">something.</w:t>
      </w:r>
      <w:r>
        <w:t xml:space="preserve"> </w:t>
      </w:r>
      <w:r>
        <w:t xml:space="preserve">“Don’t run”</w:t>
      </w:r>
      <w:r>
        <w:t xml:space="preserve"> </w:t>
      </w:r>
      <w:r>
        <w:t xml:space="preserve">doesn’t tell a student what to do instead;</w:t>
      </w:r>
      <w:r>
        <w:t xml:space="preserve"> </w:t>
      </w:r>
      <w:r>
        <w:t xml:space="preserve">“walk in the hallway”</w:t>
      </w:r>
      <w:r>
        <w:t xml:space="preserve"> </w:t>
      </w:r>
      <w:r>
        <w:t xml:space="preserve">does. This is one of the clearest findings in PBIS research and one of the most common places schools</w:t>
      </w:r>
      <w:r>
        <w:t xml:space="preserve"> </w:t>
      </w:r>
      <w:r>
        <w:rPr>
          <w:i/>
          <w:iCs/>
        </w:rPr>
        <w:t xml:space="preserve">think</w:t>
      </w:r>
      <w:r>
        <w:t xml:space="preserve"> </w:t>
      </w:r>
      <w:r>
        <w:t xml:space="preserve">they’ve implemented it but haven’t.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it looks like</w:t>
            </w:r>
          </w:p>
        </w:tc>
        <w:tc>
          <w:tcPr/>
          <w:p>
            <w:pPr>
              <w:pStyle w:val="Compact"/>
            </w:pPr>
            <w:r>
              <w:t xml:space="preserve">What gets confused with it</w:t>
            </w:r>
          </w:p>
        </w:tc>
      </w:tr>
      <w:tr>
        <w:tc>
          <w:tcPr/>
          <w:p>
            <w:pPr>
              <w:pStyle w:val="Compact"/>
            </w:pPr>
            <w:r>
              <w:t xml:space="preserve">3–5 expectations posted in every space, referenced by staff daily</w:t>
            </w:r>
          </w:p>
        </w:tc>
        <w:tc>
          <w:tcPr/>
          <w:p>
            <w:pPr>
              <w:pStyle w:val="Compact"/>
            </w:pPr>
            <w:r>
              <w:t xml:space="preserve">A long list of rules in the handbook that no one references</w:t>
            </w:r>
          </w:p>
        </w:tc>
      </w:tr>
      <w:tr>
        <w:tc>
          <w:tcPr/>
          <w:p>
            <w:pPr>
              <w:pStyle w:val="Compact"/>
            </w:pPr>
            <w:r>
              <w:t xml:space="preserve">Expectations taught in first week with examples and non-examples</w:t>
            </w:r>
          </w:p>
        </w:tc>
        <w:tc>
          <w:tcPr/>
          <w:p>
            <w:pPr>
              <w:pStyle w:val="Compact"/>
            </w:pPr>
            <w:r>
              <w:t xml:space="preserve">Reviewing expectations only when students break them</w:t>
            </w:r>
          </w:p>
        </w:tc>
      </w:tr>
      <w:tr>
        <w:tc>
          <w:tcPr/>
          <w:p>
            <w:pPr>
              <w:pStyle w:val="Compact"/>
            </w:pPr>
            <w:r>
              <w:t xml:space="preserve">Expectations re-taught after breaks and at mid-year</w:t>
            </w:r>
          </w:p>
        </w:tc>
        <w:tc>
          <w:tcPr/>
          <w:p>
            <w:pPr>
              <w:pStyle w:val="Compact"/>
            </w:pPr>
            <w:r>
              <w:t xml:space="preserve">“They should know this by now”</w:t>
            </w:r>
          </w:p>
        </w:tc>
      </w:tr>
      <w:tr>
        <w:tc>
          <w:tcPr/>
          <w:p>
            <w:pPr>
              <w:pStyle w:val="Compact"/>
            </w:pPr>
            <w:r>
              <w:t xml:space="preserve">Students can name the expectations unprompted</w:t>
            </w:r>
          </w:p>
        </w:tc>
        <w:tc>
          <w:tcPr/>
          <w:p>
            <w:pPr>
              <w:pStyle w:val="Compact"/>
            </w:pPr>
            <w:r>
              <w:t xml:space="preserve">Adults can name them; students can’t</w:t>
            </w:r>
          </w:p>
        </w:tc>
      </w:tr>
    </w:tbl>
    <w:p>
      <w:r>
        <w:pict>
          <v:rect style="width:0;height:1.5pt" o:hralign="center" o:hrstd="t" o:hr="t"/>
        </w:pict>
      </w:r>
    </w:p>
    <w:bookmarkEnd w:id="13"/>
    <w:bookmarkStart w:id="14" w:name="Xa71ae4d25a193dc21dc825fb9676fcaf11912cc"/>
    <w:p>
      <w:pPr>
        <w:pStyle w:val="Heading2"/>
      </w:pPr>
      <w:r>
        <w:t xml:space="preserve">5. High ratios of positive to corrective feedback</w:t>
      </w:r>
    </w:p>
    <w:p>
      <w:pPr>
        <w:pStyle w:val="FirstParagraph"/>
      </w:pPr>
      <w:r>
        <w:t xml:space="preserve">For every corrective interaction (redirection, reminder, consequence), the student should have received at least four positive interactions (specific praise, acknowledgment, positive non-verbal). Research supports a</w:t>
      </w:r>
      <w:r>
        <w:t xml:space="preserve"> </w:t>
      </w:r>
      <w:r>
        <w:rPr>
          <w:b/>
          <w:bCs/>
        </w:rPr>
        <w:t xml:space="preserve">4:1 ratio as a floor</w:t>
      </w:r>
      <w:r>
        <w:t xml:space="preserve">; 5:1 is stronger.</w:t>
      </w:r>
    </w:p>
    <w:p>
      <w:pPr>
        <w:pStyle w:val="BodyText"/>
      </w:pPr>
      <w:r>
        <w:t xml:space="preserve">This practice is counterintuitive. Teachers who feel like they’re</w:t>
      </w:r>
      <w:r>
        <w:t xml:space="preserve"> </w:t>
      </w:r>
      <w:r>
        <w:t xml:space="preserve">“being positive”</w:t>
      </w:r>
      <w:r>
        <w:t xml:space="preserve"> </w:t>
      </w:r>
      <w:r>
        <w:t xml:space="preserve">are often at 1:1 or 2:1 when measured. The ratio matters because students who receive mostly corrective feedback come to associate the classroom with correction — and behavior gets worse, not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it looks like</w:t>
            </w:r>
          </w:p>
        </w:tc>
        <w:tc>
          <w:tcPr/>
          <w:p>
            <w:pPr>
              <w:pStyle w:val="Compact"/>
            </w:pPr>
            <w:r>
              <w:t xml:space="preserve">What gets confused with it</w:t>
            </w:r>
          </w:p>
        </w:tc>
      </w:tr>
      <w:tr>
        <w:tc>
          <w:tcPr/>
          <w:p>
            <w:pPr>
              <w:pStyle w:val="Compact"/>
            </w:pPr>
            <w:r>
              <w:t xml:space="preserve">Specific praise (</w:t>
            </w:r>
            <w:r>
              <w:t xml:space="preserve">“I noticed you started right away”</w:t>
            </w:r>
            <w:r>
              <w:t xml:space="preserve">) delivered frequently</w:t>
            </w:r>
          </w:p>
        </w:tc>
        <w:tc>
          <w:tcPr/>
          <w:p>
            <w:pPr>
              <w:pStyle w:val="Compact"/>
            </w:pPr>
            <w:r>
              <w:t xml:space="preserve">Generic praise (</w:t>
            </w:r>
            <w:r>
              <w:t xml:space="preserve">“good job”</w:t>
            </w:r>
            <w:r>
              <w:t xml:space="preserve">) used as filler</w:t>
            </w:r>
          </w:p>
        </w:tc>
      </w:tr>
      <w:tr>
        <w:tc>
          <w:tcPr/>
          <w:p>
            <w:pPr>
              <w:pStyle w:val="Compact"/>
            </w:pPr>
            <w:r>
              <w:t xml:space="preserve">Praise targets the same behaviors the expectations describe</w:t>
            </w:r>
          </w:p>
        </w:tc>
        <w:tc>
          <w:tcPr/>
          <w:p>
            <w:pPr>
              <w:pStyle w:val="Compact"/>
            </w:pPr>
            <w:r>
              <w:t xml:space="preserve">Praise is random or based on the adult’s mood</w:t>
            </w:r>
          </w:p>
        </w:tc>
      </w:tr>
      <w:tr>
        <w:tc>
          <w:tcPr/>
          <w:p>
            <w:pPr>
              <w:pStyle w:val="Compact"/>
            </w:pPr>
            <w:r>
              <w:t xml:space="preserve">Acknowledgment systems (tickets, house points) aligned to expectations</w:t>
            </w:r>
          </w:p>
        </w:tc>
        <w:tc>
          <w:tcPr/>
          <w:p>
            <w:pPr>
              <w:pStyle w:val="Compact"/>
            </w:pPr>
            <w:r>
              <w:t xml:space="preserve">Systems that praise compliance but not effort</w:t>
            </w:r>
          </w:p>
        </w:tc>
      </w:tr>
      <w:tr>
        <w:tc>
          <w:tcPr/>
          <w:p>
            <w:pPr>
              <w:pStyle w:val="Compact"/>
            </w:pPr>
            <w:r>
              <w:t xml:space="preserve">Adults redirect privately when possible</w:t>
            </w:r>
          </w:p>
        </w:tc>
        <w:tc>
          <w:tcPr/>
          <w:p>
            <w:pPr>
              <w:pStyle w:val="Compact"/>
            </w:pPr>
            <w:r>
              <w:t xml:space="preserve">Public reprimands that escalate</w:t>
            </w:r>
          </w:p>
        </w:tc>
      </w:tr>
    </w:tbl>
    <w:p>
      <w:r>
        <w:pict>
          <v:rect style="width:0;height:1.5pt" o:hralign="center" o:hrstd="t" o:hr="t"/>
        </w:pict>
      </w:r>
    </w:p>
    <w:bookmarkEnd w:id="14"/>
    <w:bookmarkStart w:id="15" w:name="consistent-routines-and-procedures"/>
    <w:p>
      <w:pPr>
        <w:pStyle w:val="Heading2"/>
      </w:pPr>
      <w:r>
        <w:t xml:space="preserve">6. Consistent routines and procedures</w:t>
      </w:r>
    </w:p>
    <w:p>
      <w:pPr>
        <w:pStyle w:val="FirstParagraph"/>
      </w:pPr>
      <w:r>
        <w:t xml:space="preserve">Predictable classroom structures — how students enter, how they ask for help, how they transition between activities — that are taught like content in the first weeks of school and reinforced throughout the year. Routines reduce cognitive load so students can focus on learning rather than on figuring out what’s allowed.</w:t>
      </w:r>
    </w:p>
    <w:p>
      <w:pPr>
        <w:pStyle w:val="BodyText"/>
      </w:pPr>
      <w:r>
        <w:t xml:space="preserve">Routines are different from rules. Rules are what students should or shouldn’t do; routines are</w:t>
      </w:r>
      <w:r>
        <w:t xml:space="preserve"> </w:t>
      </w:r>
      <w:r>
        <w:rPr>
          <w:i/>
          <w:iCs/>
        </w:rPr>
        <w:t xml:space="preserve">how</w:t>
      </w:r>
      <w:r>
        <w:t xml:space="preserve"> </w:t>
      </w:r>
      <w:r>
        <w:t xml:space="preserve">things happen. A classroom with strong routines rarely needs to invoke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it looks like</w:t>
            </w:r>
          </w:p>
        </w:tc>
        <w:tc>
          <w:tcPr/>
          <w:p>
            <w:pPr>
              <w:pStyle w:val="Compact"/>
            </w:pPr>
            <w:r>
              <w:t xml:space="preserve">What gets confused with it</w:t>
            </w:r>
          </w:p>
        </w:tc>
      </w:tr>
      <w:tr>
        <w:tc>
          <w:tcPr/>
          <w:p>
            <w:pPr>
              <w:pStyle w:val="Compact"/>
            </w:pPr>
            <w:r>
              <w:t xml:space="preserve">Routines for entry, materials, transitions, asking for help</w:t>
            </w:r>
          </w:p>
        </w:tc>
        <w:tc>
          <w:tcPr/>
          <w:p>
            <w:pPr>
              <w:pStyle w:val="Compact"/>
            </w:pPr>
            <w:r>
              <w:t xml:space="preserve">Rules posted, routines assumed</w:t>
            </w:r>
          </w:p>
        </w:tc>
      </w:tr>
      <w:tr>
        <w:tc>
          <w:tcPr/>
          <w:p>
            <w:pPr>
              <w:pStyle w:val="Compact"/>
            </w:pPr>
            <w:r>
              <w:t xml:space="preserve">Teacher teaches and practices routines explicitly in first 2 weeks</w:t>
            </w:r>
          </w:p>
        </w:tc>
        <w:tc>
          <w:tcPr/>
          <w:p>
            <w:pPr>
              <w:pStyle w:val="Compact"/>
            </w:pPr>
            <w:r>
              <w:t xml:space="preserve">Teacher explains routines verbally once in August</w:t>
            </w:r>
          </w:p>
        </w:tc>
      </w:tr>
      <w:tr>
        <w:tc>
          <w:tcPr/>
          <w:p>
            <w:pPr>
              <w:pStyle w:val="Compact"/>
            </w:pPr>
            <w:r>
              <w:t xml:space="preserve">Routines stay consistent across the year and across teachers where possible</w:t>
            </w:r>
          </w:p>
        </w:tc>
        <w:tc>
          <w:tcPr/>
          <w:p>
            <w:pPr>
              <w:pStyle w:val="Compact"/>
            </w:pPr>
            <w:r>
              <w:t xml:space="preserve">Each teacher has different procedures for the same activity</w:t>
            </w:r>
          </w:p>
        </w:tc>
      </w:tr>
      <w:tr>
        <w:tc>
          <w:tcPr/>
          <w:p>
            <w:pPr>
              <w:pStyle w:val="Compact"/>
            </w:pPr>
            <w:r>
              <w:t xml:space="preserve">Substitutes can run the class because routines are visible</w:t>
            </w:r>
          </w:p>
        </w:tc>
        <w:tc>
          <w:tcPr/>
          <w:p>
            <w:pPr>
              <w:pStyle w:val="Compact"/>
            </w:pPr>
            <w:r>
              <w:t xml:space="preserve">Classroom falls apart when the teacher is absent</w:t>
            </w:r>
          </w:p>
        </w:tc>
      </w:tr>
    </w:tbl>
    <w:p>
      <w:r>
        <w:pict>
          <v:rect style="width:0;height:1.5pt" o:hralign="center" o:hrstd="t" o:hr="t"/>
        </w:pict>
      </w:r>
    </w:p>
    <w:bookmarkEnd w:id="15"/>
    <w:bookmarkStart w:id="16" w:name="using-this-guide"/>
    <w:p>
      <w:pPr>
        <w:pStyle w:val="Heading2"/>
      </w:pPr>
      <w:r>
        <w:t xml:space="preserve">Using this guide</w:t>
      </w:r>
    </w:p>
    <w:p>
      <w:pPr>
        <w:pStyle w:val="FirstParagraph"/>
      </w:pPr>
      <w:r>
        <w:t xml:space="preserve">This is reference material, not a checklist to score yourself against. Three common ways MTSS teams use a document like this:</w:t>
      </w:r>
    </w:p>
    <w:p>
      <w:pPr>
        <w:pStyle w:val="Compact"/>
        <w:numPr>
          <w:ilvl w:val="0"/>
          <w:numId w:val="1002"/>
        </w:numPr>
      </w:pPr>
      <w:r>
        <w:rPr>
          <w:b/>
          <w:bCs/>
        </w:rPr>
        <w:t xml:space="preserve">PD planning.</w:t>
      </w:r>
      <w:r>
        <w:t xml:space="preserve"> </w:t>
      </w:r>
      <w:r>
        <w:t xml:space="preserve">Pick one or two practices per year. A full-school focus on a single high-leverage practice — done well — produces more gain than surface coverage of all six.</w:t>
      </w:r>
    </w:p>
    <w:p>
      <w:pPr>
        <w:pStyle w:val="Compact"/>
        <w:numPr>
          <w:ilvl w:val="0"/>
          <w:numId w:val="1002"/>
        </w:numPr>
      </w:pPr>
      <w:r>
        <w:rPr>
          <w:b/>
          <w:bCs/>
        </w:rPr>
        <w:t xml:space="preserve">Walkthrough focus.</w:t>
      </w:r>
      <w:r>
        <w:t xml:space="preserve"> </w:t>
      </w:r>
      <w:r>
        <w:t xml:space="preserve">When administrators visit classrooms, knowing which practice they’re looking for makes the feedback more useful than generic observation.</w:t>
      </w:r>
    </w:p>
    <w:p>
      <w:pPr>
        <w:pStyle w:val="Compact"/>
        <w:numPr>
          <w:ilvl w:val="0"/>
          <w:numId w:val="1002"/>
        </w:numPr>
      </w:pPr>
      <w:r>
        <w:rPr>
          <w:b/>
          <w:bCs/>
        </w:rPr>
        <w:t xml:space="preserve">Self-reflection.</w:t>
      </w:r>
      <w:r>
        <w:t xml:space="preserve"> </w:t>
      </w:r>
      <w:r>
        <w:t xml:space="preserve">Teachers read the</w:t>
      </w:r>
      <w:r>
        <w:t xml:space="preserve"> </w:t>
      </w:r>
      <w:r>
        <w:t xml:space="preserve">“looks like / gets confused with”</w:t>
      </w:r>
      <w:r>
        <w:t xml:space="preserve"> </w:t>
      </w:r>
      <w:r>
        <w:t xml:space="preserve">tables and locate their own practice honestly. Most teachers identify one practice they thought they were doing well that they’re actually doing only partially.</w:t>
      </w:r>
    </w:p>
    <w:p>
      <w:pPr>
        <w:pStyle w:val="FirstParagraph"/>
      </w:pPr>
      <w:r>
        <w:t xml:space="preserve">None of these require the document to be filled in. Use it, refer to it, come back to it — that’s what reference guides are for.</w:t>
      </w:r>
    </w:p>
    <w:p>
      <w:r>
        <w:pict>
          <v:rect style="width:0;height:1.5pt" o:hralign="center" o:hrstd="t" o:hr="t"/>
        </w:pict>
      </w:r>
    </w:p>
    <w:bookmarkEnd w:id="16"/>
    <w:bookmarkStart w:id="17" w:name="references"/>
    <w:p>
      <w:pPr>
        <w:pStyle w:val="Heading2"/>
      </w:pPr>
      <w:r>
        <w:t xml:space="preserve">References</w:t>
      </w:r>
    </w:p>
    <w:p>
      <w:pPr>
        <w:pStyle w:val="FirstParagraph"/>
      </w:pPr>
      <w:r>
        <w:t xml:space="preserve">Full citations for the research behind each practice, organized by practice number.</w:t>
      </w:r>
    </w:p>
    <w:p>
      <w:pPr>
        <w:pStyle w:val="BodyText"/>
      </w:pPr>
      <w:r>
        <w:rPr>
          <w:b/>
          <w:bCs/>
        </w:rPr>
        <w:t xml:space="preserve">§1 — Explicit instruction</w:t>
      </w:r>
    </w:p>
    <w:p>
      <w:pPr>
        <w:pStyle w:val="Compact"/>
        <w:numPr>
          <w:ilvl w:val="0"/>
          <w:numId w:val="1003"/>
        </w:numPr>
      </w:pPr>
      <w:r>
        <w:t xml:space="preserve">Archer, A. L., &amp; Hughes, C. A. (2011).</w:t>
      </w:r>
      <w:r>
        <w:t xml:space="preserve"> </w:t>
      </w:r>
      <w:r>
        <w:rPr>
          <w:i/>
          <w:iCs/>
        </w:rPr>
        <w:t xml:space="preserve">Explicit Instruction: Effective and Efficient Teaching.</w:t>
      </w:r>
      <w:r>
        <w:t xml:space="preserve"> </w:t>
      </w:r>
      <w:r>
        <w:t xml:space="preserve">Guilford Press.</w:t>
      </w:r>
    </w:p>
    <w:p>
      <w:pPr>
        <w:pStyle w:val="Compact"/>
        <w:numPr>
          <w:ilvl w:val="0"/>
          <w:numId w:val="1003"/>
        </w:numPr>
      </w:pPr>
      <w:r>
        <w:t xml:space="preserve">Hattie, J. (2009).</w:t>
      </w:r>
      <w:r>
        <w:t xml:space="preserve"> </w:t>
      </w:r>
      <w:r>
        <w:rPr>
          <w:i/>
          <w:iCs/>
        </w:rPr>
        <w:t xml:space="preserve">Visible Learning: A Synthesis of Over 800 Meta-Analyses Relating to Achievement.</w:t>
      </w:r>
      <w:r>
        <w:t xml:space="preserve"> </w:t>
      </w:r>
      <w:r>
        <w:t xml:space="preserve">Routledge.</w:t>
      </w:r>
    </w:p>
    <w:p>
      <w:pPr>
        <w:pStyle w:val="Compact"/>
        <w:numPr>
          <w:ilvl w:val="0"/>
          <w:numId w:val="1003"/>
        </w:numPr>
      </w:pPr>
      <w:r>
        <w:t xml:space="preserve">Institute of Education Sciences, What Works Clearinghouse.</w:t>
      </w:r>
      <w:r>
        <w:t xml:space="preserve"> </w:t>
      </w:r>
      <w:r>
        <w:rPr>
          <w:i/>
          <w:iCs/>
        </w:rPr>
        <w:t xml:space="preserve">Practice guides on foundational reading, mathematics, and writing instruction.</w:t>
      </w:r>
      <w:r>
        <w:t xml:space="preserve"> </w:t>
      </w:r>
      <w:r>
        <w:t xml:space="preserve">ies.ed.gov/ncee/wwc</w:t>
      </w:r>
    </w:p>
    <w:p>
      <w:pPr>
        <w:pStyle w:val="FirstParagraph"/>
      </w:pPr>
      <w:r>
        <w:rPr>
          <w:b/>
          <w:bCs/>
        </w:rPr>
        <w:t xml:space="preserve">§2 — High rates of opportunity to respond</w:t>
      </w:r>
    </w:p>
    <w:p>
      <w:pPr>
        <w:pStyle w:val="Compact"/>
        <w:numPr>
          <w:ilvl w:val="0"/>
          <w:numId w:val="1004"/>
        </w:numPr>
      </w:pPr>
      <w:r>
        <w:t xml:space="preserve">Archer, A. L., &amp; Hughes, C. A. (2011).</w:t>
      </w:r>
      <w:r>
        <w:t xml:space="preserve"> </w:t>
      </w:r>
      <w:r>
        <w:rPr>
          <w:i/>
          <w:iCs/>
        </w:rPr>
        <w:t xml:space="preserve">Explicit Instruction: Effective and Efficient Teaching.</w:t>
      </w:r>
      <w:r>
        <w:t xml:space="preserve"> </w:t>
      </w:r>
      <w:r>
        <w:t xml:space="preserve">Guilford Press.</w:t>
      </w:r>
    </w:p>
    <w:p>
      <w:pPr>
        <w:pStyle w:val="Compact"/>
        <w:numPr>
          <w:ilvl w:val="0"/>
          <w:numId w:val="1004"/>
        </w:numPr>
      </w:pPr>
      <w:r>
        <w:t xml:space="preserve">MacSuga-Gage, A. S., &amp; Simonsen, B. (2015). Examining the effects of teacher-directed opportunities to respond on student outcomes: A systematic review of the literature.</w:t>
      </w:r>
      <w:r>
        <w:t xml:space="preserve"> </w:t>
      </w:r>
      <w:r>
        <w:rPr>
          <w:i/>
          <w:iCs/>
        </w:rPr>
        <w:t xml:space="preserve">Education and Treatment of Children, 38</w:t>
      </w:r>
      <w:r>
        <w:t xml:space="preserve">(2), 211–240.</w:t>
      </w:r>
    </w:p>
    <w:p>
      <w:pPr>
        <w:pStyle w:val="FirstParagraph"/>
      </w:pPr>
      <w:r>
        <w:rPr>
          <w:b/>
          <w:bCs/>
        </w:rPr>
        <w:t xml:space="preserve">§3 — Formative assessment with immediate feedback</w:t>
      </w:r>
    </w:p>
    <w:p>
      <w:pPr>
        <w:pStyle w:val="Compact"/>
        <w:numPr>
          <w:ilvl w:val="0"/>
          <w:numId w:val="1005"/>
        </w:numPr>
      </w:pPr>
      <w:r>
        <w:t xml:space="preserve">Hattie, J. (2009).</w:t>
      </w:r>
      <w:r>
        <w:t xml:space="preserve"> </w:t>
      </w:r>
      <w:r>
        <w:rPr>
          <w:i/>
          <w:iCs/>
        </w:rPr>
        <w:t xml:space="preserve">Visible Learning: A Synthesis of Over 800 Meta-Analyses Relating to Achievement.</w:t>
      </w:r>
      <w:r>
        <w:t xml:space="preserve"> </w:t>
      </w:r>
      <w:r>
        <w:t xml:space="preserve">Routledge.</w:t>
      </w:r>
    </w:p>
    <w:p>
      <w:pPr>
        <w:pStyle w:val="Compact"/>
        <w:numPr>
          <w:ilvl w:val="0"/>
          <w:numId w:val="1005"/>
        </w:numPr>
      </w:pPr>
      <w:r>
        <w:t xml:space="preserve">Wiliam, D. (2011).</w:t>
      </w:r>
      <w:r>
        <w:t xml:space="preserve"> </w:t>
      </w:r>
      <w:r>
        <w:rPr>
          <w:i/>
          <w:iCs/>
        </w:rPr>
        <w:t xml:space="preserve">Embedded Formative Assessment.</w:t>
      </w:r>
      <w:r>
        <w:t xml:space="preserve"> </w:t>
      </w:r>
      <w:r>
        <w:t xml:space="preserve">Solution Tree Press.</w:t>
      </w:r>
    </w:p>
    <w:p>
      <w:pPr>
        <w:pStyle w:val="FirstParagraph"/>
      </w:pPr>
      <w:r>
        <w:rPr>
          <w:b/>
          <w:bCs/>
        </w:rPr>
        <w:t xml:space="preserve">§4 — Clear, positively-stated expectations</w:t>
      </w:r>
    </w:p>
    <w:p>
      <w:pPr>
        <w:pStyle w:val="Compact"/>
        <w:numPr>
          <w:ilvl w:val="0"/>
          <w:numId w:val="1006"/>
        </w:numPr>
      </w:pPr>
      <w:r>
        <w:t xml:space="preserve">Center on PBIS.</w:t>
      </w:r>
      <w:r>
        <w:t xml:space="preserve"> </w:t>
      </w:r>
      <w:r>
        <w:rPr>
          <w:i/>
          <w:iCs/>
        </w:rPr>
        <w:t xml:space="preserve">Tier 1 Core Features and Implementation Blueprint.</w:t>
      </w:r>
      <w:r>
        <w:t xml:space="preserve"> </w:t>
      </w:r>
      <w:r>
        <w:t xml:space="preserve">pbis.org</w:t>
      </w:r>
    </w:p>
    <w:p>
      <w:pPr>
        <w:pStyle w:val="Compact"/>
        <w:numPr>
          <w:ilvl w:val="0"/>
          <w:numId w:val="1006"/>
        </w:numPr>
      </w:pPr>
      <w:r>
        <w:t xml:space="preserve">Simonsen, B., Fairbanks, S., Briesch, A., Myers, D., &amp; Sugai, G. (2008). Evidence-based practices in classroom management: Considerations for research to practice.</w:t>
      </w:r>
      <w:r>
        <w:t xml:space="preserve"> </w:t>
      </w:r>
      <w:r>
        <w:rPr>
          <w:i/>
          <w:iCs/>
        </w:rPr>
        <w:t xml:space="preserve">Education and Treatment of Children, 31</w:t>
      </w:r>
      <w:r>
        <w:t xml:space="preserve">(3), 351–380.</w:t>
      </w:r>
    </w:p>
    <w:p>
      <w:pPr>
        <w:pStyle w:val="FirstParagraph"/>
      </w:pPr>
      <w:r>
        <w:rPr>
          <w:b/>
          <w:bCs/>
        </w:rPr>
        <w:t xml:space="preserve">§5 — High ratios of positive to corrective feedback</w:t>
      </w:r>
    </w:p>
    <w:p>
      <w:pPr>
        <w:pStyle w:val="Compact"/>
        <w:numPr>
          <w:ilvl w:val="0"/>
          <w:numId w:val="1007"/>
        </w:numPr>
      </w:pPr>
      <w:r>
        <w:t xml:space="preserve">Center on PBIS.</w:t>
      </w:r>
      <w:r>
        <w:t xml:space="preserve"> </w:t>
      </w:r>
      <w:r>
        <w:rPr>
          <w:i/>
          <w:iCs/>
        </w:rPr>
        <w:t xml:space="preserve">Tier 1 Core Features and Implementation Blueprint.</w:t>
      </w:r>
      <w:r>
        <w:t xml:space="preserve"> </w:t>
      </w:r>
      <w:r>
        <w:t xml:space="preserve">pbis.org</w:t>
      </w:r>
    </w:p>
    <w:p>
      <w:pPr>
        <w:pStyle w:val="Compact"/>
        <w:numPr>
          <w:ilvl w:val="0"/>
          <w:numId w:val="1007"/>
        </w:numPr>
      </w:pPr>
      <w:r>
        <w:t xml:space="preserve">Cook, C. R., Fiat, A., Larson, M., Daikos, C., Slemrod, T., Holland, E. A., Thayer, A. J., &amp; Renshaw, T. (2018). Positive greetings at the door: Evaluation of a low-cost, high-yield proactive classroom management strategy.</w:t>
      </w:r>
      <w:r>
        <w:t xml:space="preserve"> </w:t>
      </w:r>
      <w:r>
        <w:rPr>
          <w:i/>
          <w:iCs/>
        </w:rPr>
        <w:t xml:space="preserve">Journal of Positive Behavior Interventions, 20</w:t>
      </w:r>
      <w:r>
        <w:t xml:space="preserve">(3), 149–159.</w:t>
      </w:r>
    </w:p>
    <w:p>
      <w:pPr>
        <w:pStyle w:val="FirstParagraph"/>
      </w:pPr>
      <w:r>
        <w:rPr>
          <w:b/>
          <w:bCs/>
        </w:rPr>
        <w:t xml:space="preserve">§6 — Consistent routines and procedures</w:t>
      </w:r>
    </w:p>
    <w:p>
      <w:pPr>
        <w:pStyle w:val="Compact"/>
        <w:numPr>
          <w:ilvl w:val="0"/>
          <w:numId w:val="1008"/>
        </w:numPr>
      </w:pPr>
      <w:r>
        <w:t xml:space="preserve">Lemov, D. (2015).</w:t>
      </w:r>
      <w:r>
        <w:t xml:space="preserve"> </w:t>
      </w:r>
      <w:r>
        <w:rPr>
          <w:i/>
          <w:iCs/>
        </w:rPr>
        <w:t xml:space="preserve">Teach Like a Champion 2.0: 62 Techniques That Put Students on the Path to College.</w:t>
      </w:r>
      <w:r>
        <w:t xml:space="preserve"> </w:t>
      </w:r>
      <w:r>
        <w:t xml:space="preserve">Jossey-Bass.</w:t>
      </w:r>
    </w:p>
    <w:p>
      <w:pPr>
        <w:pStyle w:val="Compact"/>
        <w:numPr>
          <w:ilvl w:val="0"/>
          <w:numId w:val="1008"/>
        </w:numPr>
      </w:pPr>
      <w:r>
        <w:t xml:space="preserve">Wong, H. K., &amp; Wong, R. T. (2018).</w:t>
      </w:r>
      <w:r>
        <w:t xml:space="preserve"> </w:t>
      </w:r>
      <w:r>
        <w:rPr>
          <w:i/>
          <w:iCs/>
        </w:rPr>
        <w:t xml:space="preserve">The First Days of School: How to Be an Effective Teacher</w:t>
      </w:r>
      <w:r>
        <w:t xml:space="preserve"> </w:t>
      </w:r>
      <w:r>
        <w:t xml:space="preserve">(5th ed.). Harry K. Wong Publications.</w:t>
      </w:r>
    </w:p>
    <w:p>
      <w:pPr>
        <w:pStyle w:val="Compact"/>
        <w:numPr>
          <w:ilvl w:val="0"/>
          <w:numId w:val="1008"/>
        </w:numPr>
      </w:pPr>
      <w:r>
        <w:t xml:space="preserve">CAST.</w:t>
      </w:r>
      <w:r>
        <w:t xml:space="preserve"> </w:t>
      </w:r>
      <w:r>
        <w:rPr>
          <w:i/>
          <w:iCs/>
        </w:rPr>
        <w:t xml:space="preserve">Universal Design for Learning Guidelines, version 2.2.</w:t>
      </w:r>
      <w:r>
        <w:t xml:space="preserve"> </w:t>
      </w:r>
      <w:r>
        <w:t xml:space="preserve">udlguidelines.cast.org</w:t>
      </w:r>
    </w:p>
    <w:p>
      <w:r>
        <w:pict>
          <v:rect style="width:0;height:1.5pt" o:hralign="center" o:hrstd="t" o:hr="t"/>
        </w:pict>
      </w:r>
    </w:p>
    <w:bookmarkEnd w:id="17"/>
    <w:bookmarkStart w:id="18" w:name="for-deeper-reading"/>
    <w:p>
      <w:pPr>
        <w:pStyle w:val="Heading2"/>
      </w:pPr>
      <w:r>
        <w:t xml:space="preserve">For deeper reading</w:t>
      </w:r>
    </w:p>
    <w:p>
      <w:pPr>
        <w:pStyle w:val="FirstParagraph"/>
      </w:pPr>
      <w:r>
        <w:t xml:space="preserve">Two anchors for teams that want a broader grounding beyond the practice-specific citations above:</w:t>
      </w:r>
    </w:p>
    <w:p>
      <w:pPr>
        <w:pStyle w:val="Compact"/>
        <w:numPr>
          <w:ilvl w:val="0"/>
          <w:numId w:val="1009"/>
        </w:numPr>
      </w:pPr>
      <w:r>
        <w:rPr>
          <w:b/>
          <w:bCs/>
        </w:rPr>
        <w:t xml:space="preserve">What Works Clearinghouse practice guides</w:t>
      </w:r>
      <w:r>
        <w:t xml:space="preserve"> </w:t>
      </w:r>
      <w:r>
        <w:t xml:space="preserve">(ies.ed.gov/ncee/wwc) — free, federally-funded, practice-focused research syntheses on foundational skills, behavior, English learners, and more</w:t>
      </w:r>
    </w:p>
    <w:p>
      <w:pPr>
        <w:pStyle w:val="Compact"/>
        <w:numPr>
          <w:ilvl w:val="0"/>
          <w:numId w:val="1009"/>
        </w:numPr>
      </w:pPr>
      <w:r>
        <w:rPr>
          <w:b/>
          <w:bCs/>
        </w:rPr>
        <w:t xml:space="preserve">PBIS Technical Assistance Center</w:t>
      </w:r>
      <w:r>
        <w:t xml:space="preserve"> </w:t>
      </w:r>
      <w:r>
        <w:t xml:space="preserve">(pbis.org) — free, detailed implementation guidance for Tier 1 behavior systems</w:t>
      </w:r>
    </w:p>
    <w:p>
      <w:pPr>
        <w:pStyle w:val="FirstParagraph"/>
      </w:pPr>
      <w:r>
        <w:t xml:space="preserve">Both are maintained and updated; both are the kind of resource a team can return to over multiple years without finding it stale.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2026-04-19T21:31:55Z</dcterms:created>
  <dcterms:modified xsi:type="dcterms:W3CDTF">2026-04-19T21:31:55Z</dcterms:modified>
</cp:coreProperties>
</file>

<file path=docProps/custom.xml><?xml version="1.0" encoding="utf-8"?>
<Properties xmlns="http://schemas.openxmlformats.org/officeDocument/2006/custom-properties" xmlns:vt="http://schemas.openxmlformats.org/officeDocument/2006/docPropsVTypes"/>
</file>