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ample-discipline-flowchart"/>
    <w:p>
      <w:pPr>
        <w:pStyle w:val="Heading1"/>
      </w:pPr>
      <w:r>
        <w:t xml:space="preserve">Sample Discipline Flowchart</w:t>
      </w:r>
    </w:p>
    <w:p>
      <w:pPr>
        <w:pStyle w:val="FirstParagraph"/>
      </w:pPr>
      <w:r>
        <w:t xml:space="preserve">A</w:t>
      </w:r>
      <w:r>
        <w:t xml:space="preserve"> </w:t>
      </w:r>
      <w:r>
        <w:rPr>
          <w:b/>
          <w:bCs/>
        </w:rPr>
        <w:t xml:space="preserve">concrete worked example</w:t>
      </w:r>
      <w:r>
        <w:t xml:space="preserve"> </w:t>
      </w:r>
      <w:r>
        <w:t xml:space="preserve">of a Tier 1 discipline flowchart, showing how staff should respond to student behavior that is off-track. This is a sample — the structure is ready to use, but the specific behavior categories, escalation steps, and documentation procedures should be customized to match your district’s policies and your building’s context before you adopt it.</w:t>
      </w:r>
    </w:p>
    <w:p>
      <w:pPr>
        <w:pStyle w:val="BodyText"/>
      </w:pPr>
      <w:r>
        <w:rPr>
          <w:i/>
          <w:iCs/>
        </w:rPr>
        <w:t xml:space="preserve">See the MTSS Handbook §3 (school-wide expectations) and §4 (discipline flowchart) for how this artifact fits into your Tier 1 system.</w:t>
      </w:r>
    </w:p>
    <w:p>
      <w:r>
        <w:pict>
          <v:rect style="width:0;height:1.5pt" o:hralign="center" o:hrstd="t" o:hr="t"/>
        </w:pict>
      </w:r>
    </w:p>
    <w:bookmarkStart w:id="9" w:name="before-you-customize-this"/>
    <w:p>
      <w:pPr>
        <w:pStyle w:val="Heading2"/>
      </w:pPr>
      <w:r>
        <w:t xml:space="preserve">Before you customize this</w:t>
      </w:r>
    </w:p>
    <w:p>
      <w:pPr>
        <w:pStyle w:val="FirstParagraph"/>
      </w:pPr>
      <w:r>
        <w:t xml:space="preserve">A discipline flowchart works only if</w:t>
      </w:r>
      <w:r>
        <w:t xml:space="preserve"> </w:t>
      </w:r>
      <w:r>
        <w:rPr>
          <w:b/>
          <w:bCs/>
        </w:rPr>
        <w:t xml:space="preserve">every staff member can execute it without having to think</w:t>
      </w:r>
      <w:r>
        <w:t xml:space="preserve">. That means it has to be short enough to remember, specific enough to remove guesswork, and aligned with what your district policy actually allows.</w:t>
      </w:r>
    </w:p>
    <w:p>
      <w:pPr>
        <w:pStyle w:val="BodyText"/>
      </w:pPr>
      <w:r>
        <w:t xml:space="preserve">Before adopting this sample, your MTSS team should make local decisions on:</w:t>
      </w:r>
    </w:p>
    <w:p>
      <w:pPr>
        <w:pStyle w:val="Compact"/>
        <w:numPr>
          <w:ilvl w:val="0"/>
          <w:numId w:val="1001"/>
        </w:numPr>
      </w:pPr>
      <w:r>
        <w:rPr>
          <w:b/>
          <w:bCs/>
        </w:rPr>
        <w:t xml:space="preserve">Behavior categorizations.</w:t>
      </w:r>
      <w:r>
        <w:t xml:space="preserve"> </w:t>
      </w:r>
      <w:r>
        <w:t xml:space="preserve">The staff-managed and office-managed lists below are starting points, not mandates. Your district’s discipline policy is the final word on what must be office-managed (often bullying, weapons, substances, fighting) and may override the staff-managed categorizations shown here.</w:t>
      </w:r>
    </w:p>
    <w:p>
      <w:pPr>
        <w:pStyle w:val="Compact"/>
        <w:numPr>
          <w:ilvl w:val="0"/>
          <w:numId w:val="1001"/>
        </w:numPr>
      </w:pPr>
      <w:r>
        <w:rPr>
          <w:b/>
          <w:bCs/>
        </w:rPr>
        <w:t xml:space="preserve">Documentation tool.</w:t>
      </w:r>
      <w:r>
        <w:t xml:space="preserve"> </w:t>
      </w:r>
      <w:r>
        <w:t xml:space="preserve">Where staff-managed incidents get logged (Intervention Monitoring’s behavior tracking templates, a district-issued incident platform, or a building-level log).</w:t>
      </w:r>
    </w:p>
    <w:p>
      <w:pPr>
        <w:pStyle w:val="Compact"/>
        <w:numPr>
          <w:ilvl w:val="0"/>
          <w:numId w:val="1001"/>
        </w:numPr>
      </w:pPr>
      <w:r>
        <w:rPr>
          <w:b/>
          <w:bCs/>
        </w:rPr>
        <w:t xml:space="preserve">Who handles office referrals.</w:t>
      </w:r>
      <w:r>
        <w:t xml:space="preserve"> </w:t>
      </w:r>
      <w:r>
        <w:t xml:space="preserve">Assistant principal, dean of students, counselor, behavior specialist — name the roles, not just</w:t>
      </w:r>
      <w:r>
        <w:t xml:space="preserve"> </w:t>
      </w:r>
      <w:r>
        <w:t xml:space="preserve">“the office.”</w:t>
      </w:r>
    </w:p>
    <w:p>
      <w:pPr>
        <w:pStyle w:val="Compact"/>
        <w:numPr>
          <w:ilvl w:val="0"/>
          <w:numId w:val="1001"/>
        </w:numPr>
      </w:pPr>
      <w:r>
        <w:rPr>
          <w:b/>
          <w:bCs/>
        </w:rPr>
        <w:t xml:space="preserve">Local policy variations.</w:t>
      </w:r>
      <w:r>
        <w:t xml:space="preserve"> </w:t>
      </w:r>
      <w:r>
        <w:t xml:space="preserve">Tardies, technology use, and participation expectations all vary significantly by district and grade level. Insert your specific policy where this sample uses generic language.</w:t>
      </w:r>
    </w:p>
    <w:p>
      <w:r>
        <w:pict>
          <v:rect style="width:0;height:1.5pt" o:hralign="center" o:hrstd="t" o:hr="t"/>
        </w:pict>
      </w:r>
    </w:p>
    <w:bookmarkEnd w:id="9"/>
    <w:bookmarkStart w:id="14" w:name="X13a88293d516d7f40eaaf43893bf215c3b98bd5"/>
    <w:p>
      <w:pPr>
        <w:pStyle w:val="Heading2"/>
      </w:pPr>
      <w:r>
        <w:t xml:space="preserve">Step 1 — Decide: staff-managed or office-managed?</w:t>
      </w:r>
    </w:p>
    <w:p>
      <w:pPr>
        <w:pStyle w:val="FirstParagraph"/>
      </w:pPr>
      <w:r>
        <w:t xml:space="preserve">When a behavior occurs, the first question is which lane it belongs in. Most classroom behavior is staff-managed; a smaller set is office-managed because the severity, safety implications, or district policy require administrator involvement.</w:t>
      </w:r>
    </w:p>
    <w:bookmarkStart w:id="10" w:name="staff-managed-minor-behaviors"/>
    <w:p>
      <w:pPr>
        <w:pStyle w:val="Heading3"/>
      </w:pPr>
      <w:r>
        <w:t xml:space="preserve">Staff-managed (minor) behaviors</w:t>
      </w:r>
    </w:p>
    <w:p>
      <w:pPr>
        <w:pStyle w:val="FirstParagraph"/>
      </w:pPr>
      <w:r>
        <w:t xml:space="preserve">Behaviors the classroom teacher handles directly, using the escalation steps in Step 2. Staff-managed behaviors are logged but do not automatically generate an office referral.</w:t>
      </w:r>
    </w:p>
    <w:p>
      <w:pPr>
        <w:pStyle w:val="Compact"/>
        <w:numPr>
          <w:ilvl w:val="0"/>
          <w:numId w:val="1002"/>
        </w:numPr>
      </w:pPr>
      <w:r>
        <w:t xml:space="preserve">Calling out / talking over instruction</w:t>
      </w:r>
    </w:p>
    <w:p>
      <w:pPr>
        <w:pStyle w:val="Compact"/>
        <w:numPr>
          <w:ilvl w:val="0"/>
          <w:numId w:val="1002"/>
        </w:numPr>
      </w:pPr>
      <w:r>
        <w:t xml:space="preserve">Off-task behavior</w:t>
      </w:r>
    </w:p>
    <w:p>
      <w:pPr>
        <w:pStyle w:val="Compact"/>
        <w:numPr>
          <w:ilvl w:val="0"/>
          <w:numId w:val="1002"/>
        </w:numPr>
      </w:pPr>
      <w:r>
        <w:t xml:space="preserve">Minor peer conflicts or teasing</w:t>
      </w:r>
    </w:p>
    <w:p>
      <w:pPr>
        <w:pStyle w:val="Compact"/>
        <w:numPr>
          <w:ilvl w:val="0"/>
          <w:numId w:val="1002"/>
        </w:numPr>
      </w:pPr>
      <w:r>
        <w:t xml:space="preserve">Electronic device misuse (first instance)</w:t>
      </w:r>
    </w:p>
    <w:p>
      <w:pPr>
        <w:pStyle w:val="Compact"/>
        <w:numPr>
          <w:ilvl w:val="0"/>
          <w:numId w:val="1002"/>
        </w:numPr>
      </w:pPr>
      <w:r>
        <w:t xml:space="preserve">Refusing to complete work</w:t>
      </w:r>
    </w:p>
    <w:p>
      <w:pPr>
        <w:pStyle w:val="Compact"/>
        <w:numPr>
          <w:ilvl w:val="0"/>
          <w:numId w:val="1002"/>
        </w:numPr>
      </w:pPr>
      <w:r>
        <w:t xml:space="preserve">Leaving seat without permission</w:t>
      </w:r>
    </w:p>
    <w:p>
      <w:pPr>
        <w:pStyle w:val="Compact"/>
        <w:numPr>
          <w:ilvl w:val="0"/>
          <w:numId w:val="1002"/>
        </w:numPr>
      </w:pPr>
      <w:r>
        <w:t xml:space="preserve">Minor disrespect (eye-rolling, muttering, sarcastic tone)</w:t>
      </w:r>
    </w:p>
    <w:bookmarkEnd w:id="10"/>
    <w:bookmarkStart w:id="11" w:name="office-managed-major-behaviors"/>
    <w:p>
      <w:pPr>
        <w:pStyle w:val="Heading3"/>
      </w:pPr>
      <w:r>
        <w:t xml:space="preserve">Office-managed (major) behaviors</w:t>
      </w:r>
    </w:p>
    <w:p>
      <w:pPr>
        <w:pStyle w:val="FirstParagraph"/>
      </w:pPr>
      <w:r>
        <w:t xml:space="preserve">Behaviors that are referred to an administrator directly, skipping the staff escalation sequence. The classroom teacher’s first responsibility is to ensure safety, then to make the referral.</w:t>
      </w:r>
    </w:p>
    <w:p>
      <w:pPr>
        <w:pStyle w:val="Compact"/>
        <w:numPr>
          <w:ilvl w:val="0"/>
          <w:numId w:val="1003"/>
        </w:numPr>
      </w:pPr>
      <w:r>
        <w:t xml:space="preserve">Physical aggression toward people (hitting, pushing, fighting)</w:t>
      </w:r>
    </w:p>
    <w:p>
      <w:pPr>
        <w:pStyle w:val="Compact"/>
        <w:numPr>
          <w:ilvl w:val="0"/>
          <w:numId w:val="1003"/>
        </w:numPr>
      </w:pPr>
      <w:r>
        <w:t xml:space="preserve">Property destruction</w:t>
      </w:r>
    </w:p>
    <w:p>
      <w:pPr>
        <w:pStyle w:val="Compact"/>
        <w:numPr>
          <w:ilvl w:val="0"/>
          <w:numId w:val="1003"/>
        </w:numPr>
      </w:pPr>
      <w:r>
        <w:t xml:space="preserve">Threats (verbal, written, digital)</w:t>
      </w:r>
    </w:p>
    <w:p>
      <w:pPr>
        <w:pStyle w:val="Compact"/>
        <w:numPr>
          <w:ilvl w:val="0"/>
          <w:numId w:val="1003"/>
        </w:numPr>
      </w:pPr>
      <w:r>
        <w:t xml:space="preserve">Possession of weapons or illegal substances</w:t>
      </w:r>
    </w:p>
    <w:p>
      <w:pPr>
        <w:pStyle w:val="Compact"/>
        <w:numPr>
          <w:ilvl w:val="0"/>
          <w:numId w:val="1003"/>
        </w:numPr>
      </w:pPr>
      <w:r>
        <w:t xml:space="preserve">Leaving the classroom or campus without permission</w:t>
      </w:r>
    </w:p>
    <w:p>
      <w:pPr>
        <w:pStyle w:val="Compact"/>
        <w:numPr>
          <w:ilvl w:val="0"/>
          <w:numId w:val="1003"/>
        </w:numPr>
      </w:pPr>
      <w:r>
        <w:t xml:space="preserve">Any behavior mandated as office-managed by district policy (often including bullying determinations)</w:t>
      </w:r>
    </w:p>
    <w:bookmarkEnd w:id="11"/>
    <w:bookmarkStart w:id="12" w:name="X07b66cc05972da13331f9a094dfa8ccd8f6b712"/>
    <w:p>
      <w:pPr>
        <w:pStyle w:val="Heading3"/>
      </w:pPr>
      <w:r>
        <w:t xml:space="preserve">Escalation from staff-managed to office-managed</w:t>
      </w:r>
    </w:p>
    <w:p>
      <w:pPr>
        <w:pStyle w:val="FirstParagraph"/>
      </w:pPr>
      <w:r>
        <w:t xml:space="preserve">A behavior that</w:t>
      </w:r>
      <w:r>
        <w:t xml:space="preserve"> </w:t>
      </w:r>
      <w:r>
        <w:rPr>
          <w:i/>
          <w:iCs/>
        </w:rPr>
        <w:t xml:space="preserve">began</w:t>
      </w:r>
      <w:r>
        <w:t xml:space="preserve"> </w:t>
      </w:r>
      <w:r>
        <w:t xml:space="preserve">as staff-managed may become office-managed if it continues to escalate despite the teacher working through the full Step 2 sequence. This is not a separate category of behavior — it’s the scenario where a teacher has repeatedly tried to manage a behavior in the classroom, used every step available, and the behavior has not resolved or is getting worse.</w:t>
      </w:r>
    </w:p>
    <w:p>
      <w:pPr>
        <w:pStyle w:val="BodyText"/>
      </w:pPr>
      <w:r>
        <w:t xml:space="preserve">When this happens, the teacher makes an office referral and the behavior moves to Step 3. This is expected — not a sign of failure. The staff-managed sequence exists to give students a real chance to self-correct before administrator involvement; when it doesn’t work, the referral is the next tool.</w:t>
      </w:r>
    </w:p>
    <w:bookmarkEnd w:id="12"/>
    <w:bookmarkStart w:id="13" w:name="Xafd47151ebf3390d0777202727ca81ec937d0ba"/>
    <w:p>
      <w:pPr>
        <w:pStyle w:val="Heading3"/>
      </w:pPr>
      <w:r>
        <w:t xml:space="preserve">Varies by district — insert your local policy</w:t>
      </w:r>
    </w:p>
    <w:p>
      <w:pPr>
        <w:pStyle w:val="FirstParagraph"/>
      </w:pPr>
      <w:r>
        <w:t xml:space="preserve">These categories aren’t universally placed in either lane. Check your district handbook and fill in below before finalizing:</w:t>
      </w:r>
    </w:p>
    <w:p>
      <w:pPr>
        <w:pStyle w:val="Compact"/>
        <w:numPr>
          <w:ilvl w:val="0"/>
          <w:numId w:val="1004"/>
        </w:numPr>
      </w:pPr>
      <w:r>
        <w:rPr>
          <w:b/>
          <w:bCs/>
        </w:rPr>
        <w:t xml:space="preserve">Tardies:</w:t>
      </w:r>
      <w:r>
        <w:t xml:space="preserve"> </w:t>
      </w:r>
      <w:r>
        <w:t xml:space="preserve">_________________________</w:t>
      </w:r>
      <w:r>
        <w:t xml:space="preserve"> </w:t>
      </w:r>
      <w:r>
        <w:rPr>
          <w:i/>
          <w:iCs/>
        </w:rPr>
        <w:t xml:space="preserve">(common: staff-managed up to N per quarter, then office)</w:t>
      </w:r>
    </w:p>
    <w:p>
      <w:pPr>
        <w:pStyle w:val="Compact"/>
        <w:numPr>
          <w:ilvl w:val="0"/>
          <w:numId w:val="1004"/>
        </w:numPr>
      </w:pPr>
      <w:r>
        <w:rPr>
          <w:b/>
          <w:bCs/>
        </w:rPr>
        <w:t xml:space="preserve">Misuse of technology:</w:t>
      </w:r>
      <w:r>
        <w:t xml:space="preserve"> </w:t>
      </w:r>
      <w:r>
        <w:t xml:space="preserve">_________________________</w:t>
      </w:r>
      <w:r>
        <w:t xml:space="preserve"> </w:t>
      </w:r>
      <w:r>
        <w:rPr>
          <w:i/>
          <w:iCs/>
        </w:rPr>
        <w:t xml:space="preserve">(common: staff-managed with confiscation for first offense; repeated or egregious misuse becomes office-managed)</w:t>
      </w:r>
    </w:p>
    <w:p>
      <w:pPr>
        <w:pStyle w:val="Compact"/>
        <w:numPr>
          <w:ilvl w:val="0"/>
          <w:numId w:val="1004"/>
        </w:numPr>
      </w:pPr>
      <w:r>
        <w:rPr>
          <w:b/>
          <w:bCs/>
        </w:rPr>
        <w:t xml:space="preserve">Refuses to participate:</w:t>
      </w:r>
      <w:r>
        <w:t xml:space="preserve"> </w:t>
      </w:r>
      <w:r>
        <w:t xml:space="preserve">_________________________</w:t>
      </w:r>
      <w:r>
        <w:t xml:space="preserve"> </w:t>
      </w:r>
      <w:r>
        <w:rPr>
          <w:i/>
          <w:iCs/>
        </w:rPr>
        <w:t xml:space="preserve">(common: staff-managed through the escalation sequence; office-managed if refusal is combined with disruption to other students)</w:t>
      </w:r>
    </w:p>
    <w:p>
      <w:r>
        <w:pict>
          <v:rect style="width:0;height:1.5pt" o:hralign="center" o:hrstd="t" o:hr="t"/>
        </w:pict>
      </w:r>
    </w:p>
    <w:bookmarkEnd w:id="13"/>
    <w:bookmarkEnd w:id="14"/>
    <w:bookmarkStart w:id="15" w:name="X68a6eb752c0c0864525422035c21daa0bae0548"/>
    <w:p>
      <w:pPr>
        <w:pStyle w:val="Heading2"/>
      </w:pPr>
      <w:r>
        <w:t xml:space="preserve">Step 2 — If staff-managed: the five-step escalation</w:t>
      </w:r>
    </w:p>
    <w:p>
      <w:pPr>
        <w:pStyle w:val="FirstParagraph"/>
      </w:pPr>
      <w:r>
        <w:t xml:space="preserve">For staff-managed behaviors, work through the escalation sequence below. Each step gives the student an opportunity to correct before the next step is invoked. Move to the next step only if the behavior continues.</w:t>
      </w:r>
    </w:p>
    <w:p>
      <w:pPr>
        <w:pStyle w:val="BodyText"/>
      </w:pPr>
      <w:r>
        <w:rPr>
          <w:b/>
          <w:bCs/>
        </w:rPr>
        <w:t xml:space="preserve">Step 2a — Non-verbal redirect.</w:t>
      </w:r>
      <w:r>
        <w:t xml:space="preserve"> </w:t>
      </w:r>
      <w:r>
        <w:t xml:space="preserve">Proximity, eye contact, a gesture, or a quiet hand on a desk. No verbal exchange needed. Preserves the flow of instruction and often resolves the behavior before anyone else notices.</w:t>
      </w:r>
    </w:p>
    <w:p>
      <w:pPr>
        <w:pStyle w:val="BodyText"/>
      </w:pPr>
      <w:r>
        <w:rPr>
          <w:b/>
          <w:bCs/>
        </w:rPr>
        <w:t xml:space="preserve">Step 2b — Verbal reminder of the expectation.</w:t>
      </w:r>
      <w:r>
        <w:t xml:space="preserve"> </w:t>
      </w:r>
      <w:r>
        <w:t xml:space="preserve">Stated positively, not negatively.</w:t>
      </w:r>
      <w:r>
        <w:t xml:space="preserve"> </w:t>
      </w:r>
      <w:r>
        <w:t xml:space="preserve">“Eyes on the board”</w:t>
      </w:r>
      <w:r>
        <w:t xml:space="preserve"> </w:t>
      </w:r>
      <w:r>
        <w:t xml:space="preserve">rather than</w:t>
      </w:r>
      <w:r>
        <w:t xml:space="preserve"> </w:t>
      </w:r>
      <w:r>
        <w:t xml:space="preserve">“stop looking at your phone.”</w:t>
      </w:r>
      <w:r>
        <w:t xml:space="preserve"> </w:t>
      </w:r>
      <w:r>
        <w:t xml:space="preserve">Names the expected behavior, not the unwanted one.</w:t>
      </w:r>
    </w:p>
    <w:p>
      <w:pPr>
        <w:pStyle w:val="BodyText"/>
      </w:pPr>
      <w:r>
        <w:rPr>
          <w:b/>
          <w:bCs/>
        </w:rPr>
        <w:t xml:space="preserve">Step 2c — Re-teach the expected behavior.</w:t>
      </w:r>
      <w:r>
        <w:t xml:space="preserve"> </w:t>
      </w:r>
      <w:r>
        <w:t xml:space="preserve">Brief (30 seconds).</w:t>
      </w:r>
      <w:r>
        <w:t xml:space="preserve"> </w:t>
      </w:r>
      <w:r>
        <w:t xml:space="preserve">“When we’re working in partners, the expectation is we stay with our partner and use inside voices. Try that again.”</w:t>
      </w:r>
      <w:r>
        <w:t xml:space="preserve"> </w:t>
      </w:r>
      <w:r>
        <w:t xml:space="preserve">Particularly useful early in the year or after a long break.</w:t>
      </w:r>
    </w:p>
    <w:p>
      <w:pPr>
        <w:pStyle w:val="BodyText"/>
      </w:pPr>
      <w:r>
        <w:rPr>
          <w:b/>
          <w:bCs/>
        </w:rPr>
        <w:t xml:space="preserve">Step 2d — Brief private conference with a choice statement.</w:t>
      </w:r>
      <w:r>
        <w:t xml:space="preserve"> </w:t>
      </w:r>
      <w:r>
        <w:t xml:space="preserve">Pull the student aside for under a minute. Acknowledge what you’re seeing, remind them of the expectation, and state a clear choice.</w:t>
      </w:r>
      <w:r>
        <w:t xml:space="preserve"> </w:t>
      </w:r>
      <w:r>
        <w:t xml:space="preserve">“I’ve noticed you’ve had trouble getting started. You can start the assignment now, or we’ll need to talk at the end of class. Your call.”</w:t>
      </w:r>
    </w:p>
    <w:p>
      <w:pPr>
        <w:pStyle w:val="BodyText"/>
      </w:pPr>
      <w:r>
        <w:rPr>
          <w:b/>
          <w:bCs/>
        </w:rPr>
        <w:t xml:space="preserve">Step 2e — Documented in-classroom consequence.</w:t>
      </w:r>
      <w:r>
        <w:t xml:space="preserve"> </w:t>
      </w:r>
      <w:r>
        <w:t xml:space="preserve">A consequence that stays in the classroom: loss of a privilege, seat change, reflection sheet, parent contact. This is the last staff-managed step. Log the incident in your behavior tracking system (see Step 4). If the behavior continues</w:t>
      </w:r>
      <w:r>
        <w:t xml:space="preserve"> </w:t>
      </w:r>
      <w:r>
        <w:rPr>
          <w:b/>
          <w:bCs/>
        </w:rPr>
        <w:t xml:space="preserve">after</w:t>
      </w:r>
      <w:r>
        <w:t xml:space="preserve"> </w:t>
      </w:r>
      <w:r>
        <w:t xml:space="preserve">Step 2e, the staff-managed sequence has been exhausted and the behavior escalates to office-managed (see Step 3).</w:t>
      </w:r>
    </w:p>
    <w:p>
      <w:r>
        <w:pict>
          <v:rect style="width:0;height:1.5pt" o:hralign="center" o:hrstd="t" o:hr="t"/>
        </w:pict>
      </w:r>
    </w:p>
    <w:bookmarkEnd w:id="15"/>
    <w:bookmarkStart w:id="16" w:name="step-3-if-office-managed-the-referral"/>
    <w:p>
      <w:pPr>
        <w:pStyle w:val="Heading2"/>
      </w:pPr>
      <w:r>
        <w:t xml:space="preserve">Step 3 — If office-managed: the referral</w:t>
      </w:r>
    </w:p>
    <w:p>
      <w:pPr>
        <w:pStyle w:val="FirstParagraph"/>
      </w:pPr>
      <w:r>
        <w:t xml:space="preserve">For office-managed behaviors — or staff-managed behaviors that have exhausted Step 2 — the process moves to an administrator.</w:t>
      </w:r>
    </w:p>
    <w:p>
      <w:pPr>
        <w:pStyle w:val="BodyText"/>
      </w:pPr>
      <w:r>
        <w:rPr>
          <w:b/>
          <w:bCs/>
        </w:rPr>
        <w:t xml:space="preserve">Step 3a — Ensure safety first.</w:t>
      </w:r>
      <w:r>
        <w:t xml:space="preserve"> </w:t>
      </w:r>
      <w:r>
        <w:t xml:space="preserve">If the behavior involves physical danger to anyone (including the student), prioritize physical safety before referral. Remove other students or the student in question from the immediate area as appropriate. Call for help via your building’s system (office phone, walkie, panic button, or a neighboring teacher).</w:t>
      </w:r>
    </w:p>
    <w:p>
      <w:pPr>
        <w:pStyle w:val="BodyText"/>
      </w:pPr>
      <w:r>
        <w:rPr>
          <w:b/>
          <w:bCs/>
        </w:rPr>
        <w:t xml:space="preserve">Step 3b — Make the referral.</w:t>
      </w:r>
      <w:r>
        <w:t xml:space="preserve"> </w:t>
      </w:r>
      <w:r>
        <w:t xml:space="preserve">Use your school’s office referral form or tool. Be specific about what you observed, not what you interpreted (</w:t>
      </w:r>
      <w:r>
        <w:t xml:space="preserve">“student threw a chair toward the front of the room,”</w:t>
      </w:r>
      <w:r>
        <w:t xml:space="preserve"> </w:t>
      </w:r>
      <w:r>
        <w:t xml:space="preserve">not</w:t>
      </w:r>
      <w:r>
        <w:t xml:space="preserve"> </w:t>
      </w:r>
      <w:r>
        <w:t xml:space="preserve">“student was being aggressive”</w:t>
      </w:r>
      <w:r>
        <w:t xml:space="preserve">).</w:t>
      </w:r>
    </w:p>
    <w:p>
      <w:pPr>
        <w:pStyle w:val="BodyText"/>
      </w:pPr>
      <w:r>
        <w:rPr>
          <w:b/>
          <w:bCs/>
        </w:rPr>
        <w:t xml:space="preserve">Step 3c — The referral goes to:</w:t>
      </w:r>
      <w:r>
        <w:t xml:space="preserve"> </w:t>
      </w:r>
      <w:r>
        <w:t xml:space="preserve">_________________________</w:t>
      </w:r>
      <w:r>
        <w:t xml:space="preserve"> </w:t>
      </w:r>
      <w:r>
        <w:rPr>
          <w:i/>
          <w:iCs/>
        </w:rPr>
        <w:t xml:space="preserve">(name the role: assistant principal, dean of students, behavior specialist, counselor — whoever your building has designated)</w:t>
      </w:r>
    </w:p>
    <w:p>
      <w:pPr>
        <w:pStyle w:val="BodyText"/>
      </w:pPr>
      <w:r>
        <w:rPr>
          <w:b/>
          <w:bCs/>
        </w:rPr>
        <w:t xml:space="preserve">Step 3d — What happens after the referral.</w:t>
      </w:r>
      <w:r>
        <w:t xml:space="preserve"> </w:t>
      </w:r>
      <w:r>
        <w:t xml:space="preserve">Your district’s discipline policy governs what the administrator does. From the classroom teacher’s perspective, the referral is the handoff — follow-up is documented by the administrator, and the teacher is informed of the outcome per your building’s communication norm.</w:t>
      </w:r>
    </w:p>
    <w:p>
      <w:r>
        <w:pict>
          <v:rect style="width:0;height:1.5pt" o:hralign="center" o:hrstd="t" o:hr="t"/>
        </w:pict>
      </w:r>
    </w:p>
    <w:bookmarkEnd w:id="16"/>
    <w:bookmarkStart w:id="17" w:name="step-4-documentation"/>
    <w:p>
      <w:pPr>
        <w:pStyle w:val="Heading2"/>
      </w:pPr>
      <w:r>
        <w:t xml:space="preserve">Step 4 — Documentation</w:t>
      </w:r>
    </w:p>
    <w:p>
      <w:pPr>
        <w:pStyle w:val="FirstParagraph"/>
      </w:pPr>
      <w:r>
        <w:t xml:space="preserve">Every incident — staff-managed or office-managed — gets logged somewhere. The goal is to have enough record that a pattern becomes visible over time.</w:t>
      </w:r>
    </w:p>
    <w:p>
      <w:pPr>
        <w:pStyle w:val="BodyText"/>
      </w:pPr>
      <w:r>
        <w:rPr>
          <w:b/>
          <w:bCs/>
        </w:rPr>
        <w:t xml:space="preserve">Staff-managed incidents are logged in:</w:t>
      </w:r>
      <w:r>
        <w:t xml:space="preserve"> </w:t>
      </w:r>
      <w:r>
        <w:t xml:space="preserve">_________________________</w:t>
      </w:r>
      <w:r>
        <w:t xml:space="preserve"> </w:t>
      </w:r>
      <w:r>
        <w:rPr>
          <w:i/>
          <w:iCs/>
        </w:rPr>
        <w:t xml:space="preserve">(Intervention Monitoring’s behavior tracking templates, your district platform, or a building-level log — specify)</w:t>
      </w:r>
    </w:p>
    <w:p>
      <w:pPr>
        <w:pStyle w:val="BodyText"/>
      </w:pPr>
      <w:r>
        <w:rPr>
          <w:b/>
          <w:bCs/>
        </w:rPr>
        <w:t xml:space="preserve">Office referrals are logged in:</w:t>
      </w:r>
      <w:r>
        <w:t xml:space="preserve"> </w:t>
      </w:r>
      <w:r>
        <w:t xml:space="preserve">_________________________</w:t>
      </w:r>
      <w:r>
        <w:t xml:space="preserve"> </w:t>
      </w:r>
      <w:r>
        <w:rPr>
          <w:i/>
          <w:iCs/>
        </w:rPr>
        <w:t xml:space="preserve">(typically the office referral system; your building may duplicate-log in Intervention Monitoring for pattern tracking)</w:t>
      </w:r>
    </w:p>
    <w:p>
      <w:pPr>
        <w:pStyle w:val="BodyText"/>
      </w:pPr>
      <w:r>
        <w:rPr>
          <w:b/>
          <w:bCs/>
        </w:rPr>
        <w:t xml:space="preserve">Documentation should capture:</w:t>
      </w:r>
    </w:p>
    <w:p>
      <w:pPr>
        <w:pStyle w:val="Compact"/>
        <w:numPr>
          <w:ilvl w:val="0"/>
          <w:numId w:val="1005"/>
        </w:numPr>
      </w:pPr>
      <w:r>
        <w:t xml:space="preserve">Date, time, and location of the incident</w:t>
      </w:r>
    </w:p>
    <w:p>
      <w:pPr>
        <w:pStyle w:val="Compact"/>
        <w:numPr>
          <w:ilvl w:val="0"/>
          <w:numId w:val="1005"/>
        </w:numPr>
      </w:pPr>
      <w:r>
        <w:t xml:space="preserve">Specific observed behavior (what happened — not why you think it happened)</w:t>
      </w:r>
    </w:p>
    <w:p>
      <w:pPr>
        <w:pStyle w:val="Compact"/>
        <w:numPr>
          <w:ilvl w:val="0"/>
          <w:numId w:val="1005"/>
        </w:numPr>
      </w:pPr>
      <w:r>
        <w:t xml:space="preserve">Which step in the flowchart was used</w:t>
      </w:r>
    </w:p>
    <w:p>
      <w:pPr>
        <w:pStyle w:val="Compact"/>
        <w:numPr>
          <w:ilvl w:val="0"/>
          <w:numId w:val="1005"/>
        </w:numPr>
      </w:pPr>
      <w:r>
        <w:t xml:space="preserve">Outcome / follow-up</w:t>
      </w:r>
    </w:p>
    <w:p>
      <w:pPr>
        <w:pStyle w:val="FirstParagraph"/>
      </w:pPr>
      <w:r>
        <w:rPr>
          <w:b/>
          <w:bCs/>
        </w:rPr>
        <w:t xml:space="preserve">When a pattern becomes visible:</w:t>
      </w:r>
      <w:r>
        <w:t xml:space="preserve"> </w:t>
      </w:r>
      <w:r>
        <w:t xml:space="preserve">repeated incidents for the same student — even at the staff-managed level — are a signal that Tier 1 supports may not be sufficient for this student. When a teacher feels the pattern is building, that’s the right time to raise it with your Student Support Team / iTeam. This is a Tier 2 conversation, not a discipline decision.</w:t>
      </w:r>
    </w:p>
    <w:p>
      <w:r>
        <w:pict>
          <v:rect style="width:0;height:1.5pt" o:hralign="center" o:hrstd="t" o:hr="t"/>
        </w:pict>
      </w:r>
    </w:p>
    <w:bookmarkEnd w:id="17"/>
    <w:bookmarkStart w:id="18" w:name="Xa33e0124eca00e10e4af5de852f4da88fbfd04b"/>
    <w:p>
      <w:pPr>
        <w:pStyle w:val="Heading2"/>
      </w:pPr>
      <w:r>
        <w:t xml:space="preserve">Beyond discipline — mandatory reporting is out of scope</w:t>
      </w:r>
    </w:p>
    <w:p>
      <w:pPr>
        <w:pStyle w:val="FirstParagraph"/>
      </w:pPr>
      <w:r>
        <w:t xml:space="preserve">This flowchart covers</w:t>
      </w:r>
      <w:r>
        <w:t xml:space="preserve"> </w:t>
      </w:r>
      <w:r>
        <w:rPr>
          <w:b/>
          <w:bCs/>
        </w:rPr>
        <w:t xml:space="preserve">behavior that is off-track in the ordinary sense</w:t>
      </w:r>
      <w:r>
        <w:t xml:space="preserve"> </w:t>
      </w:r>
      <w:r>
        <w:t xml:space="preserve">— incidents a staff member might address through classroom management or an office referral.</w:t>
      </w:r>
    </w:p>
    <w:p>
      <w:pPr>
        <w:pStyle w:val="BodyText"/>
      </w:pPr>
      <w:r>
        <w:t xml:space="preserve">Some disclosures from students are</w:t>
      </w:r>
      <w:r>
        <w:t xml:space="preserve"> </w:t>
      </w:r>
      <w:r>
        <w:rPr>
          <w:b/>
          <w:bCs/>
        </w:rPr>
        <w:t xml:space="preserve">outside the scope of this flowchart entirely</w:t>
      </w:r>
      <w:r>
        <w:t xml:space="preserve"> </w:t>
      </w:r>
      <w:r>
        <w:t xml:space="preserve">and must be handled under separate district policy, including:</w:t>
      </w:r>
    </w:p>
    <w:p>
      <w:pPr>
        <w:pStyle w:val="Compact"/>
        <w:numPr>
          <w:ilvl w:val="0"/>
          <w:numId w:val="1006"/>
        </w:numPr>
      </w:pPr>
      <w:r>
        <w:t xml:space="preserve">Disclosures of abuse or neglect (mandated child protective services reporting)</w:t>
      </w:r>
    </w:p>
    <w:p>
      <w:pPr>
        <w:pStyle w:val="Compact"/>
        <w:numPr>
          <w:ilvl w:val="0"/>
          <w:numId w:val="1006"/>
        </w:numPr>
      </w:pPr>
      <w:r>
        <w:t xml:space="preserve">Disclosures of suicidal ideation or self-harm</w:t>
      </w:r>
    </w:p>
    <w:p>
      <w:pPr>
        <w:pStyle w:val="Compact"/>
        <w:numPr>
          <w:ilvl w:val="0"/>
          <w:numId w:val="1006"/>
        </w:numPr>
      </w:pPr>
      <w:r>
        <w:t xml:space="preserve">Disclosures of sexual harassment or assault (Title IX reporting)</w:t>
      </w:r>
    </w:p>
    <w:p>
      <w:pPr>
        <w:pStyle w:val="Compact"/>
        <w:numPr>
          <w:ilvl w:val="0"/>
          <w:numId w:val="1006"/>
        </w:numPr>
      </w:pPr>
      <w:r>
        <w:t xml:space="preserve">Disclosures of substance abuse involving the student or a family member</w:t>
      </w:r>
    </w:p>
    <w:p>
      <w:pPr>
        <w:pStyle w:val="Compact"/>
        <w:numPr>
          <w:ilvl w:val="0"/>
          <w:numId w:val="1006"/>
        </w:numPr>
      </w:pPr>
      <w:r>
        <w:t xml:space="preserve">Disclosures of safety threats toward the student or others</w:t>
      </w:r>
    </w:p>
    <w:p>
      <w:pPr>
        <w:pStyle w:val="FirstParagraph"/>
      </w:pPr>
      <w:r>
        <w:t xml:space="preserve">When any of the above arises, follow your district’s specific mandatory reporting protocol. Do</w:t>
      </w:r>
      <w:r>
        <w:t xml:space="preserve"> </w:t>
      </w:r>
      <w:r>
        <w:rPr>
          <w:b/>
          <w:bCs/>
        </w:rPr>
        <w:t xml:space="preserve">not</w:t>
      </w:r>
      <w:r>
        <w:t xml:space="preserve"> </w:t>
      </w:r>
      <w:r>
        <w:t xml:space="preserve">route these through the discipline flowchart.</w:t>
      </w:r>
    </w:p>
    <w:p>
      <w:r>
        <w:pict>
          <v:rect style="width:0;height:1.5pt" o:hralign="center" o:hrstd="t" o:hr="t"/>
        </w:pict>
      </w:r>
    </w:p>
    <w:bookmarkEnd w:id="18"/>
    <w:bookmarkStart w:id="19" w:name="year-at-a-glance-summary-table"/>
    <w:p>
      <w:pPr>
        <w:pStyle w:val="Heading2"/>
      </w:pPr>
      <w:r>
        <w:t xml:space="preserve">Year-at-a-glance summary table</w:t>
      </w:r>
    </w:p>
    <w:p>
      <w:pPr>
        <w:pStyle w:val="FirstParagraph"/>
      </w:pPr>
      <w:r>
        <w:t xml:space="preserve">For printing or posting in classrooms. When in doubt, start from the top row.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If you see…</w:t>
            </w:r>
          </w:p>
        </w:tc>
        <w:tc>
          <w:tcPr/>
          <w:p>
            <w:pPr>
              <w:pStyle w:val="Compact"/>
            </w:pPr>
            <w:r>
              <w:t xml:space="preserve">First do…</w:t>
            </w:r>
          </w:p>
        </w:tc>
        <w:tc>
          <w:tcPr/>
          <w:p>
            <w:pPr>
              <w:pStyle w:val="Compact"/>
            </w:pPr>
            <w:r>
              <w:t xml:space="preserve">Then…</w:t>
            </w:r>
          </w:p>
        </w:tc>
        <w:tc>
          <w:tcPr/>
          <w:p>
            <w:pPr>
              <w:pStyle w:val="Compact"/>
            </w:pPr>
            <w:r>
              <w:t xml:space="preserve">If it continues…</w:t>
            </w:r>
          </w:p>
        </w:tc>
        <w:tc>
          <w:tcPr/>
          <w:p>
            <w:pPr>
              <w:pStyle w:val="Compact"/>
            </w:pPr>
            <w:r>
              <w:t xml:space="preserve">Log it in…</w:t>
            </w:r>
          </w:p>
        </w:tc>
      </w:tr>
      <w:tr>
        <w:tc>
          <w:tcPr/>
          <w:p>
            <w:pPr>
              <w:pStyle w:val="Compact"/>
            </w:pPr>
            <w:r>
              <w:t xml:space="preserve">Safety threat (physical aggression, weapons, substances)</w:t>
            </w:r>
          </w:p>
        </w:tc>
        <w:tc>
          <w:tcPr/>
          <w:p>
            <w:pPr>
              <w:pStyle w:val="Compact"/>
            </w:pPr>
            <w:r>
              <w:t xml:space="preserve">Ensure safety</w:t>
            </w:r>
          </w:p>
        </w:tc>
        <w:tc>
          <w:tcPr/>
          <w:p>
            <w:pPr>
              <w:pStyle w:val="Compact"/>
            </w:pPr>
            <w:r>
              <w:t xml:space="preserve">Call for help</w:t>
            </w:r>
          </w:p>
        </w:tc>
        <w:tc>
          <w:tcPr/>
          <w:p>
            <w:pPr>
              <w:pStyle w:val="Compact"/>
            </w:pPr>
            <w:r>
              <w:t xml:space="preserve">Administrator takes over</w:t>
            </w:r>
          </w:p>
        </w:tc>
        <w:tc>
          <w:tcPr/>
          <w:p>
            <w:pPr>
              <w:pStyle w:val="Compact"/>
            </w:pPr>
            <w:r>
              <w:t xml:space="preserve">Office referral system</w:t>
            </w:r>
          </w:p>
        </w:tc>
      </w:tr>
      <w:tr>
        <w:tc>
          <w:tcPr/>
          <w:p>
            <w:pPr>
              <w:pStyle w:val="Compact"/>
            </w:pPr>
            <w:r>
              <w:t xml:space="preserve">Staff-managed behavior escalating past classroom management</w:t>
            </w:r>
          </w:p>
        </w:tc>
        <w:tc>
          <w:tcPr/>
          <w:p>
            <w:pPr>
              <w:pStyle w:val="Compact"/>
            </w:pPr>
            <w:r>
              <w:t xml:space="preserve">Work through Steps 2a–2e</w:t>
            </w:r>
          </w:p>
        </w:tc>
        <w:tc>
          <w:tcPr/>
          <w:p>
            <w:pPr>
              <w:pStyle w:val="Compact"/>
            </w:pPr>
            <w:r>
              <w:t xml:space="preserve">Document at Step 2e</w:t>
            </w:r>
          </w:p>
        </w:tc>
        <w:tc>
          <w:tcPr/>
          <w:p>
            <w:pPr>
              <w:pStyle w:val="Compact"/>
            </w:pPr>
            <w:r>
              <w:t xml:space="preserve">Office referral after Step 2e exhausted</w:t>
            </w:r>
          </w:p>
        </w:tc>
        <w:tc>
          <w:tcPr/>
          <w:p>
            <w:pPr>
              <w:pStyle w:val="Compact"/>
            </w:pPr>
            <w:r>
              <w:t xml:space="preserve">Behavior tracking + office referral</w:t>
            </w:r>
          </w:p>
        </w:tc>
      </w:tr>
      <w:tr>
        <w:tc>
          <w:tcPr/>
          <w:p>
            <w:pPr>
              <w:pStyle w:val="Compact"/>
            </w:pPr>
            <w:r>
              <w:t xml:space="preserve">Minor off-task or off-expectation behavior</w:t>
            </w:r>
          </w:p>
        </w:tc>
        <w:tc>
          <w:tcPr/>
          <w:p>
            <w:pPr>
              <w:pStyle w:val="Compact"/>
            </w:pPr>
            <w:r>
              <w:t xml:space="preserve">Non-verbal redirect (Step 2a)</w:t>
            </w:r>
          </w:p>
        </w:tc>
        <w:tc>
          <w:tcPr/>
          <w:p>
            <w:pPr>
              <w:pStyle w:val="Compact"/>
            </w:pPr>
            <w:r>
              <w:t xml:space="preserve">Verbal reminder (Step 2b), re-teach (Step 2c)</w:t>
            </w:r>
          </w:p>
        </w:tc>
        <w:tc>
          <w:tcPr/>
          <w:p>
            <w:pPr>
              <w:pStyle w:val="Compact"/>
            </w:pPr>
            <w:r>
              <w:t xml:space="preserve">Brief conference (Step 2d), consequence (Step 2e)</w:t>
            </w:r>
          </w:p>
        </w:tc>
        <w:tc>
          <w:tcPr/>
          <w:p>
            <w:pPr>
              <w:pStyle w:val="Compact"/>
            </w:pPr>
            <w:r>
              <w:t xml:space="preserve">Behavior tracking system</w:t>
            </w:r>
          </w:p>
        </w:tc>
      </w:tr>
      <w:tr>
        <w:tc>
          <w:tcPr/>
          <w:p>
            <w:pPr>
              <w:pStyle w:val="Compact"/>
            </w:pPr>
            <w:r>
              <w:t xml:space="preserve">Behavior district policy marks as office-managed</w:t>
            </w:r>
          </w:p>
        </w:tc>
        <w:tc>
          <w:tcPr/>
          <w:p>
            <w:pPr>
              <w:pStyle w:val="Compact"/>
            </w:pPr>
            <w:r>
              <w:t xml:space="preserve">Go straight to referral</w:t>
            </w:r>
          </w:p>
        </w:tc>
        <w:tc>
          <w:tcPr/>
          <w:p>
            <w:pPr>
              <w:pStyle w:val="Compact"/>
            </w:pPr>
            <w:r>
              <w:t xml:space="preserve">—</w:t>
            </w:r>
          </w:p>
        </w:tc>
        <w:tc>
          <w:tcPr/>
          <w:p>
            <w:pPr>
              <w:pStyle w:val="Compact"/>
            </w:pPr>
            <w:r>
              <w:t xml:space="preserve">—</w:t>
            </w:r>
          </w:p>
        </w:tc>
        <w:tc>
          <w:tcPr/>
          <w:p>
            <w:pPr>
              <w:pStyle w:val="Compact"/>
            </w:pPr>
            <w:r>
              <w:t xml:space="preserve">Office referral system</w:t>
            </w:r>
          </w:p>
        </w:tc>
      </w:tr>
      <w:tr>
        <w:tc>
          <w:tcPr/>
          <w:p>
            <w:pPr>
              <w:pStyle w:val="Compact"/>
            </w:pPr>
            <w:r>
              <w:t xml:space="preserve">Mandatory-reporting disclosure (abuse, self-harm, Title IX)</w:t>
            </w:r>
          </w:p>
        </w:tc>
        <w:tc>
          <w:tcPr/>
          <w:p>
            <w:pPr>
              <w:pStyle w:val="Compact"/>
            </w:pPr>
            <w:r>
              <w:t xml:space="preserve">Follow district mandatory reporting protocol</w:t>
            </w:r>
          </w:p>
        </w:tc>
        <w:tc>
          <w:tcPr/>
          <w:p>
            <w:pPr>
              <w:pStyle w:val="Compact"/>
            </w:pPr>
            <w:r>
              <w:t xml:space="preserve">—</w:t>
            </w:r>
          </w:p>
        </w:tc>
        <w:tc>
          <w:tcPr/>
          <w:p>
            <w:pPr>
              <w:pStyle w:val="Compact"/>
            </w:pPr>
            <w:r>
              <w:t xml:space="preserve">—</w:t>
            </w:r>
          </w:p>
        </w:tc>
        <w:tc>
          <w:tcPr/>
          <w:p>
            <w:pPr>
              <w:pStyle w:val="Compact"/>
            </w:pPr>
            <w:r>
              <w:t xml:space="preserve">Per district policy (not this flowchart)</w:t>
            </w:r>
          </w:p>
        </w:tc>
      </w:tr>
    </w:tbl>
    <w:p>
      <w:r>
        <w:pict>
          <v:rect style="width:0;height:1.5pt" o:hralign="center" o:hrstd="t" o:hr="t"/>
        </w:pict>
      </w:r>
    </w:p>
    <w:bookmarkEnd w:id="19"/>
    <w:bookmarkStart w:id="20" w:name="revisit-cadence"/>
    <w:p>
      <w:pPr>
        <w:pStyle w:val="Heading2"/>
      </w:pPr>
      <w:r>
        <w:t xml:space="preserve">Revisit cadence</w:t>
      </w:r>
    </w:p>
    <w:p>
      <w:pPr>
        <w:pStyle w:val="Compact"/>
        <w:numPr>
          <w:ilvl w:val="0"/>
          <w:numId w:val="1007"/>
        </w:numPr>
      </w:pPr>
      <w:r>
        <w:rPr>
          <w:b/>
          <w:bCs/>
        </w:rPr>
        <w:t xml:space="preserve">Start of year:</w:t>
      </w:r>
      <w:r>
        <w:t xml:space="preserve"> </w:t>
      </w:r>
      <w:r>
        <w:t xml:space="preserve">review this flowchart with all staff, including new hires; confirm the local-policy blanks are filled in</w:t>
      </w:r>
    </w:p>
    <w:p>
      <w:pPr>
        <w:pStyle w:val="Compact"/>
        <w:numPr>
          <w:ilvl w:val="0"/>
          <w:numId w:val="1007"/>
        </w:numPr>
      </w:pPr>
      <w:r>
        <w:rPr>
          <w:b/>
          <w:bCs/>
        </w:rPr>
        <w:t xml:space="preserve">End of year:</w:t>
      </w:r>
      <w:r>
        <w:t xml:space="preserve"> </w:t>
      </w:r>
      <w:r>
        <w:t xml:space="preserve">review building-level incident data; note whether the flowchart’s assumptions (categorizations, escalation, documentation) matched what actually happened</w:t>
      </w:r>
    </w:p>
    <w:p>
      <w:pPr>
        <w:pStyle w:val="Compact"/>
        <w:numPr>
          <w:ilvl w:val="0"/>
          <w:numId w:val="1007"/>
        </w:numPr>
      </w:pPr>
      <w:r>
        <w:rPr>
          <w:i/>
          <w:iCs/>
        </w:rPr>
        <w:t xml:space="preserve">(Optional) Mid-year check-in: confirm staff are using the flowchart consistently; re-teach if usage drift has appeared</w:t>
      </w:r>
    </w:p>
    <w:p>
      <w:r>
        <w:pict>
          <v:rect style="width:0;height:1.5pt" o:hralign="center" o:hrstd="t" o:hr="t"/>
        </w:pict>
      </w:r>
    </w:p>
    <w:p>
      <w:pPr>
        <w:pStyle w:val="FirstParagraph"/>
      </w:pPr>
      <w:r>
        <w:rPr>
          <w:i/>
          <w:iCs/>
        </w:rPr>
        <w:t xml:space="preserve">This document describes disciplinary procedures. Filled-in versions contain school-specific policy details; incident logs generated by applying this flowchart contain individual student data. Handle both per your district’s discipline-records and document-retention policies, and per FERPA.</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2026-04-19T21:31:55Z</dcterms:created>
  <dcterms:modified xsi:type="dcterms:W3CDTF">2026-04-19T21:31:55Z</dcterms:modified>
</cp:coreProperties>
</file>

<file path=docProps/custom.xml><?xml version="1.0" encoding="utf-8"?>
<Properties xmlns="http://schemas.openxmlformats.org/officeDocument/2006/custom-properties" xmlns:vt="http://schemas.openxmlformats.org/officeDocument/2006/docPropsVTypes"/>
</file>