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arent-assessment-results-summary"/>
    <w:p>
      <w:pPr>
        <w:pStyle w:val="Heading1"/>
      </w:pPr>
      <w:r>
        <w:t xml:space="preserve">Parent Assessment Results Summary</w:t>
      </w:r>
    </w:p>
    <w:p>
      <w:pPr>
        <w:pStyle w:val="FirstParagraph"/>
      </w:pPr>
      <w:r>
        <w:t xml:space="preserve">A parent-facing template for communicating universal screening results to families. One filled-in instance per student per screening window. This document translates screener scores into plain-language context and next steps — the three questions families most want answered after a screening: what the score is, what it means, and what happens now.</w:t>
      </w:r>
    </w:p>
    <w:p>
      <w:pPr>
        <w:pStyle w:val="BodyText"/>
      </w:pPr>
      <w:r>
        <w:rPr>
          <w:i/>
          <w:iCs/>
        </w:rPr>
        <w:t xml:space="preserve">See the MTSS Handbook §5 for your school’s screening schedule and windows.</w:t>
      </w:r>
    </w:p>
    <w:p>
      <w:pPr>
        <w:pStyle w:val="BodyText"/>
      </w:pPr>
      <w:r>
        <w:rPr>
          <w:b/>
          <w:bCs/>
        </w:rPr>
        <w:t xml:space="preserve">This template has two parts:</w:t>
      </w:r>
    </w:p>
    <w:p>
      <w:pPr>
        <w:pStyle w:val="Compact"/>
        <w:numPr>
          <w:ilvl w:val="0"/>
          <w:numId w:val="1001"/>
        </w:numPr>
      </w:pPr>
      <w:r>
        <w:rPr>
          <w:b/>
          <w:bCs/>
        </w:rPr>
        <w:t xml:space="preserve">Page 1 — The parent-facing template</w:t>
      </w:r>
      <w:r>
        <w:t xml:space="preserve"> </w:t>
      </w:r>
      <w:r>
        <w:t xml:space="preserve">(the document you fill out and send home)</w:t>
      </w:r>
    </w:p>
    <w:p>
      <w:pPr>
        <w:pStyle w:val="Compact"/>
        <w:numPr>
          <w:ilvl w:val="0"/>
          <w:numId w:val="1001"/>
        </w:numPr>
      </w:pPr>
      <w:r>
        <w:rPr>
          <w:b/>
          <w:bCs/>
        </w:rPr>
        <w:t xml:space="preserve">Page 2 — How to use this template</w:t>
      </w:r>
      <w:r>
        <w:t xml:space="preserve"> </w:t>
      </w:r>
      <w:r>
        <w:t xml:space="preserve">(teacher-facing coaching and sample language)</w:t>
      </w:r>
    </w:p>
    <w:p>
      <w:r>
        <w:pict>
          <v:rect style="width:0;height:1.5pt" o:hralign="center" o:hrstd="t" o:hr="t"/>
        </w:pict>
      </w:r>
    </w:p>
    <w:bookmarkStart w:id="9" w:name="Xa24339ea8ff310fe97cc6b642d9147301f271e0"/>
    <w:p>
      <w:pPr>
        <w:pStyle w:val="Heading2"/>
      </w:pPr>
      <w:r>
        <w:t xml:space="preserve">Before you fill this out — a note on privacy</w:t>
      </w:r>
    </w:p>
    <w:p>
      <w:pPr>
        <w:pStyle w:val="FirstParagraph"/>
      </w:pPr>
      <w:r>
        <w:t xml:space="preserve">A filled-in version of this document contains</w:t>
      </w:r>
      <w:r>
        <w:t xml:space="preserve"> </w:t>
      </w:r>
      <w:r>
        <w:rPr>
          <w:b/>
          <w:bCs/>
        </w:rPr>
        <w:t xml:space="preserve">student personally identifying information</w:t>
      </w:r>
      <w:r>
        <w:t xml:space="preserve">: your student’s name, grade, and specific assessment scores. Under FERPA, this is a student education record.</w:t>
      </w:r>
    </w:p>
    <w:p>
      <w:pPr>
        <w:pStyle w:val="BodyText"/>
      </w:pPr>
      <w:r>
        <w:t xml:space="preserve">Handle filled-in copies accordingly:</w:t>
      </w:r>
    </w:p>
    <w:p>
      <w:pPr>
        <w:pStyle w:val="Compact"/>
        <w:numPr>
          <w:ilvl w:val="0"/>
          <w:numId w:val="1002"/>
        </w:numPr>
      </w:pPr>
      <w:r>
        <w:t xml:space="preserve">Send the student’s copy home through a secure channel (sealed envelope, the student’s take-home folder, or your school’s established family communication method). Do not send by unencrypted email.</w:t>
      </w:r>
    </w:p>
    <w:p>
      <w:pPr>
        <w:pStyle w:val="Compact"/>
        <w:numPr>
          <w:ilvl w:val="0"/>
          <w:numId w:val="1002"/>
        </w:numPr>
      </w:pPr>
      <w:r>
        <w:t xml:space="preserve">File your office copy per your district’s student-record retention policy.</w:t>
      </w:r>
    </w:p>
    <w:p>
      <w:pPr>
        <w:pStyle w:val="Compact"/>
        <w:numPr>
          <w:ilvl w:val="0"/>
          <w:numId w:val="1002"/>
        </w:numPr>
      </w:pPr>
      <w:r>
        <w:t xml:space="preserve">If you need to discuss the contents with anyone other than the student’s family, confirm they have a legitimate educational interest under FERPA before sharing.</w:t>
      </w:r>
    </w:p>
    <w:p>
      <w:pPr>
        <w:pStyle w:val="FirstParagraph"/>
      </w:pPr>
      <w:r>
        <w:t xml:space="preserve">This template is screener-agnostic — adapt the</w:t>
      </w:r>
      <w:r>
        <w:t xml:space="preserve"> </w:t>
      </w:r>
      <w:r>
        <w:t xml:space="preserve">“Score”</w:t>
      </w:r>
      <w:r>
        <w:t xml:space="preserve"> </w:t>
      </w:r>
      <w:r>
        <w:t xml:space="preserve">and</w:t>
      </w:r>
      <w:r>
        <w:t xml:space="preserve"> </w:t>
      </w:r>
      <w:r>
        <w:t xml:space="preserve">“Benchmark”</w:t>
      </w:r>
      <w:r>
        <w:t xml:space="preserve"> </w:t>
      </w:r>
      <w:r>
        <w:t xml:space="preserve">labels to match the vocabulary your screener uses (e.g., DIBELS composite, aimsweb benchmark, STAR scaled score, NWEA RIT).</w:t>
      </w:r>
    </w:p>
    <w:p>
      <w:r>
        <w:pict>
          <v:rect style="width:0;height:1.5pt" o:hralign="center" o:hrstd="t" o:hr="t"/>
        </w:pict>
      </w:r>
    </w:p>
    <w:bookmarkEnd w:id="9"/>
    <w:bookmarkEnd w:id="10"/>
    <w:bookmarkStart w:id="16" w:name="page-1-parent-facing-template"/>
    <w:p>
      <w:pPr>
        <w:pStyle w:val="Heading1"/>
      </w:pPr>
      <w:r>
        <w:t xml:space="preserve">Page 1 — Parent-facing template</w:t>
      </w:r>
    </w:p>
    <w:p>
      <w:r>
        <w:pict>
          <v:rect style="width:0;height:1.5pt" o:hralign="center" o:hrstd="t" o:hr="t"/>
        </w:pict>
      </w:r>
    </w:p>
    <w:p>
      <w:pPr>
        <w:pStyle w:val="FirstParagraph"/>
      </w:pPr>
      <w:r>
        <w:rPr>
          <w:b/>
          <w:bCs/>
        </w:rPr>
        <w:t xml:space="preserve">[School Name]</w:t>
      </w:r>
      <w:r>
        <w:t xml:space="preserve"> </w:t>
      </w:r>
      <w:r>
        <w:rPr>
          <w:b/>
          <w:bCs/>
        </w:rPr>
        <w:t xml:space="preserve">Universal Screening Results</w:t>
      </w:r>
    </w:p>
    <w:p>
      <w:pPr>
        <w:pStyle w:val="BodyText"/>
      </w:pPr>
      <w:r>
        <w:rPr>
          <w:b/>
          <w:bCs/>
        </w:rPr>
        <w:t xml:space="preserve">Student:</w:t>
      </w:r>
      <w:r>
        <w:t xml:space="preserve"> </w:t>
      </w:r>
      <w:r>
        <w:t xml:space="preserve">_________________________</w:t>
      </w:r>
      <w:r>
        <w:t xml:space="preserve"> </w:t>
      </w:r>
      <w:r>
        <w:rPr>
          <w:b/>
          <w:bCs/>
        </w:rPr>
        <w:t xml:space="preserve">Grade:</w:t>
      </w:r>
      <w:r>
        <w:t xml:space="preserve"> </w:t>
      </w:r>
      <w:r>
        <w:t xml:space="preserve">_________</w:t>
      </w:r>
    </w:p>
    <w:p>
      <w:pPr>
        <w:pStyle w:val="BodyText"/>
      </w:pPr>
      <w:r>
        <w:rPr>
          <w:b/>
          <w:bCs/>
        </w:rPr>
        <w:t xml:space="preserve">Screening window:</w:t>
      </w:r>
      <w:r>
        <w:t xml:space="preserve"> </w:t>
      </w:r>
      <w:r>
        <w:t xml:space="preserve">☐ Fall ☐ Winter ☐ Spring</w:t>
      </w:r>
      <w:r>
        <w:t xml:space="preserve"> </w:t>
      </w:r>
      <w:r>
        <w:rPr>
          <w:b/>
          <w:bCs/>
        </w:rPr>
        <w:t xml:space="preserve">Date:</w:t>
      </w:r>
      <w:r>
        <w:t xml:space="preserve"> </w:t>
      </w:r>
      <w:r>
        <w:t xml:space="preserve">_________</w:t>
      </w:r>
    </w:p>
    <w:p>
      <w:pPr>
        <w:pStyle w:val="BodyText"/>
      </w:pPr>
      <w:r>
        <w:rPr>
          <w:b/>
          <w:bCs/>
        </w:rPr>
        <w:t xml:space="preserve">Teacher:</w:t>
      </w:r>
      <w:r>
        <w:t xml:space="preserve"> </w:t>
      </w:r>
      <w:r>
        <w:t xml:space="preserve">_________________________</w:t>
      </w:r>
    </w:p>
    <w:p>
      <w:r>
        <w:pict>
          <v:rect style="width:0;height:1.5pt" o:hralign="center" o:hrstd="t" o:hr="t"/>
        </w:pict>
      </w:r>
    </w:p>
    <w:bookmarkStart w:id="11" w:name="your-students-results"/>
    <w:p>
      <w:pPr>
        <w:pStyle w:val="Heading2"/>
      </w:pPr>
      <w:r>
        <w:t xml:space="preserve">Your student’s results</w:t>
      </w:r>
    </w:p>
    <w:p>
      <w:pPr>
        <w:pStyle w:val="FirstParagraph"/>
      </w:pPr>
      <w:r>
        <w:t xml:space="preserve">We recently completed our universal screening in</w:t>
      </w:r>
      <w:r>
        <w:t xml:space="preserve"> </w:t>
      </w:r>
      <w:r>
        <w:rPr>
          <w:b/>
          <w:bCs/>
        </w:rPr>
        <w:t xml:space="preserve">_________________________</w:t>
      </w:r>
      <w:r>
        <w:t xml:space="preserve"> </w:t>
      </w:r>
      <w:r>
        <w:rPr>
          <w:i/>
          <w:iCs/>
        </w:rPr>
        <w:t xml:space="preserve">(subject area — e.g., reading, math, behavior/SEL)</w:t>
      </w:r>
      <w:r>
        <w:t xml:space="preserve">.</w:t>
      </w:r>
    </w:p>
    <w:p>
      <w:pPr>
        <w:pStyle w:val="BodyText"/>
      </w:pPr>
      <w:r>
        <w:rPr>
          <w:b/>
          <w:bCs/>
        </w:rPr>
        <w:t xml:space="preserve">Score:</w:t>
      </w:r>
      <w:r>
        <w:t xml:space="preserve"> </w:t>
      </w:r>
      <w:r>
        <w:t xml:space="preserve">_________________________</w:t>
      </w:r>
      <w:r>
        <w:t xml:space="preserve"> </w:t>
      </w:r>
      <w:r>
        <w:rPr>
          <w:i/>
          <w:iCs/>
        </w:rPr>
        <w:t xml:space="preserve">(insert score in the format your screener uses)</w:t>
      </w:r>
    </w:p>
    <w:p>
      <w:pPr>
        <w:pStyle w:val="BodyText"/>
      </w:pPr>
      <w:r>
        <w:rPr>
          <w:b/>
          <w:bCs/>
        </w:rPr>
        <w:t xml:space="preserve">Typical benchmark for [grade]:</w:t>
      </w:r>
      <w:r>
        <w:t xml:space="preserve"> </w:t>
      </w:r>
      <w:r>
        <w:t xml:space="preserve">_________________________</w:t>
      </w:r>
      <w:r>
        <w:t xml:space="preserve"> </w:t>
      </w:r>
      <w:r>
        <w:rPr>
          <w:i/>
          <w:iCs/>
        </w:rPr>
        <w:t xml:space="preserve">(insert the benchmark range from your screener’s documentation)</w:t>
      </w:r>
    </w:p>
    <w:p>
      <w:pPr>
        <w:pStyle w:val="BodyText"/>
      </w:pPr>
      <w:r>
        <w:rPr>
          <w:b/>
          <w:bCs/>
        </w:rPr>
        <w:t xml:space="preserve">Your student’s score falls:</w:t>
      </w:r>
    </w:p>
    <w:p>
      <w:pPr>
        <w:pStyle w:val="BodyText"/>
      </w:pPr>
      <w:r>
        <w:t xml:space="preserve">☐</w:t>
      </w:r>
      <w:r>
        <w:t xml:space="preserve"> </w:t>
      </w:r>
      <w:r>
        <w:rPr>
          <w:b/>
          <w:bCs/>
        </w:rPr>
        <w:t xml:space="preserve">At or above benchmark</w:t>
      </w:r>
      <w:r>
        <w:t xml:space="preserve"> </w:t>
      </w:r>
      <w:r>
        <w:t xml:space="preserve">— your student is meeting typical grade-level expectations in this area</w:t>
      </w:r>
      <w:r>
        <w:t xml:space="preserve"> </w:t>
      </w:r>
      <w:r>
        <w:t xml:space="preserve">☐</w:t>
      </w:r>
      <w:r>
        <w:t xml:space="preserve"> </w:t>
      </w:r>
      <w:r>
        <w:rPr>
          <w:b/>
          <w:bCs/>
        </w:rPr>
        <w:t xml:space="preserve">Approaching benchmark</w:t>
      </w:r>
      <w:r>
        <w:t xml:space="preserve"> </w:t>
      </w:r>
      <w:r>
        <w:t xml:space="preserve">— your student is close to benchmark and we are monitoring closely</w:t>
      </w:r>
      <w:r>
        <w:t xml:space="preserve"> </w:t>
      </w:r>
      <w:r>
        <w:t xml:space="preserve">☐</w:t>
      </w:r>
      <w:r>
        <w:t xml:space="preserve"> </w:t>
      </w:r>
      <w:r>
        <w:rPr>
          <w:b/>
          <w:bCs/>
        </w:rPr>
        <w:t xml:space="preserve">Below benchmark</w:t>
      </w:r>
      <w:r>
        <w:t xml:space="preserve"> </w:t>
      </w:r>
      <w:r>
        <w:t xml:space="preserve">— your student is currently below typical grade-level expectations in this area</w:t>
      </w:r>
    </w:p>
    <w:p>
      <w:r>
        <w:pict>
          <v:rect style="width:0;height:1.5pt" o:hralign="center" o:hrstd="t" o:hr="t"/>
        </w:pict>
      </w:r>
    </w:p>
    <w:bookmarkEnd w:id="11"/>
    <w:bookmarkStart w:id="12" w:name="what-this-score-means"/>
    <w:p>
      <w:pPr>
        <w:pStyle w:val="Heading2"/>
      </w:pPr>
      <w:r>
        <w:t xml:space="preserve">What this score means</w:t>
      </w:r>
    </w:p>
    <w:p>
      <w:pPr>
        <w:pStyle w:val="FirstParagraph"/>
      </w:pPr>
      <w:r>
        <w:t xml:space="preserve">Universal screening is a short assessment we give to every student three times a year. It’s designed to help us spot early which students might benefit from extra support — not to make a final judgment about what any student can do. One screening score is a snapshot, not the whole picture.</w:t>
      </w:r>
    </w:p>
    <w:p>
      <w:pPr>
        <w:pStyle w:val="BodyText"/>
      </w:pPr>
      <w:r>
        <w:t xml:space="preserve">Screening scores work best when read alongside what we see in the classroom every day. If you have questions about how this score compares to what you’re seeing at home, we want to hear from you.</w:t>
      </w:r>
    </w:p>
    <w:p>
      <w:r>
        <w:pict>
          <v:rect style="width:0;height:1.5pt" o:hralign="center" o:hrstd="t" o:hr="t"/>
        </w:pict>
      </w:r>
    </w:p>
    <w:bookmarkEnd w:id="12"/>
    <w:bookmarkStart w:id="13" w:name="whats-next"/>
    <w:p>
      <w:pPr>
        <w:pStyle w:val="Heading2"/>
      </w:pPr>
      <w:r>
        <w:t xml:space="preserve">What’s next</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i/>
          <w:iCs/>
        </w:rPr>
        <w:t xml:space="preserve">(Teacher: choose one of the three scenarios on Page 2 and write your response here.)</w:t>
      </w:r>
    </w:p>
    <w:p>
      <w:r>
        <w:pict>
          <v:rect style="width:0;height:1.5pt" o:hralign="center" o:hrstd="t" o:hr="t"/>
        </w:pict>
      </w:r>
    </w:p>
    <w:bookmarkEnd w:id="13"/>
    <w:bookmarkStart w:id="14" w:name="how-you-can-help-at-home"/>
    <w:p>
      <w:pPr>
        <w:pStyle w:val="Heading2"/>
      </w:pPr>
      <w:r>
        <w:t xml:space="preserve">How you can help at home</w:t>
      </w:r>
    </w:p>
    <w:p>
      <w:pPr>
        <w:pStyle w:val="Compact"/>
        <w:numPr>
          <w:ilvl w:val="0"/>
          <w:numId w:val="1003"/>
        </w:numPr>
      </w:pPr>
      <w:r>
        <w:t xml:space="preserve">Ask your student about what they’re working on in school — open-ended questions work better than</w:t>
      </w:r>
      <w:r>
        <w:t xml:space="preserve"> </w:t>
      </w:r>
      <w:r>
        <w:t xml:space="preserve">“how was your day?”</w:t>
      </w:r>
    </w:p>
    <w:p>
      <w:pPr>
        <w:pStyle w:val="Compact"/>
        <w:numPr>
          <w:ilvl w:val="0"/>
          <w:numId w:val="1003"/>
        </w:numPr>
      </w:pPr>
      <w:r>
        <w:t xml:space="preserve">Set aside consistent time for reading or homework — even 15 minutes at the same time each day builds habit</w:t>
      </w:r>
    </w:p>
    <w:p>
      <w:pPr>
        <w:pStyle w:val="Compact"/>
        <w:numPr>
          <w:ilvl w:val="0"/>
          <w:numId w:val="1003"/>
        </w:numPr>
      </w:pPr>
      <w:r>
        <w:t xml:space="preserve">Let us know if anything at home might affect your student’s learning right now (a new sibling, a move, changes in sleep or routine) — the more we know, the better we can support your student at school</w:t>
      </w:r>
    </w:p>
    <w:p>
      <w:r>
        <w:pict>
          <v:rect style="width:0;height:1.5pt" o:hralign="center" o:hrstd="t" o:hr="t"/>
        </w:pict>
      </w:r>
    </w:p>
    <w:bookmarkEnd w:id="14"/>
    <w:bookmarkStart w:id="15" w:name="questions"/>
    <w:p>
      <w:pPr>
        <w:pStyle w:val="Heading2"/>
      </w:pPr>
      <w:r>
        <w:t xml:space="preserve">Questions?</w:t>
      </w:r>
    </w:p>
    <w:p>
      <w:pPr>
        <w:pStyle w:val="FirstParagraph"/>
      </w:pPr>
      <w:r>
        <w:t xml:space="preserve">If you have questions about these results or would like to discuss them in person, please contact:</w:t>
      </w:r>
    </w:p>
    <w:p>
      <w:pPr>
        <w:pStyle w:val="BodyText"/>
      </w:pPr>
      <w:r>
        <w:rPr>
          <w:b/>
          <w:bCs/>
        </w:rPr>
        <w:t xml:space="preserve">Teacher:</w:t>
      </w:r>
      <w:r>
        <w:t xml:space="preserve"> </w:t>
      </w:r>
      <w:r>
        <w:t xml:space="preserve">_________________________</w:t>
      </w:r>
      <w:r>
        <w:t xml:space="preserve"> </w:t>
      </w:r>
      <w:r>
        <w:rPr>
          <w:b/>
          <w:bCs/>
        </w:rPr>
        <w:t xml:space="preserve">Email / phone:</w:t>
      </w:r>
      <w:r>
        <w:t xml:space="preserve"> </w:t>
      </w:r>
      <w:r>
        <w:t xml:space="preserve">_________________________</w:t>
      </w:r>
    </w:p>
    <w:p>
      <w:pPr>
        <w:pStyle w:val="BodyText"/>
      </w:pPr>
      <w:r>
        <w:t xml:space="preserve">We are glad to schedule a conversation — in person, by phone, or by video — at a time that works for you.</w:t>
      </w:r>
    </w:p>
    <w:p>
      <w:r>
        <w:pict>
          <v:rect style="width:0;height:1.5pt" o:hralign="center" o:hrstd="t" o:hr="t"/>
        </w:pict>
      </w:r>
    </w:p>
    <w:bookmarkEnd w:id="15"/>
    <w:bookmarkEnd w:id="16"/>
    <w:bookmarkStart w:id="24" w:name="X9cc27202a55f7193f2fa5c257c3abedb81b0dcd"/>
    <w:p>
      <w:pPr>
        <w:pStyle w:val="Heading1"/>
      </w:pPr>
      <w:r>
        <w:t xml:space="preserve">Page 2 — How to use this template (teacher-facing)</w:t>
      </w:r>
    </w:p>
    <w:p>
      <w:r>
        <w:pict>
          <v:rect style="width:0;height:1.5pt" o:hralign="center" o:hrstd="t" o:hr="t"/>
        </w:pict>
      </w:r>
    </w:p>
    <w:p>
      <w:pPr>
        <w:pStyle w:val="FirstParagraph"/>
      </w:pPr>
      <w:r>
        <w:t xml:space="preserve">The Page 1 template is designed to be filled out quickly, typically right after a screening window closes. The notes below are a coaching companion — not part of the document you send home.</w:t>
      </w:r>
    </w:p>
    <w:bookmarkStart w:id="17" w:name="tone-reminders"/>
    <w:p>
      <w:pPr>
        <w:pStyle w:val="Heading2"/>
      </w:pPr>
      <w:r>
        <w:t xml:space="preserve">Tone reminders</w:t>
      </w:r>
    </w:p>
    <w:p>
      <w:pPr>
        <w:pStyle w:val="Compact"/>
        <w:numPr>
          <w:ilvl w:val="0"/>
          <w:numId w:val="1004"/>
        </w:numPr>
      </w:pPr>
      <w:r>
        <w:rPr>
          <w:b/>
          <w:bCs/>
        </w:rPr>
        <w:t xml:space="preserve">Write to the family, not about the student.</w:t>
      </w:r>
      <w:r>
        <w:t xml:space="preserve"> </w:t>
      </w:r>
      <w:r>
        <w:t xml:space="preserve">“Your student”</w:t>
      </w:r>
      <w:r>
        <w:t xml:space="preserve"> </w:t>
      </w:r>
      <w:r>
        <w:t xml:space="preserve">reads warmer than the student’s name repeated throughout.</w:t>
      </w:r>
    </w:p>
    <w:p>
      <w:pPr>
        <w:pStyle w:val="Compact"/>
        <w:numPr>
          <w:ilvl w:val="0"/>
          <w:numId w:val="1004"/>
        </w:numPr>
      </w:pPr>
      <w:r>
        <w:rPr>
          <w:b/>
          <w:bCs/>
        </w:rPr>
        <w:t xml:space="preserve">Plain language, short sentences.</w:t>
      </w:r>
      <w:r>
        <w:t xml:space="preserve"> </w:t>
      </w:r>
      <w:r>
        <w:t xml:space="preserve">Avoid jargon.</w:t>
      </w:r>
      <w:r>
        <w:t xml:space="preserve"> </w:t>
      </w:r>
      <w:r>
        <w:t xml:space="preserve">“Below benchmark”</w:t>
      </w:r>
      <w:r>
        <w:t xml:space="preserve"> </w:t>
      </w:r>
      <w:r>
        <w:t xml:space="preserve">needs context;</w:t>
      </w:r>
      <w:r>
        <w:t xml:space="preserve"> </w:t>
      </w:r>
      <w:r>
        <w:t xml:space="preserve">“the 23rd percentile”</w:t>
      </w:r>
      <w:r>
        <w:t xml:space="preserve"> </w:t>
      </w:r>
      <w:r>
        <w:t xml:space="preserve">without context can land as alarming or opaque.</w:t>
      </w:r>
    </w:p>
    <w:p>
      <w:pPr>
        <w:pStyle w:val="Compact"/>
        <w:numPr>
          <w:ilvl w:val="0"/>
          <w:numId w:val="1004"/>
        </w:numPr>
      </w:pPr>
      <w:r>
        <w:rPr>
          <w:b/>
          <w:bCs/>
        </w:rPr>
        <w:t xml:space="preserve">Specific but not exhaustive.</w:t>
      </w:r>
      <w:r>
        <w:t xml:space="preserve"> </w:t>
      </w:r>
      <w:r>
        <w:t xml:space="preserve">The parent doesn’t need the full score breakdown. They need the three answers the document is designed to give: score, meaning, next steps.</w:t>
      </w:r>
    </w:p>
    <w:p>
      <w:pPr>
        <w:pStyle w:val="Compact"/>
        <w:numPr>
          <w:ilvl w:val="0"/>
          <w:numId w:val="1004"/>
        </w:numPr>
      </w:pPr>
      <w:r>
        <w:rPr>
          <w:b/>
          <w:bCs/>
        </w:rPr>
        <w:t xml:space="preserve">Acknowledge uncertainty.</w:t>
      </w:r>
      <w:r>
        <w:t xml:space="preserve"> </w:t>
      </w:r>
      <w:r>
        <w:t xml:space="preserve">Screening gives a snapshot. If your classroom observation differs from the score, say so — that context matters to families.</w:t>
      </w:r>
    </w:p>
    <w:bookmarkEnd w:id="17"/>
    <w:bookmarkStart w:id="21" w:name="X4b5a75222490bd7e2c3198f336213d06da5297f"/>
    <w:p>
      <w:pPr>
        <w:pStyle w:val="Heading2"/>
      </w:pPr>
      <w:r>
        <w:t xml:space="preserve">Sample language for the</w:t>
      </w:r>
      <w:r>
        <w:t xml:space="preserve"> </w:t>
      </w:r>
      <w:r>
        <w:t xml:space="preserve">“What’s next”</w:t>
      </w:r>
      <w:r>
        <w:t xml:space="preserve"> </w:t>
      </w:r>
      <w:r>
        <w:t xml:space="preserve">section</w:t>
      </w:r>
    </w:p>
    <w:p>
      <w:pPr>
        <w:pStyle w:val="FirstParagraph"/>
      </w:pPr>
      <w:r>
        <w:t xml:space="preserve">Three scenarios cover most students. Pick the one that fits and adapt the language; don’t copy verbatim if it doesn’t match what you’d actually say.</w:t>
      </w:r>
    </w:p>
    <w:bookmarkStart w:id="18" w:name="X04cff63a5793e0e848c9c5474f85d32d2cd482e"/>
    <w:p>
      <w:pPr>
        <w:pStyle w:val="Heading3"/>
      </w:pPr>
      <w:r>
        <w:t xml:space="preserve">Scenario 1 — Student is at or above benchmark</w:t>
      </w:r>
    </w:p>
    <w:p>
      <w:pPr>
        <w:pStyle w:val="BlockText"/>
      </w:pPr>
      <w:r>
        <w:t xml:space="preserve">Your student is meeting grade-level expectations in [subject area]. We will continue to monitor their progress through the winter and spring screenings. No additional support is needed at this time. Please keep reading with your student at home — the practice makes a real difference, even for students who are doing well.</w:t>
      </w:r>
    </w:p>
    <w:bookmarkEnd w:id="18"/>
    <w:bookmarkStart w:id="19" w:name="X2eb832b3cea909bd32e353ff2b0d0170c47da8a"/>
    <w:p>
      <w:pPr>
        <w:pStyle w:val="Heading3"/>
      </w:pPr>
      <w:r>
        <w:t xml:space="preserve">Scenario 2 — Student is approaching benchmark (monitoring, no Tier 2 referral yet)</w:t>
      </w:r>
    </w:p>
    <w:p>
      <w:pPr>
        <w:pStyle w:val="BlockText"/>
      </w:pPr>
      <w:r>
        <w:t xml:space="preserve">Your student’s score is close to benchmark but slightly below. We are monitoring their progress in the classroom and will check in again at the next screening window. This is not a cause for immediate concern — many students’ scores shift from one window to the next. If you’d like to talk about what you’re seeing at home, please reach out.</w:t>
      </w:r>
    </w:p>
    <w:bookmarkEnd w:id="19"/>
    <w:bookmarkStart w:id="20" w:name="X80e4b1d1cf77b831b71160d8167b7e05b79df74"/>
    <w:p>
      <w:pPr>
        <w:pStyle w:val="Heading3"/>
      </w:pPr>
      <w:r>
        <w:t xml:space="preserve">Scenario 3 — Student is below benchmark (Tier 2 conversation coming)</w:t>
      </w:r>
    </w:p>
    <w:p>
      <w:pPr>
        <w:pStyle w:val="BlockText"/>
      </w:pPr>
      <w:r>
        <w:t xml:space="preserve">Your student’s score is below typical grade-level expectations in [subject area]. Based on these results and what we see in the classroom, our team will be reaching out to discuss additional support — often called a Tier 2 intervention — that we can provide at school. This is a regular part of how our school responds to screening data, and many students receive Tier 2 support at some point during the year. I will be in touch within the next two weeks to set up a conversation.</w:t>
      </w:r>
    </w:p>
    <w:bookmarkEnd w:id="20"/>
    <w:bookmarkEnd w:id="21"/>
    <w:bookmarkStart w:id="22" w:name="common-edge-cases"/>
    <w:p>
      <w:pPr>
        <w:pStyle w:val="Heading2"/>
      </w:pPr>
      <w:r>
        <w:t xml:space="preserve">Common edge cases</w:t>
      </w:r>
    </w:p>
    <w:p>
      <w:pPr>
        <w:pStyle w:val="Compact"/>
        <w:numPr>
          <w:ilvl w:val="0"/>
          <w:numId w:val="1005"/>
        </w:numPr>
      </w:pPr>
      <w:r>
        <w:rPr>
          <w:b/>
          <w:bCs/>
        </w:rPr>
        <w:t xml:space="preserve">Student was absent for the screening window.</w:t>
      </w:r>
      <w:r>
        <w:t xml:space="preserve"> </w:t>
      </w:r>
      <w:r>
        <w:t xml:space="preserve">Note the absence on the template in place of a score. Plan to screen the student during a make-up window; send an updated summary when results are available. Do not leave the score field blank without explanation — families will notice.</w:t>
      </w:r>
    </w:p>
    <w:p>
      <w:pPr>
        <w:pStyle w:val="Compact"/>
        <w:numPr>
          <w:ilvl w:val="0"/>
          <w:numId w:val="1005"/>
        </w:numPr>
      </w:pPr>
      <w:r>
        <w:rPr>
          <w:b/>
          <w:bCs/>
        </w:rPr>
        <w:t xml:space="preserve">Student scored well below benchmark with concerns already known.</w:t>
      </w:r>
      <w:r>
        <w:t xml:space="preserve"> </w:t>
      </w:r>
      <w:r>
        <w:t xml:space="preserve">The Scenario 3 language assumes Tier 2 is the next step. If the student is already receiving Tier 2 or Tier 3 support, adapt the</w:t>
      </w:r>
      <w:r>
        <w:t xml:space="preserve"> </w:t>
      </w:r>
      <w:r>
        <w:t xml:space="preserve">“What’s next”</w:t>
      </w:r>
      <w:r>
        <w:t xml:space="preserve"> </w:t>
      </w:r>
      <w:r>
        <w:t xml:space="preserve">to describe the continuing support, not a new referral.</w:t>
      </w:r>
    </w:p>
    <w:p>
      <w:pPr>
        <w:pStyle w:val="Compact"/>
        <w:numPr>
          <w:ilvl w:val="0"/>
          <w:numId w:val="1005"/>
        </w:numPr>
      </w:pPr>
      <w:r>
        <w:rPr>
          <w:b/>
          <w:bCs/>
        </w:rPr>
        <w:t xml:space="preserve">Family does not read English.</w:t>
      </w:r>
      <w:r>
        <w:t xml:space="preserve"> </w:t>
      </w:r>
      <w:r>
        <w:t xml:space="preserve">Follow your district’s translation protocol. A filled-in template in English that the family can’t read is worse than a phone call in their preferred language.</w:t>
      </w:r>
    </w:p>
    <w:p>
      <w:pPr>
        <w:pStyle w:val="Compact"/>
        <w:numPr>
          <w:ilvl w:val="0"/>
          <w:numId w:val="1005"/>
        </w:numPr>
      </w:pPr>
      <w:r>
        <w:rPr>
          <w:b/>
          <w:bCs/>
        </w:rPr>
        <w:t xml:space="preserve">Family has expressed resistance to assessment or intervention in the past.</w:t>
      </w:r>
      <w:r>
        <w:t xml:space="preserve"> </w:t>
      </w:r>
      <w:r>
        <w:t xml:space="preserve">Consider a phone conversation</w:t>
      </w:r>
      <w:r>
        <w:t xml:space="preserve"> </w:t>
      </w:r>
      <w:r>
        <w:rPr>
          <w:i/>
          <w:iCs/>
        </w:rPr>
        <w:t xml:space="preserve">before</w:t>
      </w:r>
      <w:r>
        <w:t xml:space="preserve"> </w:t>
      </w:r>
      <w:r>
        <w:t xml:space="preserve">sending the written summary home. The document is a record of a conversation you’ve had, not a substitute for it.</w:t>
      </w:r>
    </w:p>
    <w:bookmarkEnd w:id="22"/>
    <w:bookmarkStart w:id="23" w:name="what-to-file-and-what-to-send"/>
    <w:p>
      <w:pPr>
        <w:pStyle w:val="Heading2"/>
      </w:pPr>
      <w:r>
        <w:t xml:space="preserve">What to file and what to send</w:t>
      </w:r>
    </w:p>
    <w:p>
      <w:pPr>
        <w:pStyle w:val="Compact"/>
        <w:numPr>
          <w:ilvl w:val="0"/>
          <w:numId w:val="1006"/>
        </w:numPr>
      </w:pPr>
      <w:r>
        <w:rPr>
          <w:b/>
          <w:bCs/>
        </w:rPr>
        <w:t xml:space="preserve">Send home</w:t>
      </w:r>
      <w:r>
        <w:t xml:space="preserve"> </w:t>
      </w:r>
      <w:r>
        <w:t xml:space="preserve">with the student (or through your school’s established family communication channel) — one copy</w:t>
      </w:r>
    </w:p>
    <w:p>
      <w:pPr>
        <w:pStyle w:val="Compact"/>
        <w:numPr>
          <w:ilvl w:val="0"/>
          <w:numId w:val="1006"/>
        </w:numPr>
      </w:pPr>
      <w:r>
        <w:rPr>
          <w:b/>
          <w:bCs/>
        </w:rPr>
        <w:t xml:space="preserve">File</w:t>
      </w:r>
      <w:r>
        <w:t xml:space="preserve"> </w:t>
      </w:r>
      <w:r>
        <w:t xml:space="preserve">— one copy, per your district’s student-record retention policy</w:t>
      </w:r>
    </w:p>
    <w:p>
      <w:pPr>
        <w:pStyle w:val="Compact"/>
        <w:numPr>
          <w:ilvl w:val="0"/>
          <w:numId w:val="1006"/>
        </w:numPr>
      </w:pPr>
      <w:r>
        <w:rPr>
          <w:b/>
          <w:bCs/>
        </w:rPr>
        <w:t xml:space="preserve">Digital record</w:t>
      </w:r>
      <w:r>
        <w:t xml:space="preserve"> </w:t>
      </w:r>
      <w:r>
        <w:t xml:space="preserve">— if your district stores these in a student information system, follow your district’s upload and retention protocol</w:t>
      </w:r>
    </w:p>
    <w:p>
      <w:pPr>
        <w:pStyle w:val="FirstParagraph"/>
      </w:pPr>
      <w:r>
        <w:t xml:space="preserve">The document you send home and the document you file should be</w:t>
      </w:r>
      <w:r>
        <w:t xml:space="preserve"> </w:t>
      </w:r>
      <w:r>
        <w:rPr>
          <w:b/>
          <w:bCs/>
        </w:rPr>
        <w:t xml:space="preserve">the same document</w:t>
      </w:r>
      <w:r>
        <w:t xml:space="preserve"> </w:t>
      </w:r>
      <w:r>
        <w:t xml:space="preserve">— same language, same results, same next steps. If you need to have a different conversation with the family than what’s on the page, have that conversation separately and document it separately.</w:t>
      </w:r>
    </w:p>
    <w:p>
      <w:r>
        <w:pict>
          <v:rect style="width:0;height:1.5pt" o:hralign="center" o:hrstd="t" o:hr="t"/>
        </w:pict>
      </w:r>
    </w:p>
    <w:p>
      <w:pPr>
        <w:pStyle w:val="FirstParagraph"/>
      </w:pPr>
      <w:r>
        <w:rPr>
          <w:i/>
          <w:iCs/>
        </w:rPr>
        <w:t xml:space="preserve">This document describes the contents and recommended use of a parent-facing assessment summary. Filled-in versions of the Page 1 template contain student personally identifying information and are student education records under FERPA. Handle filled-in copies per your district’s student-record retention and transmission policies. Keep a copy per your district’s retention schedule.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2026-04-19T21:31:55Z</dcterms:created>
  <dcterms:modified xsi:type="dcterms:W3CDTF">2026-04-19T21:31:55Z</dcterms:modified>
</cp:coreProperties>
</file>

<file path=docProps/custom.xml><?xml version="1.0" encoding="utf-8"?>
<Properties xmlns="http://schemas.openxmlformats.org/officeDocument/2006/custom-properties" xmlns:vt="http://schemas.openxmlformats.org/officeDocument/2006/docPropsVTypes"/>
</file>