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2E75B6"/>
          <w:sz w:val="48"/>
          <w:szCs w:val="48"/>
        </w:rPr>
        <w:t xml:space="preserve">ScholarPath Intervention Management</w:t>
      </w:r>
    </w:p>
    <w:p>
      <w:pPr>
        <w:spacing w:after="120"/>
      </w:pPr>
      <w:r>
        <w:rPr>
          <w:b/>
          <w:bCs/>
          <w:sz w:val="36"/>
          <w:szCs w:val="36"/>
        </w:rPr>
        <w:t xml:space="preserve">Complete User Guide</w:t>
      </w:r>
    </w:p>
    <w:p>
      <w:pPr>
        <w:spacing w:after="0"/>
      </w:pPr>
      <w:r>
        <w:rPr>
          <w:color w:val="555555"/>
          <w:sz w:val="24"/>
          <w:szCs w:val="24"/>
        </w:rPr>
        <w:t xml:space="preserve">Every feature, every role — from sign-in to year-end roll-up</w:t>
      </w:r>
    </w:p>
    <w:p>
      <w:pPr>
        <w:spacing w:after="240"/>
      </w:pPr>
      <w:r>
        <w:rPr>
          <w:color w:val="777777"/>
          <w:sz w:val="22"/>
          <w:szCs w:val="22"/>
        </w:rPr>
        <w:t xml:space="preserve">For administrators, counselors, interventionists, teachers, education assistants, and parents</w:t>
      </w:r>
    </w:p>
    <w:p>
      <w:pPr>
        <w:pBdr>
          <w:bottom w:val="single" w:color="2E75B6" w:sz="6" w:space="1"/>
        </w:pBdr>
        <w:spacing w:after="240"/>
      </w:pPr>
      <w:r>
        <w:t xml:space="preserve"/>
      </w:r>
    </w:p>
    <w:p>
      <w:pPr>
        <w:pStyle w:val="Heading1"/>
      </w:pPr>
      <w:r>
        <w:t xml:space="preserve">Contents</w:t>
      </w:r>
    </w:p>
    <w:p>
      <w:pPr>
        <w:tabs>
          <w:tab w:val="left" w:pos="620"/>
        </w:tabs>
        <w:spacing w:after="110" w:line="276"/>
        <w:ind w:left="200"/>
      </w:pPr>
      <w:r>
        <w:rPr>
          <w:b/>
          <w:bCs/>
          <w:color w:val="2E75B6"/>
        </w:rPr>
        <w:t xml:space="preserve">1.</w:t>
      </w:r>
      <w:r>
        <w:t xml:space="preserve">	About this guide</w:t>
      </w:r>
    </w:p>
    <w:p>
      <w:pPr>
        <w:tabs>
          <w:tab w:val="left" w:pos="620"/>
        </w:tabs>
        <w:spacing w:after="110" w:line="276"/>
        <w:ind w:left="200"/>
      </w:pPr>
      <w:r>
        <w:rPr>
          <w:b/>
          <w:bCs/>
          <w:color w:val="2E75B6"/>
        </w:rPr>
        <w:t xml:space="preserve">2.</w:t>
      </w:r>
      <w:r>
        <w:t xml:space="preserve">	Getting started: signing in and finding your way around</w:t>
      </w:r>
    </w:p>
    <w:p>
      <w:pPr>
        <w:tabs>
          <w:tab w:val="left" w:pos="620"/>
        </w:tabs>
        <w:spacing w:after="110" w:line="276"/>
        <w:ind w:left="200"/>
      </w:pPr>
      <w:r>
        <w:rPr>
          <w:b/>
          <w:bCs/>
          <w:color w:val="2E75B6"/>
        </w:rPr>
        <w:t xml:space="preserve">3.</w:t>
      </w:r>
      <w:r>
        <w:t xml:space="preserve">	The Dashboard</w:t>
      </w:r>
    </w:p>
    <w:p>
      <w:pPr>
        <w:tabs>
          <w:tab w:val="left" w:pos="620"/>
        </w:tabs>
        <w:spacing w:after="110" w:line="276"/>
        <w:ind w:left="200"/>
      </w:pPr>
      <w:r>
        <w:rPr>
          <w:b/>
          <w:bCs/>
          <w:color w:val="2E75B6"/>
        </w:rPr>
        <w:t xml:space="preserve">4.</w:t>
      </w:r>
      <w:r>
        <w:t xml:space="preserve">	Students and the student record</w:t>
      </w:r>
    </w:p>
    <w:p>
      <w:pPr>
        <w:tabs>
          <w:tab w:val="left" w:pos="620"/>
        </w:tabs>
        <w:spacing w:after="110" w:line="276"/>
        <w:ind w:left="200"/>
      </w:pPr>
      <w:r>
        <w:rPr>
          <w:b/>
          <w:bCs/>
          <w:color w:val="2E75B6"/>
        </w:rPr>
        <w:t xml:space="preserve">5.</w:t>
      </w:r>
      <w:r>
        <w:t xml:space="preserve">	Screeners (MAP and STAR)</w:t>
      </w:r>
    </w:p>
    <w:p>
      <w:pPr>
        <w:tabs>
          <w:tab w:val="left" w:pos="620"/>
        </w:tabs>
        <w:spacing w:after="110" w:line="276"/>
        <w:ind w:left="200"/>
      </w:pPr>
      <w:r>
        <w:rPr>
          <w:b/>
          <w:bCs/>
          <w:color w:val="2E75B6"/>
        </w:rPr>
        <w:t xml:space="preserve">6.</w:t>
      </w:r>
      <w:r>
        <w:t xml:space="preserve">	Intervention plans and the Intervention Menu</w:t>
      </w:r>
    </w:p>
    <w:p>
      <w:pPr>
        <w:tabs>
          <w:tab w:val="left" w:pos="620"/>
        </w:tabs>
        <w:spacing w:after="110" w:line="276"/>
        <w:ind w:left="200"/>
      </w:pPr>
      <w:r>
        <w:rPr>
          <w:b/>
          <w:bCs/>
          <w:color w:val="2E75B6"/>
        </w:rPr>
        <w:t xml:space="preserve">7.</w:t>
      </w:r>
      <w:r>
        <w:t xml:space="preserve">	Progress monitoring and overdue-log reminders</w:t>
      </w:r>
    </w:p>
    <w:p>
      <w:pPr>
        <w:tabs>
          <w:tab w:val="left" w:pos="620"/>
        </w:tabs>
        <w:spacing w:after="110" w:line="276"/>
        <w:ind w:left="200"/>
      </w:pPr>
      <w:r>
        <w:rPr>
          <w:b/>
          <w:bCs/>
          <w:color w:val="2E75B6"/>
        </w:rPr>
        <w:t xml:space="preserve">8.</w:t>
      </w:r>
      <w:r>
        <w:t xml:space="preserve">	MTSS meetings and the referral process</w:t>
      </w:r>
    </w:p>
    <w:p>
      <w:pPr>
        <w:tabs>
          <w:tab w:val="left" w:pos="620"/>
        </w:tabs>
        <w:spacing w:after="110" w:line="276"/>
        <w:ind w:left="200"/>
      </w:pPr>
      <w:r>
        <w:rPr>
          <w:b/>
          <w:bCs/>
          <w:color w:val="2E75B6"/>
        </w:rPr>
        <w:t xml:space="preserve">9.</w:t>
      </w:r>
      <w:r>
        <w:t xml:space="preserve">	Tier 1 tools and Resources</w:t>
      </w:r>
    </w:p>
    <w:p>
      <w:pPr>
        <w:tabs>
          <w:tab w:val="left" w:pos="620"/>
        </w:tabs>
        <w:spacing w:after="110" w:line="276"/>
        <w:ind w:left="200"/>
      </w:pPr>
      <w:r>
        <w:rPr>
          <w:b/>
          <w:bCs/>
          <w:color w:val="2E75B6"/>
        </w:rPr>
        <w:t xml:space="preserve">10.</w:t>
      </w:r>
      <w:r>
        <w:t xml:space="preserve">	Discipline referrals</w:t>
      </w:r>
    </w:p>
    <w:p>
      <w:pPr>
        <w:tabs>
          <w:tab w:val="left" w:pos="620"/>
        </w:tabs>
        <w:spacing w:after="110" w:line="276"/>
        <w:ind w:left="200"/>
      </w:pPr>
      <w:r>
        <w:rPr>
          <w:b/>
          <w:bCs/>
          <w:color w:val="2E75B6"/>
        </w:rPr>
        <w:t xml:space="preserve">11.</w:t>
      </w:r>
      <w:r>
        <w:t xml:space="preserve">	Discipline Reports and demographics</w:t>
      </w:r>
    </w:p>
    <w:p>
      <w:pPr>
        <w:tabs>
          <w:tab w:val="left" w:pos="620"/>
        </w:tabs>
        <w:spacing w:after="110" w:line="276"/>
        <w:ind w:left="200"/>
      </w:pPr>
      <w:r>
        <w:rPr>
          <w:b/>
          <w:bCs/>
          <w:color w:val="2E75B6"/>
        </w:rPr>
        <w:t xml:space="preserve">12.</w:t>
      </w:r>
      <w:r>
        <w:t xml:space="preserve">	Grade Roll-up (end of year)</w:t>
      </w:r>
    </w:p>
    <w:p>
      <w:pPr>
        <w:tabs>
          <w:tab w:val="left" w:pos="620"/>
        </w:tabs>
        <w:spacing w:after="110" w:line="276"/>
        <w:ind w:left="200"/>
      </w:pPr>
      <w:r>
        <w:rPr>
          <w:b/>
          <w:bCs/>
          <w:color w:val="2E75B6"/>
        </w:rPr>
        <w:t xml:space="preserve">13.</w:t>
      </w:r>
      <w:r>
        <w:t xml:space="preserve">	Section 504 plans and accommodations</w:t>
      </w:r>
    </w:p>
    <w:p>
      <w:pPr>
        <w:tabs>
          <w:tab w:val="left" w:pos="620"/>
        </w:tabs>
        <w:spacing w:after="110" w:line="276"/>
        <w:ind w:left="200"/>
      </w:pPr>
      <w:r>
        <w:rPr>
          <w:b/>
          <w:bCs/>
          <w:color w:val="2E75B6"/>
        </w:rPr>
        <w:t xml:space="preserve">14.</w:t>
      </w:r>
      <w:r>
        <w:t xml:space="preserve">	The parent / guardian portal</w:t>
      </w:r>
    </w:p>
    <w:p>
      <w:pPr>
        <w:tabs>
          <w:tab w:val="left" w:pos="620"/>
        </w:tabs>
        <w:spacing w:after="110" w:line="276"/>
        <w:ind w:left="200"/>
      </w:pPr>
      <w:r>
        <w:rPr>
          <w:b/>
          <w:bCs/>
          <w:color w:val="2E75B6"/>
        </w:rPr>
        <w:t xml:space="preserve">15.</w:t>
      </w:r>
      <w:r>
        <w:t xml:space="preserve">	Admin and settings</w:t>
      </w:r>
    </w:p>
    <w:p>
      <w:pPr>
        <w:tabs>
          <w:tab w:val="left" w:pos="620"/>
        </w:tabs>
        <w:spacing w:after="110" w:line="276"/>
        <w:ind w:left="200"/>
      </w:pPr>
      <w:r>
        <w:rPr>
          <w:b/>
          <w:bCs/>
          <w:color w:val="2E75B6"/>
        </w:rPr>
        <w:t xml:space="preserve">16.</w:t>
      </w:r>
      <w:r>
        <w:t xml:space="preserve">	Protecting student data</w:t>
      </w:r>
    </w:p>
    <w:p>
      <w:pPr>
        <w:tabs>
          <w:tab w:val="left" w:pos="620"/>
        </w:tabs>
        <w:spacing w:after="110" w:line="276"/>
        <w:ind w:left="200"/>
      </w:pPr>
      <w:r>
        <w:rPr>
          <w:b/>
          <w:bCs/>
          <w:color w:val="2E75B6"/>
        </w:rPr>
        <w:t xml:space="preserve">17.</w:t>
      </w:r>
      <w:r>
        <w:t xml:space="preserve">	Quick answers</w:t>
      </w:r>
    </w:p>
    <w:p>
      <w:pPr>
        <w:tabs>
          <w:tab w:val="left" w:pos="620"/>
        </w:tabs>
        <w:spacing w:after="110" w:line="276"/>
        <w:ind w:left="200"/>
      </w:pPr>
      <w:r>
        <w:rPr>
          <w:b/>
          <w:bCs/>
          <w:color w:val="2E75B6"/>
        </w:rPr>
        <w:t xml:space="preserve">18.</w:t>
      </w:r>
      <w:r>
        <w:t xml:space="preserve">	Appendix: role-permission matrix</w:t>
      </w:r>
    </w:p>
    <w:p>
      <w:pPr>
        <w:pageBreakBefore/>
      </w:pPr>
      <w:r>
        <w:t xml:space="preserve"/>
      </w:r>
    </w:p>
    <w:p>
      <w:pPr>
        <w:pStyle w:val="Heading1"/>
      </w:pPr>
      <w:r>
        <w:t xml:space="preserve">1. About this guide</w:t>
      </w:r>
    </w:p>
    <w:p>
      <w:pPr>
        <w:spacing w:after="120" w:line="276"/>
      </w:pPr>
      <w:r>
        <w:t xml:space="preserve">This guide covers everything ScholarPath Intervention Management can do, organized feature by feature. ScholarPath is a Multi-Tiered System of Supports (MTSS / RTI) platform: it helps your school track students who need extra academic, behavioral, or social-emotional support, document the interventions you try, monitor whether those interventions are working, and make data-informed decisions about moving students between tiers of support.</w:t>
      </w:r>
    </w:p>
    <w:p>
      <w:pPr>
        <w:spacing w:after="120" w:line="276"/>
      </w:pPr>
      <w:r>
        <w:t xml:space="preserve">It is written for everyone who uses the platform. Because what you can see and do depends on your role, most sections include a short note on who can perform each action. If a button or screen described here isn’t visible to you, it is almost always because your role doesn’t include that capability — not because something is broken.</w:t>
      </w:r>
    </w:p>
    <w:p>
      <w:pPr>
        <w:spacing w:after="120" w:line="276"/>
      </w:pPr>
      <w:r>
        <w:t xml:space="preserve">Throughout this guide, the </w:t>
      </w:r>
      <w:r>
        <w:rPr>
          <w:b/>
          <w:bCs/>
        </w:rPr>
        <w:t xml:space="preserve">exact words</w:t>
      </w:r>
      <w:r>
        <w:t xml:space="preserve"> you’ll see on screen — button labels, menu names, status values — are shown in bold so you can match them to what’s in front of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A note on roles</w:t>
            </w:r>
          </w:p>
          <w:p>
            <w:pPr>
              <w:spacing w:after="0"/>
            </w:pPr>
            <w:r>
              <w:t xml:space="preserve">ScholarPath has eight roles: </w:t>
            </w:r>
            <w:r>
              <w:rPr>
                <w:b/>
                <w:bCs/>
              </w:rPr>
              <w:t xml:space="preserve">district admin</w:t>
            </w:r>
            <w:r>
              <w:t xml:space="preserve">, </w:t>
            </w:r>
            <w:r>
              <w:rPr>
                <w:b/>
                <w:bCs/>
              </w:rPr>
              <w:t xml:space="preserve">district tech admin</w:t>
            </w:r>
            <w:r>
              <w:t xml:space="preserve">, </w:t>
            </w:r>
            <w:r>
              <w:rPr>
                <w:b/>
                <w:bCs/>
              </w:rPr>
              <w:t xml:space="preserve">school admin</w:t>
            </w:r>
            <w:r>
              <w:t xml:space="preserve">, </w:t>
            </w:r>
            <w:r>
              <w:rPr>
                <w:b/>
                <w:bCs/>
              </w:rPr>
              <w:t xml:space="preserve">counselor</w:t>
            </w:r>
            <w:r>
              <w:t xml:space="preserve">, </w:t>
            </w:r>
            <w:r>
              <w:rPr>
                <w:b/>
                <w:bCs/>
              </w:rPr>
              <w:t xml:space="preserve">interventionist</w:t>
            </w:r>
            <w:r>
              <w:t xml:space="preserve">, </w:t>
            </w:r>
            <w:r>
              <w:rPr>
                <w:b/>
                <w:bCs/>
              </w:rPr>
              <w:t xml:space="preserve">teacher</w:t>
            </w:r>
            <w:r>
              <w:t xml:space="preserve">, </w:t>
            </w:r>
            <w:r>
              <w:rPr>
                <w:b/>
                <w:bCs/>
              </w:rPr>
              <w:t xml:space="preserve">education assistant</w:t>
            </w:r>
            <w:r>
              <w:t xml:space="preserve">, and </w:t>
            </w:r>
            <w:r>
              <w:rPr>
                <w:b/>
                <w:bCs/>
              </w:rPr>
              <w:t xml:space="preserve">parent/guardian</w:t>
            </w:r>
            <w:r>
              <w:t xml:space="preserve">. A ninth, </w:t>
            </w:r>
            <w:r>
              <w:rPr>
                <w:b/>
                <w:bCs/>
              </w:rPr>
              <w:t xml:space="preserve">operator</w:t>
            </w:r>
            <w:r>
              <w:t xml:space="preserve">, is the platform support team. Section 2 introduces them; the appendix at the end has a full permission matrix.</w:t>
            </w:r>
          </w:p>
        </w:tc>
      </w:tr>
    </w:tbl>
    <w:p>
      <w:pPr>
        <w:pStyle w:val="Heading1"/>
      </w:pPr>
      <w:r>
        <w:t xml:space="preserve">2. Getting started: signing in and finding your way around</w:t>
      </w:r>
    </w:p>
    <w:p>
      <w:pPr>
        <w:pStyle w:val="Heading2"/>
      </w:pPr>
      <w:r>
        <w:t xml:space="preserve">Signing in</w:t>
      </w:r>
    </w:p>
    <w:p>
      <w:pPr>
        <w:spacing w:after="120" w:line="276"/>
      </w:pPr>
      <w:r>
        <w:t xml:space="preserve">Open ScholarPath in your web browser and you’ll land on the </w:t>
      </w:r>
      <w:r>
        <w:rPr>
          <w:b/>
          <w:bCs/>
        </w:rPr>
        <w:t xml:space="preserve">ScholarPath Intervention Management</w:t>
      </w:r>
      <w:r>
        <w:t xml:space="preserve"> sign-in screen. There are two ways to sign in:</w:t>
      </w:r>
    </w:p>
    <w:p>
      <w:pPr>
        <w:pStyle w:val="ListParagraph"/>
        <w:numPr>
          <w:ilvl w:val="0"/>
          <w:numId w:val="2"/>
        </w:numPr>
        <w:spacing w:after="60" w:line="276"/>
      </w:pPr>
      <w:r>
        <w:rPr>
          <w:b/>
          <w:bCs/>
        </w:rPr>
        <w:t xml:space="preserve">Staff</w:t>
      </w:r>
      <w:r>
        <w:t xml:space="preserve"> sign in with their school email and password, or with Google single sign-on (the Google button on the sign-in screen). Either works for staff accounts.</w:t>
      </w:r>
    </w:p>
    <w:p>
      <w:pPr>
        <w:pStyle w:val="ListParagraph"/>
        <w:numPr>
          <w:ilvl w:val="0"/>
          <w:numId w:val="2"/>
        </w:numPr>
        <w:spacing w:after="60" w:line="276"/>
      </w:pPr>
      <w:r>
        <w:rPr>
          <w:b/>
          <w:bCs/>
        </w:rPr>
        <w:t xml:space="preserve">Parents and guardians</w:t>
      </w:r>
      <w:r>
        <w:t xml:space="preserve"> sign in with email and password only. Parent accounts cannot use Google sign-on.</w:t>
      </w:r>
    </w:p>
    <w:p>
      <w:pPr>
        <w:spacing w:after="120" w:line="276"/>
      </w:pPr>
      <w:r>
        <w:t xml:space="preserve">If you forget your password, choose </w:t>
      </w:r>
      <w:r>
        <w:rPr>
          <w:b/>
          <w:bCs/>
        </w:rPr>
        <w:t xml:space="preserve">Forgot your password?</w:t>
      </w:r>
      <w:r>
        <w:t xml:space="preserve">, enter your email, and select </w:t>
      </w:r>
      <w:r>
        <w:rPr>
          <w:b/>
          <w:bCs/>
        </w:rPr>
        <w:t xml:space="preserve">Send Reset Link</w:t>
      </w:r>
      <w:r>
        <w:t xml:space="preserve">. You’ll get an email with a link to set a new one. To go back, use </w:t>
      </w:r>
      <w:r>
        <w:rPr>
          <w:b/>
          <w:bCs/>
        </w:rPr>
        <w:t xml:space="preserve">← Back to Sign In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If sign-in fails</w:t>
            </w:r>
          </w:p>
          <w:p>
            <w:pPr>
              <w:spacing w:after="0"/>
            </w:pPr>
            <w:r>
              <w:t xml:space="preserve">For your security, the error message is deliberately general (“Invalid email or password”) and won’t tell you which part was wrong. Double-check your email spelling and password. If you’re a parent trying to use Google, switch to email and password instead.</w:t>
            </w:r>
          </w:p>
        </w:tc>
      </w:tr>
    </w:tbl>
    <w:p>
      <w:pPr>
        <w:pStyle w:val="Heading2"/>
      </w:pPr>
      <w:r>
        <w:t xml:space="preserve">Finding your way around</w:t>
      </w:r>
    </w:p>
    <w:p>
      <w:pPr>
        <w:spacing w:after="120" w:line="276"/>
      </w:pPr>
      <w:r>
        <w:t xml:space="preserve">After signing in, staff see a navigation bar across the top of the screen. The buttons you see depend on your role; common ones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Navigation button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What it opens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Who sees it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Your MTSS overview with alert cards and to-dos.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All staff</w:t>
            </w:r>
          </w:p>
        </w:tc>
      </w:tr>
      <w:tr>
        <w:trPr>
          <w:tblHeader w:val="false"/>
        </w:trP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Students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The student list and individual student records.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All staff</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Resources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Downloadable MTSS templates and guides.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All staff</w:t>
            </w:r>
          </w:p>
        </w:tc>
      </w:tr>
      <w:tr>
        <w:trPr>
          <w:tblHeader w:val="false"/>
        </w:trP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Discipline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The discipline-referral review queue.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School/district admin, counselor, interventionist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Discipline Reports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Discipline trends and reports.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School/district admin, counselor, interventionist</w:t>
            </w:r>
          </w:p>
        </w:tc>
      </w:tr>
      <w:tr>
        <w:trPr>
          <w:tblHeader w:val="false"/>
        </w:trP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My District / District Report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District-wide rollups and reports.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 admin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Grade Roll-up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End-of-year grade promotion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District admin, school admin</w:t>
            </w:r>
          </w:p>
        </w:tc>
      </w:tr>
      <w:tr>
        <w:trPr>
          <w:tblHeader w:val="false"/>
        </w:trP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Admin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Manage students, staff, parents, interventions, and settings.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School/district admin, counselor, interventionist</w:t>
            </w:r>
          </w:p>
        </w:tc>
      </w:tr>
    </w:tbl>
    <w:p>
      <w:pPr>
        <w:spacing w:after="120"/>
      </w:pPr>
      <w:r>
        <w:t xml:space="preserve"/>
      </w:r>
    </w:p>
    <w:p>
      <w:pPr>
        <w:spacing w:after="120" w:line="276"/>
      </w:pPr>
      <w:r>
        <w:t xml:space="preserve">At the top-right you’ll always see your name and role, a key icon to </w:t>
      </w:r>
      <w:r>
        <w:rPr>
          <w:b/>
          <w:bCs/>
        </w:rPr>
        <w:t xml:space="preserve">Change password</w:t>
      </w:r>
      <w:r>
        <w:t xml:space="preserve">, and </w:t>
      </w:r>
      <w:r>
        <w:rPr>
          <w:b/>
          <w:bCs/>
        </w:rPr>
        <w:t xml:space="preserve">Sign out</w:t>
      </w:r>
      <w:r>
        <w:t xml:space="preserve">. Parents don’t see this staff navigation at all — they go straight to their own parent portal (covered in Section 14).</w:t>
      </w:r>
    </w:p>
    <w:p>
      <w:pPr>
        <w:pStyle w:val="Heading2"/>
      </w:pPr>
      <w:r>
        <w:t xml:space="preserve">The eight roles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Role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In plain terms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District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District-wide access to everything, including roll-up, admin, and discipline.</w:t>
            </w:r>
          </w:p>
        </w:tc>
      </w:tr>
      <w:tr>
        <w:trPr>
          <w:tblHeader w:val="false"/>
        </w:trP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 tech admin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District-wide configuration and integrations; elevated read access.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School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Full access within their building, including roll-up and discipline.</w:t>
            </w:r>
          </w:p>
        </w:tc>
      </w:tr>
      <w:tr>
        <w:trPr>
          <w:tblHeader w:val="false"/>
        </w:trP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Counselor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Sees all students in the school, manages interventions, reviews discipline.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Interventionist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Sees all students, manages interventions, uploads documents.</w:t>
            </w:r>
          </w:p>
        </w:tc>
      </w:tr>
      <w:tr>
        <w:trPr>
          <w:tblHeader w:val="false"/>
        </w:trP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Teacher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Sees assigned students plus all Tier 1 students; manages interventions and logs progress.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Education assistant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Logs progress for assigned students; files discipline referrals; view-only otherwise.</w:t>
            </w:r>
          </w:p>
        </w:tc>
      </w:tr>
      <w:tr>
        <w:trPr>
          <w:tblHeader w:val="false"/>
        </w:trP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Parent / guardian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A separate portal showing only their own linked child or children.</w:t>
            </w:r>
          </w:p>
        </w:tc>
      </w:tr>
    </w:tbl>
    <w:p>
      <w:pPr>
        <w:spacing w:after="120"/>
      </w:pPr>
      <w:r>
        <w:t xml:space="preserve"/>
      </w:r>
    </w:p>
    <w:p>
      <w:pPr>
        <w:spacing w:after="120" w:line="276"/>
      </w:pPr>
      <w:r>
        <w:t xml:space="preserve">A ninth role, </w:t>
      </w:r>
      <w:r>
        <w:rPr>
          <w:b/>
          <w:bCs/>
        </w:rPr>
        <w:t xml:space="preserve">operator</w:t>
      </w:r>
      <w:r>
        <w:t xml:space="preserve">, is the platform support team. Operators help with cross-school setup and requests but don’t participate in day-to-day classroom work. The full, detailed permission matrix is in the Appendix.</w:t>
      </w:r>
    </w:p>
    <w:p>
      <w:pPr>
        <w:pStyle w:val="Heading1"/>
      </w:pPr>
      <w:r>
        <w:t xml:space="preserve">3. The Dashboard</w:t>
      </w:r>
    </w:p>
    <w:p>
      <w:pPr>
        <w:spacing w:after="120" w:line="276"/>
      </w:pPr>
      <w:r>
        <w:t xml:space="preserve">The Dashboard is your home base. Its title is </w:t>
      </w:r>
      <w:r>
        <w:rPr>
          <w:b/>
          <w:bCs/>
        </w:rPr>
        <w:t xml:space="preserve">MTSS Dashboard</w:t>
      </w:r>
      <w:r>
        <w:t xml:space="preserve">, with the subtitle </w:t>
      </w:r>
      <w:r>
        <w:rPr>
          <w:b/>
          <w:bCs/>
        </w:rPr>
        <w:t xml:space="preserve">Multi-Tiered System of Supports Overview</w:t>
      </w:r>
      <w:r>
        <w:t xml:space="preserve">. It pulls together the things that need your attention into a set of alert cards. The exact cards you see depend on your role — administrators, counselors, and interventionists see the full set; teachers and education assistants see a lighter view focused on their own students.</w:t>
      </w:r>
    </w:p>
    <w:p>
      <w:pPr>
        <w:pStyle w:val="Heading2"/>
      </w:pPr>
      <w:r>
        <w:t xml:space="preserve">The alert cards</w:t>
      </w:r>
    </w:p>
    <w:p>
      <w:pPr>
        <w:pStyle w:val="ListParagraph"/>
        <w:numPr>
          <w:ilvl w:val="0"/>
          <w:numId w:val="2"/>
        </w:numPr>
        <w:spacing w:after="60" w:line="276"/>
      </w:pPr>
      <w:r>
        <w:rPr>
          <w:b/>
          <w:bCs/>
        </w:rPr>
        <w:t xml:space="preserve">Tier 1 Self-Assessment</w:t>
      </w:r>
      <w:r>
        <w:t xml:space="preserve"> — a shortcut into your school’s Tier 1 fidelity self-assessment, with an </w:t>
      </w:r>
      <w:r>
        <w:rPr>
          <w:b/>
          <w:bCs/>
        </w:rPr>
        <w:t xml:space="preserve">In progress</w:t>
      </w:r>
      <w:r>
        <w:t xml:space="preserve"> badge if one is underway. (See Section 9.)</w:t>
      </w:r>
    </w:p>
    <w:p>
      <w:pPr>
        <w:pStyle w:val="ListParagraph"/>
        <w:numPr>
          <w:ilvl w:val="0"/>
          <w:numId w:val="2"/>
        </w:numPr>
        <w:spacing w:after="60" w:line="276"/>
      </w:pPr>
      <w:r>
        <w:rPr>
          <w:b/>
          <w:bCs/>
        </w:rPr>
        <w:t xml:space="preserve">Weekly Reminder: Log Progress</w:t>
      </w:r>
      <w:r>
        <w:t xml:space="preserve"> — lists interventions that haven’t been logged yet this week, with a frequency chip on each (</w:t>
      </w:r>
      <w:r>
        <w:rPr>
          <w:b/>
          <w:bCs/>
        </w:rPr>
        <w:t xml:space="preserve">Daily</w:t>
      </w:r>
      <w:r>
        <w:t xml:space="preserve">, </w:t>
      </w:r>
      <w:r>
        <w:rPr>
          <w:b/>
          <w:bCs/>
        </w:rPr>
        <w:t xml:space="preserve">3x/wk</w:t>
      </w:r>
      <w:r>
        <w:t xml:space="preserve">, </w:t>
      </w:r>
      <w:r>
        <w:rPr>
          <w:b/>
          <w:bCs/>
        </w:rPr>
        <w:t xml:space="preserve">2x/wk</w:t>
      </w:r>
      <w:r>
        <w:t xml:space="preserve">, </w:t>
      </w:r>
      <w:r>
        <w:rPr>
          <w:b/>
          <w:bCs/>
        </w:rPr>
        <w:t xml:space="preserve">Bi-wkly</w:t>
      </w:r>
      <w:r>
        <w:t xml:space="preserve">, </w:t>
      </w:r>
      <w:r>
        <w:rPr>
          <w:b/>
          <w:bCs/>
        </w:rPr>
        <w:t xml:space="preserve">Weekly</w:t>
      </w:r>
      <w:r>
        <w:t xml:space="preserve">). This is your nudge to keep monitoring current. (See Section 7.)</w:t>
      </w:r>
    </w:p>
    <w:p>
      <w:pPr>
        <w:pStyle w:val="ListParagraph"/>
        <w:numPr>
          <w:ilvl w:val="0"/>
          <w:numId w:val="2"/>
        </w:numPr>
        <w:spacing w:after="60" w:line="276"/>
      </w:pPr>
      <w:r>
        <w:rPr>
          <w:b/>
          <w:bCs/>
        </w:rPr>
        <w:t xml:space="preserve">Documents Expiring Soon</w:t>
      </w:r>
      <w:r>
        <w:t xml:space="preserve"> — documents that need renewal, showing how many days remain or an </w:t>
      </w:r>
      <w:r>
        <w:rPr>
          <w:b/>
          <w:bCs/>
        </w:rPr>
        <w:t xml:space="preserve">Expired!</w:t>
      </w:r>
      <w:r>
        <w:t xml:space="preserve"> flag.</w:t>
      </w:r>
    </w:p>
    <w:p>
      <w:pPr>
        <w:pStyle w:val="ListParagraph"/>
        <w:numPr>
          <w:ilvl w:val="0"/>
          <w:numId w:val="2"/>
        </w:numPr>
        <w:spacing w:after="60" w:line="276"/>
      </w:pPr>
      <w:r>
        <w:rPr>
          <w:b/>
          <w:bCs/>
        </w:rPr>
        <w:t xml:space="preserve">MTSS Referral Candidates</w:t>
      </w:r>
      <w:r>
        <w:t xml:space="preserve"> — Tier 1 students receiving significant support with limited progress; the card suggests “consider starting a Pre-Referral Form.” Each row offers </w:t>
      </w:r>
      <w:r>
        <w:rPr>
          <w:b/>
          <w:bCs/>
        </w:rPr>
        <w:t xml:space="preserve">👁 Monitor</w:t>
      </w:r>
      <w:r>
        <w:t xml:space="preserve"> or </w:t>
      </w:r>
      <w:r>
        <w:rPr>
          <w:b/>
          <w:bCs/>
        </w:rPr>
        <w:t xml:space="preserve">Review →</w:t>
      </w:r>
      <w:r>
        <w:t xml:space="preserve">. (See Section 7 on referrals.)</w:t>
      </w:r>
    </w:p>
    <w:p>
      <w:pPr>
        <w:pStyle w:val="ListParagraph"/>
        <w:numPr>
          <w:ilvl w:val="0"/>
          <w:numId w:val="2"/>
        </w:numPr>
        <w:spacing w:after="60" w:line="276"/>
      </w:pPr>
      <w:r>
        <w:rPr>
          <w:b/>
          <w:bCs/>
        </w:rPr>
        <w:t xml:space="preserve">Monitoring</w:t>
      </w:r>
      <w:r>
        <w:t xml:space="preserve"> — students you’ve acknowledged and chosen to keep an eye on; statistics update automatically. Use </w:t>
      </w:r>
      <w:r>
        <w:rPr>
          <w:b/>
          <w:bCs/>
        </w:rPr>
        <w:t xml:space="preserve">Remove</w:t>
      </w:r>
      <w:r>
        <w:t xml:space="preserve"> to take a student off this watch list.</w:t>
      </w:r>
    </w:p>
    <w:p>
      <w:pPr>
        <w:spacing w:after="120" w:line="276"/>
      </w:pPr>
      <w:r>
        <w:t xml:space="preserve">There’s also a </w:t>
      </w:r>
      <w:r>
        <w:rPr>
          <w:b/>
          <w:bCs/>
        </w:rPr>
        <w:t xml:space="preserve">New Discipline Referral</w:t>
      </w:r>
      <w:r>
        <w:t xml:space="preserve"> button on the Dashboard, available to all staff except parents, for quickly logging a behavior incident (see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Why your Dashboard may look different</w:t>
            </w:r>
          </w:p>
          <w:p>
            <w:pPr>
              <w:spacing w:after="0"/>
            </w:pPr>
            <w:r>
              <w:t xml:space="preserve">The Weekly Reminder, Documents Expiring, Referral Candidates, and Monitoring cards are meant for staff with school-wide oversight. If you’re a teacher or education assistant, you’ll see a simpler Dashboard centered on your own caseload — that’s expected.</w:t>
            </w:r>
          </w:p>
        </w:tc>
      </w:tr>
    </w:tbl>
    <w:p>
      <w:pPr>
        <w:pStyle w:val="Heading1"/>
      </w:pPr>
      <w:r>
        <w:t xml:space="preserve">4. Students and the student record</w:t>
      </w:r>
    </w:p>
    <w:p>
      <w:pPr>
        <w:spacing w:after="120" w:line="276"/>
      </w:pPr>
      <w:r>
        <w:t xml:space="preserve">The </w:t>
      </w:r>
      <w:r>
        <w:rPr>
          <w:b/>
          <w:bCs/>
        </w:rPr>
        <w:t xml:space="preserve">Students</w:t>
      </w:r>
      <w:r>
        <w:t xml:space="preserve"> area is where you add students, open their records, and manage their status. Counselors, interventionists, school admins, and district admins can add and edit students. Only a district admin can permanently delete one. Teachers see their assigned students plus all Tier 1 students; education assistants see only their assigned caseload; parents see only their own child.</w:t>
      </w:r>
    </w:p>
    <w:p>
      <w:pPr>
        <w:pStyle w:val="Heading2"/>
      </w:pPr>
      <w:r>
        <w:t xml:space="preserve">Adding a student</w:t>
      </w:r>
    </w:p>
    <w:p>
      <w:pPr>
        <w:pStyle w:val="ListParagraph"/>
        <w:numPr>
          <w:ilvl w:val="0"/>
          <w:numId w:val="3"/>
        </w:numPr>
        <w:spacing w:after="60" w:line="276"/>
      </w:pPr>
      <w:r>
        <w:t xml:space="preserve">From the Students area, choose </w:t>
      </w:r>
      <w:r>
        <w:rPr>
          <w:b/>
          <w:bCs/>
        </w:rPr>
        <w:t xml:space="preserve">Add Student</w:t>
      </w:r>
      <w:r>
        <w:t xml:space="preserve">.</w:t>
      </w:r>
    </w:p>
    <w:p>
      <w:pPr>
        <w:pStyle w:val="ListParagraph"/>
        <w:numPr>
          <w:ilvl w:val="0"/>
          <w:numId w:val="3"/>
        </w:numPr>
        <w:spacing w:after="60" w:line="276"/>
      </w:pPr>
      <w:r>
        <w:t xml:space="preserve">Enter the student’s details. </w:t>
      </w:r>
      <w:r>
        <w:rPr>
          <w:b/>
          <w:bCs/>
        </w:rPr>
        <w:t xml:space="preserve">First name</w:t>
      </w:r>
      <w:r>
        <w:t xml:space="preserve">, </w:t>
      </w:r>
      <w:r>
        <w:rPr>
          <w:b/>
          <w:bCs/>
        </w:rPr>
        <w:t xml:space="preserve">last name</w:t>
      </w:r>
      <w:r>
        <w:t xml:space="preserve">, and </w:t>
      </w:r>
      <w:r>
        <w:rPr>
          <w:b/>
          <w:bCs/>
        </w:rPr>
        <w:t xml:space="preserve">grade</w:t>
      </w:r>
      <w:r>
        <w:t xml:space="preserve"> are required. Grade is free-text, so enter it the way your school records it.</w:t>
      </w:r>
    </w:p>
    <w:p>
      <w:pPr>
        <w:pStyle w:val="ListParagraph"/>
        <w:numPr>
          <w:ilvl w:val="0"/>
          <w:numId w:val="3"/>
        </w:numPr>
        <w:spacing w:after="60" w:line="276"/>
      </w:pPr>
      <w:r>
        <w:t xml:space="preserve">Set the </w:t>
      </w:r>
      <w:r>
        <w:rPr>
          <w:b/>
          <w:bCs/>
        </w:rPr>
        <w:t xml:space="preserve">Tier</w:t>
      </w:r>
      <w:r>
        <w:t xml:space="preserve"> (</w:t>
      </w:r>
      <w:r>
        <w:rPr>
          <w:b/>
          <w:bCs/>
        </w:rPr>
        <w:t xml:space="preserve">Tier 1</w:t>
      </w:r>
      <w:r>
        <w:t xml:space="preserve">, </w:t>
      </w:r>
      <w:r>
        <w:rPr>
          <w:b/>
          <w:bCs/>
        </w:rPr>
        <w:t xml:space="preserve">Tier 2</w:t>
      </w:r>
      <w:r>
        <w:t xml:space="preserve">, or </w:t>
      </w:r>
      <w:r>
        <w:rPr>
          <w:b/>
          <w:bCs/>
        </w:rPr>
        <w:t xml:space="preserve">Tier 3</w:t>
      </w:r>
      <w:r>
        <w:t xml:space="preserve"> — the default is Tier 1) and, optionally, the area of concern (</w:t>
      </w:r>
      <w:r>
        <w:rPr>
          <w:b/>
          <w:bCs/>
        </w:rPr>
        <w:t xml:space="preserve">Academic</w:t>
      </w:r>
      <w:r>
        <w:t xml:space="preserve">, </w:t>
      </w:r>
      <w:r>
        <w:rPr>
          <w:b/>
          <w:bCs/>
        </w:rPr>
        <w:t xml:space="preserve">Behavior</w:t>
      </w:r>
      <w:r>
        <w:t xml:space="preserve">, or </w:t>
      </w:r>
      <w:r>
        <w:rPr>
          <w:b/>
          <w:bCs/>
        </w:rPr>
        <w:t xml:space="preserve">Social-Emotional</w:t>
      </w:r>
      <w:r>
        <w:t xml:space="preserve">), a secondary area, and a risk level (low, moderate, or high).</w:t>
      </w:r>
    </w:p>
    <w:p>
      <w:pPr>
        <w:pStyle w:val="ListParagraph"/>
        <w:numPr>
          <w:ilvl w:val="0"/>
          <w:numId w:val="3"/>
        </w:numPr>
        <w:spacing w:after="60" w:line="276"/>
      </w:pPr>
      <w:r>
        <w:t xml:space="preserve">Optionally add a SIS/external ID. This must be unique within your school, though the same ID can exist at another school in your district.</w:t>
      </w:r>
    </w:p>
    <w:p>
      <w:pPr>
        <w:pStyle w:val="Heading2"/>
      </w:pPr>
      <w:r>
        <w:t xml:space="preserve">Demographic fields</w:t>
      </w:r>
    </w:p>
    <w:p>
      <w:pPr>
        <w:spacing w:after="120" w:line="276"/>
      </w:pPr>
      <w:r>
        <w:t xml:space="preserve">Each student record includes optional demographic fields under </w:t>
      </w:r>
      <w:r>
        <w:rPr>
          <w:b/>
          <w:bCs/>
        </w:rPr>
        <w:t xml:space="preserve">Student Demographics</w:t>
      </w:r>
      <w:r>
        <w:t xml:space="preserve">, labeled “(all optional — leave Unknown / Not recorded if you don’t have the data).” These include </w:t>
      </w:r>
      <w:r>
        <w:rPr>
          <w:b/>
          <w:bCs/>
        </w:rPr>
        <w:t xml:space="preserve">IEP</w:t>
      </w:r>
      <w:r>
        <w:t xml:space="preserve">, </w:t>
      </w:r>
      <w:r>
        <w:rPr>
          <w:b/>
          <w:bCs/>
        </w:rPr>
        <w:t xml:space="preserve">Section 504 Plan</w:t>
      </w:r>
      <w:r>
        <w:t xml:space="preserve">, and </w:t>
      </w:r>
      <w:r>
        <w:rPr>
          <w:b/>
          <w:bCs/>
        </w:rPr>
        <w:t xml:space="preserve">English Learner (EL/ELL)</w:t>
      </w:r>
      <w:r>
        <w:t xml:space="preserve"> flags, plus gender and race/ethnicity.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Important: blank is not the same as “no”</w:t>
            </w:r>
          </w:p>
          <w:p>
            <w:pPr>
              <w:spacing w:after="0"/>
            </w:pPr>
            <w:r>
              <w:t xml:space="preserve">The IEP, 504, and English Learner flags have three states: yes, no, and unknown. If you leave one blank — for example, in a spreadsheet import — it records as </w:t>
            </w:r>
            <w:r>
              <w:rPr>
                <w:b/>
                <w:bCs/>
              </w:rPr>
              <w:t xml:space="preserve">unknown</w:t>
            </w:r>
            <w:r>
              <w:t xml:space="preserve">, not as “no.” Set them deliberately when you know the answer.</w:t>
            </w:r>
          </w:p>
        </w:tc>
      </w:tr>
    </w:tbl>
    <w:p>
      <w:pPr>
        <w:pStyle w:val="Heading2"/>
      </w:pPr>
      <w:r>
        <w:t xml:space="preserve">Archiving and reactivating</w:t>
      </w:r>
    </w:p>
    <w:p>
      <w:pPr>
        <w:spacing w:after="120" w:line="276"/>
      </w:pPr>
      <w:r>
        <w:t xml:space="preserve">When a student no longer needs active tracking, archive rather than delete — archiving preserves all their intervention history. Choose </w:t>
      </w:r>
      <w:r>
        <w:rPr>
          <w:b/>
          <w:bCs/>
        </w:rPr>
        <w:t xml:space="preserve">Archive Student</w:t>
      </w:r>
      <w:r>
        <w:t xml:space="preserve">; you’ll be told “Archiving will remove this student from the active list but preserve all intervention data and notes. You can reactivate them at any time.” A </w:t>
      </w:r>
      <w:r>
        <w:rPr>
          <w:b/>
          <w:bCs/>
        </w:rPr>
        <w:t xml:space="preserve">Reason for archiving</w:t>
      </w:r>
      <w:r>
        <w:t xml:space="preserve"> is required, chosen from: </w:t>
      </w:r>
      <w:r>
        <w:rPr>
          <w:b/>
          <w:bCs/>
        </w:rPr>
        <w:t xml:space="preserve">Completed Interventions</w:t>
      </w:r>
      <w:r>
        <w:t xml:space="preserve">, </w:t>
      </w:r>
      <w:r>
        <w:rPr>
          <w:b/>
          <w:bCs/>
        </w:rPr>
        <w:t xml:space="preserve">End of School Year</w:t>
      </w:r>
      <w:r>
        <w:t xml:space="preserve">, </w:t>
      </w:r>
      <w:r>
        <w:rPr>
          <w:b/>
          <w:bCs/>
        </w:rPr>
        <w:t xml:space="preserve">Transferred Out</w:t>
      </w:r>
      <w:r>
        <w:t xml:space="preserve">, </w:t>
      </w:r>
      <w:r>
        <w:rPr>
          <w:b/>
          <w:bCs/>
        </w:rPr>
        <w:t xml:space="preserve">No Longer Needs Support</w:t>
      </w:r>
      <w:r>
        <w:t xml:space="preserve">, or </w:t>
      </w:r>
      <w:r>
        <w:rPr>
          <w:b/>
          <w:bCs/>
        </w:rPr>
        <w:t xml:space="preserve">Other</w:t>
      </w:r>
      <w:r>
        <w:t xml:space="preserve">.</w:t>
      </w:r>
    </w:p>
    <w:p>
      <w:pPr>
        <w:spacing w:after="120" w:line="276"/>
      </w:pPr>
      <w:r>
        <w:t xml:space="preserve">To bring a student back, choose </w:t>
      </w:r>
      <w:r>
        <w:rPr>
          <w:b/>
          <w:bCs/>
        </w:rPr>
        <w:t xml:space="preserve">Reactivate Student</w:t>
      </w:r>
      <w:r>
        <w:t xml:space="preserve">. This “will return the student to the active list. All previous intervention data and notes will be available.”</w:t>
      </w:r>
    </w:p>
    <w:p>
      <w:pPr>
        <w:pStyle w:val="Heading2"/>
      </w:pPr>
      <w:r>
        <w:t xml:space="preserve">Importing students from a spreadsheet</w:t>
      </w:r>
    </w:p>
    <w:p>
      <w:pPr>
        <w:spacing w:after="120" w:line="276"/>
      </w:pPr>
      <w:r>
        <w:t xml:space="preserve">You can bulk-import students from a CSV. After an import you’ll see a summary banner such as “Imported 24 of 25 rows. 1 failed.” If a row fails validation, the message names the column and the values it expected, so you can fix the spreadsheet and re-import.</w:t>
      </w:r>
    </w:p>
    <w:p>
      <w:pPr>
        <w:pStyle w:val="Heading1"/>
      </w:pPr>
      <w:r>
        <w:t xml:space="preserve">5. Screeners (MAP and STAR)</w:t>
      </w:r>
    </w:p>
    <w:p>
      <w:pPr>
        <w:spacing w:after="120" w:line="276"/>
      </w:pPr>
      <w:r>
        <w:t xml:space="preserve">Screeners are the universal assessments that help identify which students may need support. ScholarPath imports screener results and displays them on each student’s record. It supports </w:t>
      </w:r>
      <w:r>
        <w:rPr>
          <w:b/>
          <w:bCs/>
        </w:rPr>
        <w:t xml:space="preserve">STAR</w:t>
      </w:r>
      <w:r>
        <w:t xml:space="preserve"> (Renaissance) and </w:t>
      </w:r>
      <w:r>
        <w:rPr>
          <w:b/>
          <w:bCs/>
        </w:rPr>
        <w:t xml:space="preserve">MAP (NWEA)</w:t>
      </w:r>
      <w:r>
        <w:t xml:space="preserve">.</w:t>
      </w:r>
    </w:p>
    <w:p>
      <w:pPr>
        <w:pStyle w:val="Heading2"/>
      </w:pPr>
      <w:r>
        <w:t xml:space="preserve">Uploading screener data</w:t>
      </w:r>
    </w:p>
    <w:p>
      <w:pPr>
        <w:spacing w:after="120" w:line="276"/>
      </w:pPr>
      <w:r>
        <w:t xml:space="preserve">Open </w:t>
      </w:r>
      <w:r>
        <w:rPr>
          <w:b/>
          <w:bCs/>
        </w:rPr>
        <w:t xml:space="preserve">Upload Screener Data</w:t>
      </w:r>
      <w:r>
        <w:t xml:space="preserve"> and complete the form:</w:t>
      </w:r>
    </w:p>
    <w:p>
      <w:pPr>
        <w:pStyle w:val="ListParagraph"/>
        <w:numPr>
          <w:ilvl w:val="0"/>
          <w:numId w:val="3"/>
        </w:numPr>
        <w:spacing w:after="60" w:line="276"/>
      </w:pPr>
      <w:r>
        <w:t xml:space="preserve">Choose the </w:t>
      </w:r>
      <w:r>
        <w:rPr>
          <w:b/>
          <w:bCs/>
        </w:rPr>
        <w:t xml:space="preserve">Screener</w:t>
      </w:r>
      <w:r>
        <w:t xml:space="preserve">: </w:t>
      </w:r>
      <w:r>
        <w:rPr>
          <w:b/>
          <w:bCs/>
        </w:rPr>
        <w:t xml:space="preserve">STAR</w:t>
      </w:r>
      <w:r>
        <w:t xml:space="preserve"> or </w:t>
      </w:r>
      <w:r>
        <w:rPr>
          <w:b/>
          <w:bCs/>
        </w:rPr>
        <w:t xml:space="preserve">MAP (NWEA)</w:t>
      </w:r>
      <w:r>
        <w:t xml:space="preserve">.</w:t>
      </w:r>
    </w:p>
    <w:p>
      <w:pPr>
        <w:pStyle w:val="ListParagraph"/>
        <w:numPr>
          <w:ilvl w:val="0"/>
          <w:numId w:val="3"/>
        </w:numPr>
        <w:spacing w:after="60" w:line="276"/>
      </w:pPr>
      <w:r>
        <w:t xml:space="preserve">Choose the </w:t>
      </w:r>
      <w:r>
        <w:rPr>
          <w:b/>
          <w:bCs/>
        </w:rPr>
        <w:t xml:space="preserve">School Year</w:t>
      </w:r>
      <w:r>
        <w:t xml:space="preserve">, the </w:t>
      </w:r>
      <w:r>
        <w:rPr>
          <w:b/>
          <w:bCs/>
        </w:rPr>
        <w:t xml:space="preserve">Period</w:t>
      </w:r>
      <w:r>
        <w:t xml:space="preserve"> (</w:t>
      </w:r>
      <w:r>
        <w:rPr>
          <w:b/>
          <w:bCs/>
        </w:rPr>
        <w:t xml:space="preserve">Fall</w:t>
      </w:r>
      <w:r>
        <w:t xml:space="preserve">, </w:t>
      </w:r>
      <w:r>
        <w:rPr>
          <w:b/>
          <w:bCs/>
        </w:rPr>
        <w:t xml:space="preserve">Winter</w:t>
      </w:r>
      <w:r>
        <w:t xml:space="preserve">, or </w:t>
      </w:r>
      <w:r>
        <w:rPr>
          <w:b/>
          <w:bCs/>
        </w:rPr>
        <w:t xml:space="preserve">Spring</w:t>
      </w:r>
      <w:r>
        <w:t xml:space="preserve">), and the </w:t>
      </w:r>
      <w:r>
        <w:rPr>
          <w:b/>
          <w:bCs/>
        </w:rPr>
        <w:t xml:space="preserve">Subject</w:t>
      </w:r>
      <w:r>
        <w:t xml:space="preserve"> (</w:t>
      </w:r>
      <w:r>
        <w:rPr>
          <w:b/>
          <w:bCs/>
        </w:rPr>
        <w:t xml:space="preserve">Reading</w:t>
      </w:r>
      <w:r>
        <w:t xml:space="preserve">, </w:t>
      </w:r>
      <w:r>
        <w:rPr>
          <w:b/>
          <w:bCs/>
        </w:rPr>
        <w:t xml:space="preserve">Math</w:t>
      </w:r>
      <w:r>
        <w:t xml:space="preserve">, or </w:t>
      </w:r>
      <w:r>
        <w:rPr>
          <w:b/>
          <w:bCs/>
        </w:rPr>
        <w:t xml:space="preserve">Early Literacy</w:t>
      </w:r>
      <w:r>
        <w:t xml:space="preserve">).</w:t>
      </w:r>
    </w:p>
    <w:p>
      <w:pPr>
        <w:pStyle w:val="ListParagraph"/>
        <w:numPr>
          <w:ilvl w:val="0"/>
          <w:numId w:val="3"/>
        </w:numPr>
        <w:spacing w:after="60" w:line="276"/>
      </w:pPr>
      <w:r>
        <w:t xml:space="preserve">Export your file from the source system. For STAR: “Export from Renaissance STAR, then upload here.” For MAP: “Export from MAP Growth (Class Profile → Download .CSV), then upload here.” Files can be up to 5 MB.</w:t>
      </w:r>
    </w:p>
    <w:p>
      <w:pPr>
        <w:pStyle w:val="ListParagraph"/>
        <w:numPr>
          <w:ilvl w:val="0"/>
          <w:numId w:val="3"/>
        </w:numPr>
        <w:spacing w:after="60" w:line="276"/>
      </w:pPr>
      <w:r>
        <w:t xml:space="preserve">Choose </w:t>
      </w:r>
      <w:r>
        <w:rPr>
          <w:b/>
          <w:bCs/>
        </w:rPr>
        <w:t xml:space="preserve">Choose CSV File</w:t>
      </w:r>
      <w:r>
        <w:t xml:space="preserve">, then select </w:t>
      </w:r>
      <w:r>
        <w:rPr>
          <w:b/>
          <w:bCs/>
        </w:rPr>
        <w:t xml:space="preserve">Validate</w:t>
      </w:r>
      <w:r>
        <w:t xml:space="preserve">. This is a dry run — nothing is saved yet.</w:t>
      </w:r>
    </w:p>
    <w:p>
      <w:pPr>
        <w:pStyle w:val="ListParagraph"/>
        <w:numPr>
          <w:ilvl w:val="0"/>
          <w:numId w:val="3"/>
        </w:numPr>
        <w:spacing w:after="60" w:line="276"/>
      </w:pPr>
      <w:r>
        <w:t xml:space="preserve">Review the counts: </w:t>
      </w:r>
      <w:r>
        <w:rPr>
          <w:b/>
          <w:bCs/>
        </w:rPr>
        <w:t xml:space="preserve">Total rows</w:t>
      </w:r>
      <w:r>
        <w:t xml:space="preserve">, </w:t>
      </w:r>
      <w:r>
        <w:rPr>
          <w:b/>
          <w:bCs/>
        </w:rPr>
        <w:t xml:space="preserve">Will be saved (matched)</w:t>
      </w:r>
      <w:r>
        <w:t xml:space="preserve">, </w:t>
      </w:r>
      <w:r>
        <w:rPr>
          <w:b/>
          <w:bCs/>
        </w:rPr>
        <w:t xml:space="preserve">Already on file (will update)</w:t>
      </w:r>
      <w:r>
        <w:t xml:space="preserve">, </w:t>
      </w:r>
      <w:r>
        <w:rPr>
          <w:b/>
          <w:bCs/>
        </w:rPr>
        <w:t xml:space="preserve">Unmatched</w:t>
      </w:r>
      <w:r>
        <w:t xml:space="preserve">, </w:t>
      </w:r>
      <w:r>
        <w:rPr>
          <w:b/>
          <w:bCs/>
        </w:rPr>
        <w:t xml:space="preserve">Ambiguous name</w:t>
      </w:r>
      <w:r>
        <w:t xml:space="preserve">, and </w:t>
      </w:r>
      <w:r>
        <w:rPr>
          <w:b/>
          <w:bCs/>
        </w:rPr>
        <w:t xml:space="preserve">Validation errors</w:t>
      </w:r>
      <w:r>
        <w:t xml:space="preserve">. You’ll see “Dry run — review before importing…” and “Nothing has been saved yet.”</w:t>
      </w:r>
    </w:p>
    <w:p>
      <w:pPr>
        <w:pStyle w:val="ListParagraph"/>
        <w:numPr>
          <w:ilvl w:val="0"/>
          <w:numId w:val="3"/>
        </w:numPr>
        <w:spacing w:after="60" w:line="276"/>
      </w:pPr>
      <w:r>
        <w:t xml:space="preserve">If everything looks right and there are no validation errors, confirm the import. (You cannot confirm while validation errors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Two things to know about matching and MAP</w:t>
            </w:r>
          </w:p>
          <w:p>
            <w:pPr>
              <w:spacing w:after="60"/>
            </w:pPr>
            <w:r>
              <w:rPr>
                <w:b/>
                <w:bCs/>
              </w:rPr>
              <w:t xml:space="preserve">Matching:</w:t>
            </w:r>
            <w:r>
              <w:t xml:space="preserve"> students are matched by first and last name. Rows that don’t match an existing student are skipped, not added — so check the </w:t>
            </w:r>
            <w:r>
              <w:rPr>
                <w:b/>
                <w:bCs/>
              </w:rPr>
              <w:t xml:space="preserve">Unmatched</w:t>
            </w:r>
            <w:r>
              <w:t xml:space="preserve"> count before confirming.</w:t>
            </w:r>
          </w:p>
          <w:p>
            <w:pPr>
              <w:spacing w:after="0"/>
            </w:pPr>
            <w:r>
              <w:rPr>
                <w:b/>
                <w:bCs/>
              </w:rPr>
              <w:t xml:space="preserve">MAP is newer:</w:t>
            </w:r>
            <w:r>
              <w:t xml:space="preserve"> the STAR import is well established. The MAP import works end-to-end, but its column mapping is still being validated against real NWEA exports. Always sanity-check the validate-step counts for a MAP file before confirming.</w:t>
            </w:r>
          </w:p>
        </w:tc>
      </w:tr>
    </w:tbl>
    <w:p>
      <w:pPr>
        <w:pStyle w:val="Heading2"/>
      </w:pPr>
      <w:r>
        <w:t xml:space="preserve">What appears on the student record</w:t>
      </w:r>
    </w:p>
    <w:p>
      <w:pPr>
        <w:spacing w:after="120" w:line="276"/>
      </w:pPr>
      <w:r>
        <w:t xml:space="preserve">Once imported, each screener result shows the assessment name and type, subject, screening period, school year, test date, scaled score, percentile rank, and benchmark category.</w:t>
      </w:r>
    </w:p>
    <w:p>
      <w:pPr>
        <w:pStyle w:val="Heading2"/>
      </w:pPr>
      <w:r>
        <w:t xml:space="preserve">Resetting a screener batch</w:t>
      </w:r>
    </w:p>
    <w:p>
      <w:pPr>
        <w:spacing w:after="120" w:line="276"/>
      </w:pPr>
      <w:r>
        <w:t xml:space="preserve">If a batch was uploaded incorrectly, it can be deleted and re-uploaded using </w:t>
      </w:r>
      <w:r>
        <w:rPr>
          <w:b/>
          <w:bCs/>
        </w:rPr>
        <w:t xml:space="preserve">Reset Screener Data</w:t>
      </w:r>
      <w:r>
        <w:t xml:space="preserve"> (“Permanently delete a screener batch so it can be re-uploaded”). As a safeguard you must type </w:t>
      </w:r>
      <w:r>
        <w:rPr>
          <w:b/>
          <w:bCs/>
        </w:rPr>
        <w:t xml:space="preserve">DELETE</w:t>
      </w:r>
      <w:r>
        <w:t xml:space="preserve"> to confirm. This is more restricted than uploading: only </w:t>
      </w:r>
      <w:r>
        <w:rPr>
          <w:b/>
          <w:bCs/>
        </w:rPr>
        <w:t xml:space="preserve">school admins</w:t>
      </w:r>
      <w:r>
        <w:t xml:space="preserve"> and </w:t>
      </w:r>
      <w:r>
        <w:rPr>
          <w:b/>
          <w:bCs/>
        </w:rPr>
        <w:t xml:space="preserve">district admins</w:t>
      </w:r>
      <w:r>
        <w:t xml:space="preserve"> can reset a batch.</w:t>
      </w:r>
    </w:p>
    <w:p>
      <w:pPr>
        <w:pStyle w:val="Heading1"/>
      </w:pPr>
      <w:r>
        <w:t xml:space="preserve">6. Intervention plans and the Intervention Menu</w:t>
      </w:r>
    </w:p>
    <w:p>
      <w:pPr>
        <w:spacing w:after="120" w:line="276"/>
      </w:pPr>
      <w:r>
        <w:t xml:space="preserve">An intervention is the specific support strategy you put in place for a student. The </w:t>
      </w:r>
      <w:r>
        <w:rPr>
          <w:b/>
          <w:bCs/>
        </w:rPr>
        <w:t xml:space="preserve">Intervention Menu</w:t>
      </w:r>
      <w:r>
        <w:t xml:space="preserve"> (also called the Intervention Bank) is your school’s catalog of available strategies; an </w:t>
      </w:r>
      <w:r>
        <w:rPr>
          <w:b/>
          <w:bCs/>
        </w:rPr>
        <w:t xml:space="preserve">intervention plan</w:t>
      </w:r>
      <w:r>
        <w:t xml:space="preserve"> is the documented plan for one student’s intervention. District admins, district tech admins, school admins, counselors, interventionists, and teachers can create and manage interventions. Education assistants and parents cannot.</w:t>
      </w:r>
    </w:p>
    <w:p>
      <w:pPr>
        <w:pStyle w:val="Heading2"/>
      </w:pPr>
      <w:r>
        <w:t xml:space="preserve">The Intervention Menu / Bank</w:t>
      </w:r>
    </w:p>
    <w:p>
      <w:pPr>
        <w:spacing w:after="120" w:line="276"/>
      </w:pPr>
      <w:r>
        <w:t xml:space="preserve">Your school’s menu contains both starter interventions and ones you’ve activated. You activate or deactivate interventions for your school from the Intervention Bank tab. Bank interventions can’t be permanently deleted — if you try, you’ll see “Bank interventions cannot be deleted. Use the Intervention Bank tab to remove them from your school.”</w:t>
      </w:r>
    </w:p>
    <w:p>
      <w:pPr>
        <w:pStyle w:val="Heading2"/>
      </w:pPr>
      <w:r>
        <w:t xml:space="preserve">Building an intervention plan</w:t>
      </w:r>
    </w:p>
    <w:p>
      <w:pPr>
        <w:spacing w:after="120" w:line="276"/>
      </w:pPr>
      <w:r>
        <w:t xml:space="preserve">Open the </w:t>
      </w:r>
      <w:r>
        <w:rPr>
          <w:b/>
          <w:bCs/>
        </w:rPr>
        <w:t xml:space="preserve">Intervention Plan</w:t>
      </w:r>
      <w:r>
        <w:t xml:space="preserve"> for a student’s intervention. At the top you’ll see a status badge — </w:t>
      </w:r>
      <w:r>
        <w:rPr>
          <w:b/>
          <w:bCs/>
        </w:rPr>
        <w:t xml:space="preserve">Draft</w:t>
      </w:r>
      <w:r>
        <w:t xml:space="preserve"> or </w:t>
      </w:r>
      <w:r>
        <w:rPr>
          <w:b/>
          <w:bCs/>
        </w:rPr>
        <w:t xml:space="preserve">Complete</w:t>
      </w:r>
      <w:r>
        <w:t xml:space="preserve">. The plan autosaves as you work; you’ll see “Saving...” and then “Auto-saved.” Use </w:t>
      </w:r>
      <w:r>
        <w:rPr>
          <w:b/>
          <w:bCs/>
        </w:rPr>
        <w:t xml:space="preserve">Edit Plan</w:t>
      </w:r>
      <w:r>
        <w:t xml:space="preserve"> to make changes, </w:t>
      </w:r>
      <w:r>
        <w:rPr>
          <w:b/>
          <w:bCs/>
        </w:rPr>
        <w:t xml:space="preserve">Mark Complete</w:t>
      </w:r>
      <w:r>
        <w:t xml:space="preserve"> when the plan is finalized (you’ll see “Plan marked as complete”), and </w:t>
      </w:r>
      <w:r>
        <w:rPr>
          <w:b/>
          <w:bCs/>
        </w:rPr>
        <w:t xml:space="preserve">Close</w:t>
      </w:r>
      <w:r>
        <w:t xml:space="preserve"> to exit. To sign the plan, type your full name where prompted (“Type your full name to sign”).</w:t>
      </w:r>
    </w:p>
    <w:p>
      <w:pPr>
        <w:pStyle w:val="Heading2"/>
      </w:pPr>
      <w:r>
        <w:t xml:space="preserve">Setting a goal</w:t>
      </w:r>
    </w:p>
    <w:p>
      <w:pPr>
        <w:spacing w:after="120" w:line="276"/>
      </w:pPr>
      <w:r>
        <w:t xml:space="preserve">Within the plan, choose </w:t>
      </w:r>
      <w:r>
        <w:rPr>
          <w:b/>
          <w:bCs/>
        </w:rPr>
        <w:t xml:space="preserve">Set Intervention Goal</w:t>
      </w:r>
      <w:r>
        <w:t xml:space="preserve"> to define what success looks like. Enter a </w:t>
      </w:r>
      <w:r>
        <w:rPr>
          <w:b/>
          <w:bCs/>
        </w:rPr>
        <w:t xml:space="preserve">Goal Description</w:t>
      </w:r>
      <w:r>
        <w:t xml:space="preserve"> (for example, “Student will complete 80% of assignments independently…”), a </w:t>
      </w:r>
      <w:r>
        <w:rPr>
          <w:b/>
          <w:bCs/>
        </w:rPr>
        <w:t xml:space="preserve">Target Date</w:t>
      </w:r>
      <w:r>
        <w:t xml:space="preserve">, and a </w:t>
      </w:r>
      <w:r>
        <w:rPr>
          <w:b/>
          <w:bCs/>
        </w:rPr>
        <w:t xml:space="preserve">Target Rating</w:t>
      </w:r>
      <w:r>
        <w:t xml:space="preserve">, then </w:t>
      </w:r>
      <w:r>
        <w:rPr>
          <w:b/>
          <w:bCs/>
        </w:rPr>
        <w:t xml:space="preserve">Save Goal</w:t>
      </w:r>
      <w:r>
        <w:t xml:space="preserve">. Target ratings run from </w:t>
      </w:r>
      <w:r>
        <w:rPr>
          <w:b/>
          <w:bCs/>
        </w:rPr>
        <w:t xml:space="preserve">No Progress</w:t>
      </w:r>
      <w:r>
        <w:t xml:space="preserve"> through </w:t>
      </w:r>
      <w:r>
        <w:rPr>
          <w:b/>
          <w:bCs/>
        </w:rPr>
        <w:t xml:space="preserve">Minimal</w:t>
      </w:r>
      <w:r>
        <w:t xml:space="preserve">, </w:t>
      </w:r>
      <w:r>
        <w:rPr>
          <w:b/>
          <w:bCs/>
        </w:rPr>
        <w:t xml:space="preserve">Some</w:t>
      </w:r>
      <w:r>
        <w:t xml:space="preserve">, </w:t>
      </w:r>
      <w:r>
        <w:rPr>
          <w:b/>
          <w:bCs/>
        </w:rPr>
        <w:t xml:space="preserve">Good</w:t>
      </w:r>
      <w:r>
        <w:t xml:space="preserve">, and </w:t>
      </w:r>
      <w:r>
        <w:rPr>
          <w:b/>
          <w:bCs/>
        </w:rPr>
        <w:t xml:space="preserve">Significant Progress</w:t>
      </w:r>
      <w:r>
        <w:t xml:space="preserve"> — the same five-point scale you’ll use when logging weekly progress.</w:t>
      </w:r>
    </w:p>
    <w:p>
      <w:pPr>
        <w:pStyle w:val="Heading2"/>
      </w:pPr>
      <w:r>
        <w:t xml:space="preserve">Assigning staff</w:t>
      </w:r>
    </w:p>
    <w:p>
      <w:pPr>
        <w:spacing w:after="120" w:line="276"/>
      </w:pPr>
      <w:r>
        <w:t xml:space="preserve">Interventions can be assigned to the staff responsible for them. If you try to assign someone already on the intervention, you’ll see “User already assigned to this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“Note only” interventions</w:t>
            </w:r>
          </w:p>
          <w:p>
            <w:pPr>
              <w:spacing w:after="0"/>
            </w:pPr>
            <w:r>
              <w:t xml:space="preserve">Some interventions are documentation-only and don’t require weekly progress monitoring — these show a </w:t>
            </w:r>
            <w:r>
              <w:rPr>
                <w:b/>
                <w:bCs/>
              </w:rPr>
              <w:t xml:space="preserve">Note only</w:t>
            </w:r>
            <w:r>
              <w:t xml:space="preserve"> badge. Marking an intervention this way exempts it from the overdue-log reminders described in the next section.</w:t>
            </w:r>
          </w:p>
        </w:tc>
      </w:tr>
    </w:tbl>
    <w:p>
      <w:pPr>
        <w:pStyle w:val="Heading1"/>
      </w:pPr>
      <w:r>
        <w:t xml:space="preserve">7. Progress monitoring and overdue-log reminders</w:t>
      </w:r>
    </w:p>
    <w:p>
      <w:pPr>
        <w:spacing w:after="120" w:line="276"/>
      </w:pPr>
      <w:r>
        <w:t xml:space="preserve">Progress monitoring is the heart of MTSS: regularly logging how an intervention is going so you can tell whether it’s working. Anyone who manages interventions can log progress, and education assistants can log progress for students on their caseload (though they can’t edit or delete logs afterward). Parents log their own observations through the parent portal.</w:t>
      </w:r>
    </w:p>
    <w:p>
      <w:pPr>
        <w:pStyle w:val="Heading2"/>
      </w:pPr>
      <w:r>
        <w:t xml:space="preserve">Logging weekly progress</w:t>
      </w:r>
    </w:p>
    <w:p>
      <w:pPr>
        <w:spacing w:after="120" w:line="276"/>
      </w:pPr>
      <w:r>
        <w:t xml:space="preserve">Open </w:t>
      </w:r>
      <w:r>
        <w:rPr>
          <w:b/>
          <w:bCs/>
        </w:rPr>
        <w:t xml:space="preserve">Log Weekly Progress</w:t>
      </w:r>
      <w:r>
        <w:t xml:space="preserve"> (it reads </w:t>
      </w:r>
      <w:r>
        <w:rPr>
          <w:b/>
          <w:bCs/>
        </w:rPr>
        <w:t xml:space="preserve">Edit Progress Log</w:t>
      </w:r>
      <w:r>
        <w:t xml:space="preserve"> when you’re changing an existing entry) and fill in:</w:t>
      </w:r>
    </w:p>
    <w:p>
      <w:pPr>
        <w:pStyle w:val="ListParagraph"/>
        <w:numPr>
          <w:ilvl w:val="0"/>
          <w:numId w:val="3"/>
        </w:numPr>
        <w:spacing w:after="60" w:line="276"/>
      </w:pPr>
      <w:r>
        <w:t xml:space="preserve">The </w:t>
      </w:r>
      <w:r>
        <w:rPr>
          <w:b/>
          <w:bCs/>
        </w:rPr>
        <w:t xml:space="preserve">Date</w:t>
      </w:r>
      <w:r>
        <w:t xml:space="preserve"> of the observation.</w:t>
      </w:r>
    </w:p>
    <w:p>
      <w:pPr>
        <w:pStyle w:val="ListParagraph"/>
        <w:numPr>
          <w:ilvl w:val="0"/>
          <w:numId w:val="3"/>
        </w:numPr>
        <w:spacing w:after="60" w:line="276"/>
      </w:pPr>
      <w:r>
        <w:t xml:space="preserve">The </w:t>
      </w:r>
      <w:r>
        <w:rPr>
          <w:b/>
          <w:bCs/>
        </w:rPr>
        <w:t xml:space="preserve">Implementation Status</w:t>
      </w:r>
      <w:r>
        <w:t xml:space="preserve"> — one of </w:t>
      </w:r>
      <w:r>
        <w:rPr>
          <w:b/>
          <w:bCs/>
        </w:rPr>
        <w:t xml:space="preserve">Implemented as Planned</w:t>
      </w:r>
      <w:r>
        <w:t xml:space="preserve">, </w:t>
      </w:r>
      <w:r>
        <w:rPr>
          <w:b/>
          <w:bCs/>
        </w:rPr>
        <w:t xml:space="preserve">Partially Implemented</w:t>
      </w:r>
      <w:r>
        <w:t xml:space="preserve">, </w:t>
      </w:r>
      <w:r>
        <w:rPr>
          <w:b/>
          <w:bCs/>
        </w:rPr>
        <w:t xml:space="preserve">Not Implemented</w:t>
      </w:r>
      <w:r>
        <w:t xml:space="preserve">, or </w:t>
      </w:r>
      <w:r>
        <w:rPr>
          <w:b/>
          <w:bCs/>
        </w:rPr>
        <w:t xml:space="preserve">Student Absent</w:t>
      </w:r>
      <w:r>
        <w:t xml:space="preserve">.</w:t>
      </w:r>
    </w:p>
    <w:p>
      <w:pPr>
        <w:pStyle w:val="ListParagraph"/>
        <w:numPr>
          <w:ilvl w:val="0"/>
          <w:numId w:val="3"/>
        </w:numPr>
        <w:spacing w:after="60" w:line="276"/>
      </w:pPr>
      <w:r>
        <w:t xml:space="preserve">The </w:t>
      </w:r>
      <w:r>
        <w:rPr>
          <w:b/>
          <w:bCs/>
        </w:rPr>
        <w:t xml:space="preserve">Progress Rating (1-5)</w:t>
      </w:r>
      <w:r>
        <w:t xml:space="preserve">, from </w:t>
      </w:r>
      <w:r>
        <w:rPr>
          <w:b/>
          <w:bCs/>
        </w:rPr>
        <w:t xml:space="preserve">No Progress</w:t>
      </w:r>
      <w:r>
        <w:t xml:space="preserve"> to </w:t>
      </w:r>
      <w:r>
        <w:rPr>
          <w:b/>
          <w:bCs/>
        </w:rPr>
        <w:t xml:space="preserve">Significant Progress</w:t>
      </w:r>
      <w:r>
        <w:t xml:space="preserve">. (This is hidden when you choose Student Absent.)</w:t>
      </w:r>
    </w:p>
    <w:p>
      <w:pPr>
        <w:pStyle w:val="ListParagraph"/>
        <w:numPr>
          <w:ilvl w:val="0"/>
          <w:numId w:val="3"/>
        </w:numPr>
        <w:spacing w:after="60" w:line="276"/>
      </w:pPr>
      <w:r>
        <w:t xml:space="preserve">The student’s response — </w:t>
      </w:r>
      <w:r>
        <w:rPr>
          <w:b/>
          <w:bCs/>
        </w:rPr>
        <w:t xml:space="preserve">Engaged</w:t>
      </w:r>
      <w:r>
        <w:t xml:space="preserve">, </w:t>
      </w:r>
      <w:r>
        <w:rPr>
          <w:b/>
          <w:bCs/>
        </w:rPr>
        <w:t xml:space="preserve">Cooperative</w:t>
      </w:r>
      <w:r>
        <w:t xml:space="preserve">, </w:t>
      </w:r>
      <w:r>
        <w:rPr>
          <w:b/>
          <w:bCs/>
        </w:rPr>
        <w:t xml:space="preserve">Resistant</w:t>
      </w:r>
      <w:r>
        <w:t xml:space="preserve">, </w:t>
      </w:r>
      <w:r>
        <w:rPr>
          <w:b/>
          <w:bCs/>
        </w:rPr>
        <w:t xml:space="preserve">Frustrated</w:t>
      </w:r>
      <w:r>
        <w:t xml:space="preserve">, or </w:t>
      </w:r>
      <w:r>
        <w:rPr>
          <w:b/>
          <w:bCs/>
        </w:rPr>
        <w:t xml:space="preserve">Distracted</w:t>
      </w:r>
      <w:r>
        <w:t xml:space="preserve">.</w:t>
      </w:r>
    </w:p>
    <w:p>
      <w:pPr>
        <w:pStyle w:val="ListParagraph"/>
        <w:numPr>
          <w:ilvl w:val="0"/>
          <w:numId w:val="3"/>
        </w:numPr>
        <w:spacing w:after="60" w:line="276"/>
      </w:pPr>
      <w:r>
        <w:t xml:space="preserve">Any </w:t>
      </w:r>
      <w:r>
        <w:rPr>
          <w:b/>
          <w:bCs/>
        </w:rPr>
        <w:t xml:space="preserve">Notes</w:t>
      </w:r>
      <w:r>
        <w:t xml:space="preserve"> (“Observations, adjustments made, student behavior…”), then </w:t>
      </w:r>
      <w:r>
        <w:rPr>
          <w:b/>
          <w:bCs/>
        </w:rPr>
        <w:t xml:space="preserve">Save Progress Log</w:t>
      </w:r>
      <w:r>
        <w:t xml:space="preserve">.</w:t>
      </w:r>
    </w:p>
    <w:p>
      <w:pPr>
        <w:spacing w:after="120" w:line="276"/>
      </w:pPr>
      <w:r>
        <w:t xml:space="preserve">You can view a student’s trend over time in the </w:t>
      </w:r>
      <w:r>
        <w:rPr>
          <w:b/>
          <w:bCs/>
        </w:rPr>
        <w:t xml:space="preserve">Progress Over Time</w:t>
      </w:r>
      <w:r>
        <w:t xml:space="preserve"> chart, which plots staff ratings, parent ratings, and the goal target. Until you’ve logged anything, it reads “No progress data yet.”</w:t>
      </w:r>
    </w:p>
    <w:p>
      <w:pPr>
        <w:pStyle w:val="Heading2"/>
      </w:pPr>
      <w:r>
        <w:t xml:space="preserve">When is a log “overdue”?</w:t>
      </w:r>
    </w:p>
    <w:p>
      <w:pPr>
        <w:spacing w:after="120" w:line="276"/>
      </w:pPr>
      <w:r>
        <w:t xml:space="preserve">ScholarPath considers an intervention’s log overdue when the intervention is active, the student is not archived, the intervention requires monitoring (it isn’t a </w:t>
      </w:r>
      <w:r>
        <w:rPr>
          <w:b/>
          <w:bCs/>
        </w:rPr>
        <w:t xml:space="preserve">Note only</w:t>
      </w:r>
      <w:r>
        <w:t xml:space="preserve"> intervention), and no progress has been logged for the current week (weeks start on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Good to know about overdue logic</w:t>
            </w:r>
          </w:p>
          <w:p>
            <w:pPr>
              <w:spacing w:after="0"/>
            </w:pPr>
            <w:r>
              <w:t xml:space="preserve">The overdue check looks at the calendar week, not each intervention’s stated frequency — so the frequency shown on a plan is informational. Because the rule has no end-of-term cutoff, an intervention left </w:t>
            </w:r>
            <w:r>
              <w:rPr>
                <w:b/>
                <w:bCs/>
              </w:rPr>
              <w:t xml:space="preserve">active</w:t>
            </w:r>
            <w:r>
              <w:t xml:space="preserve"> over a school break can keep flagging as overdue until it’s completed or archived. Closing out finished interventions keeps your reminders meaningful.</w:t>
            </w:r>
          </w:p>
        </w:tc>
      </w:tr>
    </w:tbl>
    <w:p>
      <w:pPr>
        <w:pStyle w:val="Heading2"/>
      </w:pPr>
      <w:r>
        <w:t xml:space="preserve">The weekly overdue-log reminder email</w:t>
      </w:r>
    </w:p>
    <w:p>
      <w:pPr>
        <w:spacing w:after="120" w:line="276"/>
      </w:pPr>
      <w:r>
        <w:t xml:space="preserve">ScholarPath can send a weekly email — subject </w:t>
      </w:r>
      <w:r>
        <w:rPr>
          <w:b/>
          <w:bCs/>
        </w:rPr>
        <w:t xml:space="preserve">Weekly Reminder: Log Progress</w:t>
      </w:r>
      <w:r>
        <w:t xml:space="preserve"> — to the staff at your school who have students with overdue logs. It lists “the following active interventions on your caseload are missing this week’s progress log.” Each eligible staff member gets one email per school; staff with no overdue items get nothing, and operator accounts are never included.</w:t>
      </w:r>
    </w:p>
    <w:p>
      <w:pPr>
        <w:pStyle w:val="Heading2"/>
      </w:pPr>
      <w:r>
        <w:t xml:space="preserve">Turning the reminder on or off for your school</w:t>
      </w:r>
    </w:p>
    <w:p>
      <w:pPr>
        <w:spacing w:after="120" w:line="276"/>
      </w:pPr>
      <w:r>
        <w:t xml:space="preserve">School admins control whether their building receives the weekly email, from a card titled </w:t>
      </w:r>
      <w:r>
        <w:rPr>
          <w:b/>
          <w:bCs/>
        </w:rPr>
        <w:t xml:space="preserve">Weekly overdue-logs reminder</w:t>
      </w:r>
      <w:r>
        <w:t xml:space="preserve"> in Admin settings: “When on, staff at your school receive a weekly email listing students with overdue progress logs. Turn it off to stop these emails for your school.” The default is </w:t>
      </w:r>
      <w:r>
        <w:rPr>
          <w:b/>
          <w:bCs/>
        </w:rPr>
        <w:t xml:space="preserve">on</w:t>
      </w:r>
      <w:r>
        <w:t xml:space="preserve">, so you only need to act if you want to stop the emails. District admins can make the same change for a whole district or a single school, and the platform support team can do it by request. (A separate, more detailed guide on this reminder is also available.)</w:t>
      </w:r>
    </w:p>
    <w:p>
      <w:pPr>
        <w:pStyle w:val="Heading1"/>
      </w:pPr>
      <w:r>
        <w:t xml:space="preserve">8. MTSS meetings and the referral process</w:t>
      </w:r>
    </w:p>
    <w:p>
      <w:pPr>
        <w:spacing w:after="120" w:line="276"/>
      </w:pPr>
      <w:r>
        <w:t xml:space="preserve">Two related workflows live here: the </w:t>
      </w:r>
      <w:r>
        <w:rPr>
          <w:b/>
          <w:bCs/>
        </w:rPr>
        <w:t xml:space="preserve">pre-referral form</w:t>
      </w:r>
      <w:r>
        <w:t xml:space="preserve"> that moves a student into the MTSS process, and the </w:t>
      </w:r>
      <w:r>
        <w:rPr>
          <w:b/>
          <w:bCs/>
        </w:rPr>
        <w:t xml:space="preserve">progress-review meetings</w:t>
      </w:r>
      <w:r>
        <w:t xml:space="preserve"> the team holds along the way.</w:t>
      </w:r>
    </w:p>
    <w:p>
      <w:pPr>
        <w:pStyle w:val="Heading2"/>
      </w:pPr>
      <w:r>
        <w:t xml:space="preserve">Referring a student into MTSS: the Pre-Referral Form</w:t>
      </w:r>
    </w:p>
    <w:p>
      <w:pPr>
        <w:spacing w:after="120" w:line="276"/>
      </w:pPr>
      <w:r>
        <w:t xml:space="preserve">When a Tier 1 student isn’t responding to classroom support, you start a </w:t>
      </w:r>
      <w:r>
        <w:rPr>
          <w:b/>
          <w:bCs/>
        </w:rPr>
        <w:t xml:space="preserve">Pre-Referral Form</w:t>
      </w:r>
      <w:r>
        <w:t xml:space="preserve"> from the student’s record (the button is labeled </w:t>
      </w:r>
      <w:r>
        <w:rPr>
          <w:b/>
          <w:bCs/>
        </w:rPr>
        <w:t xml:space="preserve">Pre-Referral Form</w:t>
      </w:r>
      <w:r>
        <w:t xml:space="preserve"> and appears for Tier 1 students). The Dashboard’s referral-candidates card and the MTSS Meetings view both point you to the same form, with prompts like “Use the Pre-Referral Form to move this student into the MTSS process.”</w:t>
      </w:r>
    </w:p>
    <w:p>
      <w:pPr>
        <w:spacing w:after="120" w:line="276"/>
      </w:pPr>
      <w:r>
        <w:t xml:space="preserve">The form walks through eleven steps: </w:t>
      </w:r>
      <w:r>
        <w:rPr>
          <w:b/>
          <w:bCs/>
        </w:rPr>
        <w:t xml:space="preserve">Referral Information</w:t>
      </w:r>
      <w:r>
        <w:t xml:space="preserve">, </w:t>
      </w:r>
      <w:r>
        <w:rPr>
          <w:b/>
          <w:bCs/>
        </w:rPr>
        <w:t xml:space="preserve">Area of Concern</w:t>
      </w:r>
      <w:r>
        <w:t xml:space="preserve">, </w:t>
      </w:r>
      <w:r>
        <w:rPr>
          <w:b/>
          <w:bCs/>
        </w:rPr>
        <w:t xml:space="preserve">Detailed Description</w:t>
      </w:r>
      <w:r>
        <w:t xml:space="preserve">, </w:t>
      </w:r>
      <w:r>
        <w:rPr>
          <w:b/>
          <w:bCs/>
        </w:rPr>
        <w:t xml:space="preserve">Medical &amp; Background Information</w:t>
      </w:r>
      <w:r>
        <w:t xml:space="preserve">, </w:t>
      </w:r>
      <w:r>
        <w:rPr>
          <w:b/>
          <w:bCs/>
        </w:rPr>
        <w:t xml:space="preserve">Current Academic Performance</w:t>
      </w:r>
      <w:r>
        <w:t xml:space="preserve">, </w:t>
      </w:r>
      <w:r>
        <w:rPr>
          <w:b/>
          <w:bCs/>
        </w:rPr>
        <w:t xml:space="preserve">Existing Plans &amp; Supports</w:t>
      </w:r>
      <w:r>
        <w:t xml:space="preserve">, </w:t>
      </w:r>
      <w:r>
        <w:rPr>
          <w:b/>
          <w:bCs/>
        </w:rPr>
        <w:t xml:space="preserve">Prior Interventions Attempted</w:t>
      </w:r>
      <w:r>
        <w:t xml:space="preserve"> (pre-filled from what’s already in ScholarPath), </w:t>
      </w:r>
      <w:r>
        <w:rPr>
          <w:b/>
          <w:bCs/>
        </w:rPr>
        <w:t xml:space="preserve">Student Strengths</w:t>
      </w:r>
      <w:r>
        <w:t xml:space="preserve">, </w:t>
      </w:r>
      <w:r>
        <w:rPr>
          <w:b/>
          <w:bCs/>
        </w:rPr>
        <w:t xml:space="preserve">Parent/Guardian Contact</w:t>
      </w:r>
      <w:r>
        <w:t xml:space="preserve">, </w:t>
      </w:r>
      <w:r>
        <w:rPr>
          <w:b/>
          <w:bCs/>
        </w:rPr>
        <w:t xml:space="preserve">Reason for Referral</w:t>
      </w:r>
      <w:r>
        <w:t xml:space="preserve">, and </w:t>
      </w:r>
      <w:r>
        <w:rPr>
          <w:b/>
          <w:bCs/>
        </w:rPr>
        <w:t xml:space="preserve">Recommendations</w:t>
      </w:r>
      <w:r>
        <w:t xml:space="preserve">. Some fields are required — notably the parent-contact details and, on the final step, the </w:t>
      </w:r>
      <w:r>
        <w:rPr>
          <w:b/>
          <w:bCs/>
        </w:rPr>
        <w:t xml:space="preserve">Recommended Tier</w:t>
      </w:r>
      <w:r>
        <w:t xml:space="preserve"> (</w:t>
      </w:r>
      <w:r>
        <w:rPr>
          <w:b/>
          <w:bCs/>
        </w:rPr>
        <w:t xml:space="preserve">Tier 2 – Targeted Support</w:t>
      </w:r>
      <w:r>
        <w:t xml:space="preserve"> or </w:t>
      </w:r>
      <w:r>
        <w:rPr>
          <w:b/>
          <w:bCs/>
        </w:rPr>
        <w:t xml:space="preserve">Tier 3 – Intensive Support</w:t>
      </w:r>
      <w:r>
        <w:t xml:space="preserve">).</w:t>
      </w:r>
    </w:p>
    <w:p>
      <w:pPr>
        <w:spacing w:after="120" w:line="276"/>
      </w:pPr>
      <w:r>
        <w:t xml:space="preserve">As you work, use </w:t>
      </w:r>
      <w:r>
        <w:rPr>
          <w:b/>
          <w:bCs/>
        </w:rPr>
        <w:t xml:space="preserve">Save &amp; Close</w:t>
      </w:r>
      <w:r>
        <w:t xml:space="preserve"> to come back later, and </w:t>
      </w:r>
      <w:r>
        <w:rPr>
          <w:b/>
          <w:bCs/>
        </w:rPr>
        <w:t xml:space="preserve">Previous</w:t>
      </w:r>
      <w:r>
        <w:t xml:space="preserve"> / </w:t>
      </w:r>
      <w:r>
        <w:rPr>
          <w:b/>
          <w:bCs/>
        </w:rPr>
        <w:t xml:space="preserve">Next</w:t>
      </w:r>
      <w:r>
        <w:t xml:space="preserve"> to move between steps. When the form is ready and still in draft, choose </w:t>
      </w:r>
      <w:r>
        <w:rPr>
          <w:b/>
          <w:bCs/>
        </w:rPr>
        <w:t xml:space="preserve">Submit for Approval</w:t>
      </w:r>
      <w:r>
        <w:t xml:space="preserve">; you’ll be asked to type your name to sign, and then see “Form submitted for counselor approval!” Counselors, school admins, and district admins are the roles responsible for reviewing submitted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Where reviewing happens today</w:t>
            </w:r>
          </w:p>
          <w:p>
            <w:pPr>
              <w:spacing w:after="0"/>
            </w:pPr>
            <w:r>
              <w:t xml:space="preserve">A submitted referral is routed to counselors and admins for approval, but the approve / request-changes step currently happens behind the scenes rather than through an on-screen button. If your team expects an in-app “approve” screen and doesn’t find one, that’s a known limitation worth raising with your administrator — the submission itself still goes through.</w:t>
            </w:r>
          </w:p>
        </w:tc>
      </w:tr>
    </w:tbl>
    <w:p>
      <w:pPr>
        <w:spacing w:after="120" w:line="276"/>
      </w:pPr>
      <w:r>
        <w:t xml:space="preserve">Approving a referral records the decision; it does not automatically create an intervention plan or a meeting. Your team still creates those manually as the next step.</w:t>
      </w:r>
    </w:p>
    <w:p>
      <w:pPr>
        <w:pStyle w:val="Heading2"/>
      </w:pPr>
      <w:r>
        <w:t xml:space="preserve">Progress-review meetings</w:t>
      </w:r>
    </w:p>
    <w:p>
      <w:pPr>
        <w:spacing w:after="120" w:line="276"/>
      </w:pPr>
      <w:r>
        <w:t xml:space="preserve">As a student moves through MTSS, the team documents review meetings. Open </w:t>
      </w:r>
      <w:r>
        <w:rPr>
          <w:b/>
          <w:bCs/>
        </w:rPr>
        <w:t xml:space="preserve">New MTSS Progress Review Meeting</w:t>
      </w:r>
      <w:r>
        <w:t xml:space="preserve"> (or </w:t>
      </w:r>
      <w:r>
        <w:rPr>
          <w:b/>
          <w:bCs/>
        </w:rPr>
        <w:t xml:space="preserve">Edit MTSS Progress Review Meeting</w:t>
      </w:r>
      <w:r>
        <w:t xml:space="preserve"> for an existing one). District admins, school admins, counselors, and interventionists can create and edit meetings; teachers and parents cannot, though they may view them where they have student access.</w:t>
      </w:r>
    </w:p>
    <w:p>
      <w:pPr>
        <w:spacing w:after="120" w:line="276"/>
      </w:pPr>
      <w:r>
        <w:t xml:space="preserve">You’ll record the meeting type (</w:t>
      </w:r>
      <w:r>
        <w:rPr>
          <w:b/>
          <w:bCs/>
        </w:rPr>
        <w:t xml:space="preserve">4-Week Review</w:t>
      </w:r>
      <w:r>
        <w:t xml:space="preserve">, </w:t>
      </w:r>
      <w:r>
        <w:rPr>
          <w:b/>
          <w:bCs/>
        </w:rPr>
        <w:t xml:space="preserve">6-Week Review</w:t>
      </w:r>
      <w:r>
        <w:t xml:space="preserve">, </w:t>
      </w:r>
      <w:r>
        <w:rPr>
          <w:b/>
          <w:bCs/>
        </w:rPr>
        <w:t xml:space="preserve">Final Review</w:t>
      </w:r>
      <w:r>
        <w:t xml:space="preserve">, or </w:t>
      </w:r>
      <w:r>
        <w:rPr>
          <w:b/>
          <w:bCs/>
        </w:rPr>
        <w:t xml:space="preserve">Other</w:t>
      </w:r>
      <w:r>
        <w:t xml:space="preserve">), which meeting this is (</w:t>
      </w:r>
      <w:r>
        <w:rPr>
          <w:b/>
          <w:bCs/>
        </w:rPr>
        <w:t xml:space="preserve">1st Meeting</w:t>
      </w:r>
      <w:r>
        <w:t xml:space="preserve">, </w:t>
      </w:r>
      <w:r>
        <w:rPr>
          <w:b/>
          <w:bCs/>
        </w:rPr>
        <w:t xml:space="preserve">2nd Meeting</w:t>
      </w:r>
      <w:r>
        <w:t xml:space="preserve">, or </w:t>
      </w:r>
      <w:r>
        <w:rPr>
          <w:b/>
          <w:bCs/>
        </w:rPr>
        <w:t xml:space="preserve">3rd Meeting (Final)</w:t>
      </w:r>
      <w:r>
        <w:t xml:space="preserve">), and the team’s tier decision — for example, </w:t>
      </w:r>
      <w:r>
        <w:rPr>
          <w:b/>
          <w:bCs/>
        </w:rPr>
        <w:t xml:space="preserve">Stay at Tier 2 – Continue current interventions</w:t>
      </w:r>
      <w:r>
        <w:t xml:space="preserve">, </w:t>
      </w:r>
      <w:r>
        <w:rPr>
          <w:b/>
          <w:bCs/>
        </w:rPr>
        <w:t xml:space="preserve">Move to Tier 3 – Needs more intensive support</w:t>
      </w:r>
      <w:r>
        <w:t xml:space="preserve">, </w:t>
      </w:r>
      <w:r>
        <w:rPr>
          <w:b/>
          <w:bCs/>
        </w:rPr>
        <w:t xml:space="preserve">Refer for Special Education evaluation</w:t>
      </w:r>
      <w:r>
        <w:t xml:space="preserve">, or </w:t>
      </w:r>
      <w:r>
        <w:rPr>
          <w:b/>
          <w:bCs/>
        </w:rPr>
        <w:t xml:space="preserve">Refer for 504 Plan evaluation</w:t>
      </w:r>
      <w:r>
        <w:t xml:space="preserve">. For each intervention you can note implementation fidelity, progress toward goal, and a recommendation, then </w:t>
      </w:r>
      <w:r>
        <w:rPr>
          <w:b/>
          <w:bCs/>
        </w:rPr>
        <w:t xml:space="preserve">Save Meeting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Meetings capture a snapshot</w:t>
            </w:r>
          </w:p>
          <w:p>
            <w:pPr>
              <w:spacing w:after="0"/>
            </w:pPr>
            <w:r>
              <w:t xml:space="preserve">When you save a meeting, ScholarPath stores a fixed snapshot of the progress data the team reviewed. Editing the meeting later doesn’t rewrite that snapshot — it preserves an accurate record of what was actually discussed at the time.</w:t>
            </w:r>
          </w:p>
        </w:tc>
      </w:tr>
    </w:tbl>
    <w:p>
      <w:pPr>
        <w:spacing w:after="120" w:line="276"/>
      </w:pPr>
      <w:r>
        <w:t xml:space="preserve">Schools can also designate an </w:t>
      </w:r>
      <w:r>
        <w:rPr>
          <w:b/>
          <w:bCs/>
        </w:rPr>
        <w:t xml:space="preserve">MTSS Coordinator</w:t>
      </w:r>
      <w:r>
        <w:t xml:space="preserve"> from the staff list (a </w:t>
      </w:r>
      <w:r>
        <w:rPr>
          <w:b/>
          <w:bCs/>
        </w:rPr>
        <w:t xml:space="preserve">Coordinator</w:t>
      </w:r>
      <w:r>
        <w:t xml:space="preserve"> badge marks them; use </w:t>
      </w:r>
      <w:r>
        <w:rPr>
          <w:b/>
          <w:bCs/>
        </w:rPr>
        <w:t xml:space="preserve">Designate</w:t>
      </w:r>
      <w:r>
        <w:t xml:space="preserve"> or </w:t>
      </w:r>
      <w:r>
        <w:rPr>
          <w:b/>
          <w:bCs/>
        </w:rPr>
        <w:t xml:space="preserve">Revoke</w:t>
      </w:r>
      <w:r>
        <w:t xml:space="preserve">). Coordinators get broader student access to support their role.</w:t>
      </w:r>
    </w:p>
    <w:p>
      <w:pPr>
        <w:pStyle w:val="Heading1"/>
      </w:pPr>
      <w:r>
        <w:t xml:space="preserve">9. Tier 1 tools and Resources</w:t>
      </w:r>
    </w:p>
    <w:p>
      <w:pPr>
        <w:pStyle w:val="Heading2"/>
      </w:pPr>
      <w:r>
        <w:t xml:space="preserve">The Tier 1 self-assessment</w:t>
      </w:r>
    </w:p>
    <w:p>
      <w:pPr>
        <w:spacing w:after="120" w:line="276"/>
      </w:pPr>
      <w:r>
        <w:t xml:space="preserve">This is a school-fidelity self-assessment — it rates how well your school has Tier 1 (universal) supports in place, not an assessment of any individual student. It covers 26 items across eight domains, each rated on a three-point scale: </w:t>
      </w:r>
      <w:r>
        <w:rPr>
          <w:b/>
          <w:bCs/>
        </w:rPr>
        <w:t xml:space="preserve">Not in place</w:t>
      </w:r>
      <w:r>
        <w:t xml:space="preserve">, </w:t>
      </w:r>
      <w:r>
        <w:rPr>
          <w:b/>
          <w:bCs/>
        </w:rPr>
        <w:t xml:space="preserve">Partially in place</w:t>
      </w:r>
      <w:r>
        <w:t xml:space="preserve">, or </w:t>
      </w:r>
      <w:r>
        <w:rPr>
          <w:b/>
          <w:bCs/>
        </w:rPr>
        <w:t xml:space="preserve">Fully in place</w:t>
      </w:r>
      <w:r>
        <w:t xml:space="preserve">. The eight domains are </w:t>
      </w:r>
      <w:r>
        <w:rPr>
          <w:b/>
          <w:bCs/>
        </w:rPr>
        <w:t xml:space="preserve">Team &amp; Infrastructure</w:t>
      </w:r>
      <w:r>
        <w:t xml:space="preserve">, </w:t>
      </w:r>
      <w:r>
        <w:rPr>
          <w:b/>
          <w:bCs/>
        </w:rPr>
        <w:t xml:space="preserve">Universal Academic Instruction</w:t>
      </w:r>
      <w:r>
        <w:t xml:space="preserve">, </w:t>
      </w:r>
      <w:r>
        <w:rPr>
          <w:b/>
          <w:bCs/>
        </w:rPr>
        <w:t xml:space="preserve">Universal Behavior Supports</w:t>
      </w:r>
      <w:r>
        <w:t xml:space="preserve">, </w:t>
      </w:r>
      <w:r>
        <w:rPr>
          <w:b/>
          <w:bCs/>
        </w:rPr>
        <w:t xml:space="preserve">Universal SEL Supports</w:t>
      </w:r>
      <w:r>
        <w:t xml:space="preserve">, </w:t>
      </w:r>
      <w:r>
        <w:rPr>
          <w:b/>
          <w:bCs/>
        </w:rPr>
        <w:t xml:space="preserve">Universal Screening &amp; Interim Assessment</w:t>
      </w:r>
      <w:r>
        <w:t xml:space="preserve">, </w:t>
      </w:r>
      <w:r>
        <w:rPr>
          <w:b/>
          <w:bCs/>
        </w:rPr>
        <w:t xml:space="preserve">Data-Based Decision Making</w:t>
      </w:r>
      <w:r>
        <w:t xml:space="preserve">, </w:t>
      </w:r>
      <w:r>
        <w:rPr>
          <w:b/>
          <w:bCs/>
        </w:rPr>
        <w:t xml:space="preserve">Family Engagement</w:t>
      </w:r>
      <w:r>
        <w:t xml:space="preserve">, and </w:t>
      </w:r>
      <w:r>
        <w:rPr>
          <w:b/>
          <w:bCs/>
        </w:rPr>
        <w:t xml:space="preserve">Professional Development &amp; Coaching</w:t>
      </w:r>
      <w:r>
        <w:t xml:space="preserve">.</w:t>
      </w:r>
    </w:p>
    <w:p>
      <w:pPr>
        <w:spacing w:after="120" w:line="276"/>
      </w:pPr>
      <w:r>
        <w:t xml:space="preserve">District admins, school admins, counselors, and interventionists can run and edit the assessment; teachers can view the results. Your school keeps one assessment in progress at a time. When you finish, the </w:t>
      </w:r>
      <w:r>
        <w:rPr>
          <w:b/>
          <w:bCs/>
        </w:rPr>
        <w:t xml:space="preserve">Assessment Results</w:t>
      </w:r>
      <w:r>
        <w:t xml:space="preserve"> screen summarizes your </w:t>
      </w:r>
      <w:r>
        <w:rPr>
          <w:b/>
          <w:bCs/>
        </w:rPr>
        <w:t xml:space="preserve">Strengths</w:t>
      </w:r>
      <w:r>
        <w:t xml:space="preserve">, </w:t>
      </w:r>
      <w:r>
        <w:rPr>
          <w:b/>
          <w:bCs/>
        </w:rPr>
        <w:t xml:space="preserve">Growth areas</w:t>
      </w:r>
      <w:r>
        <w:t xml:space="preserve">, and </w:t>
      </w:r>
      <w:r>
        <w:rPr>
          <w:b/>
          <w:bCs/>
        </w:rPr>
        <w:t xml:space="preserve">Prioritized recommendations</w:t>
      </w:r>
      <w:r>
        <w:t xml:space="preserve">, placing your school in one of three bands: </w:t>
      </w:r>
      <w:r>
        <w:rPr>
          <w:b/>
          <w:bCs/>
        </w:rPr>
        <w:t xml:space="preserve">Installing / Exploration</w:t>
      </w:r>
      <w:r>
        <w:t xml:space="preserve">, </w:t>
      </w:r>
      <w:r>
        <w:rPr>
          <w:b/>
          <w:bCs/>
        </w:rPr>
        <w:t xml:space="preserve">Partial Implementation</w:t>
      </w:r>
      <w:r>
        <w:t xml:space="preserve">, or </w:t>
      </w:r>
      <w:r>
        <w:rPr>
          <w:b/>
          <w:bCs/>
        </w:rPr>
        <w:t xml:space="preserve">Implementing with Fidelity</w:t>
      </w:r>
      <w:r>
        <w:t xml:space="preserve">.</w:t>
      </w:r>
    </w:p>
    <w:p>
      <w:pPr>
        <w:pStyle w:val="Heading2"/>
      </w:pPr>
      <w:r>
        <w:t xml:space="preserve">Resources</w:t>
      </w:r>
    </w:p>
    <w:p>
      <w:pPr>
        <w:spacing w:after="120" w:line="276"/>
      </w:pPr>
      <w:r>
        <w:t xml:space="preserve">The </w:t>
      </w:r>
      <w:r>
        <w:rPr>
          <w:b/>
          <w:bCs/>
        </w:rPr>
        <w:t xml:space="preserve">Resources</w:t>
      </w:r>
      <w:r>
        <w:t xml:space="preserve"> area is a shared library of downloadable MTSS templates and guides — things like team-role templates and implementation tools. Every staff member sees the same library (it isn’t specific to your school), and the documents are blank templates, not student records. Each item shows a title, a description, an in-page preview, and a </w:t>
      </w:r>
      <w:r>
        <w:rPr>
          <w:b/>
          <w:bCs/>
        </w:rPr>
        <w:t xml:space="preserve">Download Word</w:t>
      </w:r>
      <w:r>
        <w:t xml:space="preserve"> button to save the file. This is also where school-wide user guides like this one can be published for easy access.</w:t>
      </w:r>
    </w:p>
    <w:p>
      <w:pPr>
        <w:pStyle w:val="Heading1"/>
      </w:pPr>
      <w:r>
        <w:t xml:space="preserve">10. Discipline referrals</w:t>
      </w:r>
    </w:p>
    <w:p>
      <w:pPr>
        <w:spacing w:after="120" w:line="276"/>
      </w:pPr>
      <w:r>
        <w:t xml:space="preserve">Discipline referrals let staff log behavior incidents and route the serious ones to administrators. Any staff member (not parents) can file a referral; reviewing and resolving them is limited to administrators.</w:t>
      </w:r>
    </w:p>
    <w:p>
      <w:pPr>
        <w:pStyle w:val="Heading2"/>
      </w:pPr>
      <w:r>
        <w:t xml:space="preserve">Filing a referral</w:t>
      </w:r>
    </w:p>
    <w:p>
      <w:pPr>
        <w:spacing w:after="120" w:line="276"/>
      </w:pPr>
      <w:r>
        <w:t xml:space="preserve">A referral is a short three-step wizard. First, choose the </w:t>
      </w:r>
      <w:r>
        <w:rPr>
          <w:b/>
          <w:bCs/>
        </w:rPr>
        <w:t xml:space="preserve">Student</w:t>
      </w:r>
      <w:r>
        <w:t xml:space="preserve"> (search by name) and the </w:t>
      </w:r>
      <w:r>
        <w:rPr>
          <w:b/>
          <w:bCs/>
        </w:rPr>
        <w:t xml:space="preserve">Behavior</w:t>
      </w:r>
      <w:r>
        <w:t xml:space="preserve">. Next, record </w:t>
      </w:r>
      <w:r>
        <w:rPr>
          <w:b/>
          <w:bCs/>
        </w:rPr>
        <w:t xml:space="preserve">Where it happened</w:t>
      </w:r>
      <w:r>
        <w:t xml:space="preserve">, </w:t>
      </w:r>
      <w:r>
        <w:rPr>
          <w:b/>
          <w:bCs/>
        </w:rPr>
        <w:t xml:space="preserve">When</w:t>
      </w:r>
      <w:r>
        <w:t xml:space="preserve"> (the date can’t be in the future), and any required follow-up fields — for serious behaviors you may be asked for a harassment or weapon subtype, and optionally a perceived motivation, others involved, or a consequence. Depending on the behavior’s severity you’ll either describe </w:t>
      </w:r>
      <w:r>
        <w:rPr>
          <w:b/>
          <w:bCs/>
        </w:rPr>
        <w:t xml:space="preserve">What happened</w:t>
      </w:r>
      <w:r>
        <w:t xml:space="preserve"> (admin-managed behaviors) or add </w:t>
      </w:r>
      <w:r>
        <w:rPr>
          <w:b/>
          <w:bCs/>
        </w:rPr>
        <w:t xml:space="preserve">Response notes</w:t>
      </w:r>
      <w:r>
        <w:t xml:space="preserve"> (staff-managed). Choose </w:t>
      </w:r>
      <w:r>
        <w:rPr>
          <w:b/>
          <w:bCs/>
        </w:rPr>
        <w:t xml:space="preserve">Continue</w:t>
      </w:r>
      <w:r>
        <w:t xml:space="preserve">, then </w:t>
      </w:r>
      <w:r>
        <w:rPr>
          <w:b/>
          <w:bCs/>
        </w:rPr>
        <w:t xml:space="preserve">Submit referral</w:t>
      </w:r>
      <w:r>
        <w:t xml:space="preserve">.</w:t>
      </w:r>
    </w:p>
    <w:p>
      <w:pPr>
        <w:spacing w:after="120" w:line="276"/>
      </w:pPr>
      <w:r>
        <w:t xml:space="preserve">The final step confirms what happened: a serious referral shows “Submitted to admin for review — An administrator will follow up and assign the consequence,” while a minor one shows “Logged — Referral recorded. No further action needed.” You can </w:t>
      </w:r>
      <w:r>
        <w:rPr>
          <w:b/>
          <w:bCs/>
        </w:rPr>
        <w:t xml:space="preserve">File another for this same incident</w:t>
      </w:r>
      <w:r>
        <w:t xml:space="preserve"> or </w:t>
      </w:r>
      <w:r>
        <w:rPr>
          <w:b/>
          <w:bCs/>
        </w:rPr>
        <w:t xml:space="preserve">Close</w:t>
      </w:r>
      <w:r>
        <w:t xml:space="preserve">.</w:t>
      </w:r>
    </w:p>
    <w:p>
      <w:pPr>
        <w:pStyle w:val="Heading2"/>
      </w:pPr>
      <w:r>
        <w:t xml:space="preserve">Reviewing and resolving (administrators)</w:t>
      </w:r>
    </w:p>
    <w:p>
      <w:pPr>
        <w:spacing w:after="120" w:line="276"/>
      </w:pPr>
      <w:r>
        <w:t xml:space="preserve">The </w:t>
      </w:r>
      <w:r>
        <w:rPr>
          <w:b/>
          <w:bCs/>
        </w:rPr>
        <w:t xml:space="preserve">Discipline review queue</w:t>
      </w:r>
      <w:r>
        <w:t xml:space="preserve"> (“Behavior referrals awaiting administrator action”) lists referrals by status — </w:t>
      </w:r>
      <w:r>
        <w:rPr>
          <w:b/>
          <w:bCs/>
        </w:rPr>
        <w:t xml:space="preserve">Submitted</w:t>
      </w:r>
      <w:r>
        <w:t xml:space="preserve">, </w:t>
      </w:r>
      <w:r>
        <w:rPr>
          <w:b/>
          <w:bCs/>
        </w:rPr>
        <w:t xml:space="preserve">Under review</w:t>
      </w:r>
      <w:r>
        <w:t xml:space="preserve">, or </w:t>
      </w:r>
      <w:r>
        <w:rPr>
          <w:b/>
          <w:bCs/>
        </w:rPr>
        <w:t xml:space="preserve">Resolved</w:t>
      </w:r>
      <w:r>
        <w:t xml:space="preserve">. School admins, district admins, counselors, and interventionists can view the queue, but only school admins and district admins can act on referrals; counselors and interventionists are read-only here. Teachers see only the referrals they filed.</w:t>
      </w:r>
    </w:p>
    <w:p>
      <w:pPr>
        <w:spacing w:after="120" w:line="276"/>
      </w:pPr>
      <w:r>
        <w:t xml:space="preserve">To work a referral, an admin chooses </w:t>
      </w:r>
      <w:r>
        <w:rPr>
          <w:b/>
          <w:bCs/>
        </w:rPr>
        <w:t xml:space="preserve">Claim for review</w:t>
      </w:r>
      <w:r>
        <w:t xml:space="preserve"> (moving it to Under review), documents the review in the </w:t>
      </w:r>
      <w:r>
        <w:rPr>
          <w:b/>
          <w:bCs/>
        </w:rPr>
        <w:t xml:space="preserve">Admin notes</w:t>
      </w:r>
      <w:r>
        <w:t xml:space="preserve"> field (“Document the review, decisions, and any follow-up”), and then </w:t>
      </w:r>
      <w:r>
        <w:rPr>
          <w:b/>
          <w:bCs/>
        </w:rPr>
        <w:t xml:space="preserve">Resolve…</w:t>
      </w:r>
      <w:r>
        <w:t xml:space="preserve">, selecting one or more </w:t>
      </w:r>
      <w:r>
        <w:rPr>
          <w:b/>
          <w:bCs/>
        </w:rPr>
        <w:t xml:space="preserve">Consequences</w:t>
      </w:r>
      <w:r>
        <w:t xml:space="preserve">. An admin can also </w:t>
      </w:r>
      <w:r>
        <w:rPr>
          <w:b/>
          <w:bCs/>
        </w:rPr>
        <w:t xml:space="preserve">Release back to queue</w:t>
      </w:r>
      <w:r>
        <w:t xml:space="preserve"> to hand it off; admin notes are kept when they do.</w:t>
      </w:r>
    </w:p>
    <w:p>
      <w:pPr>
        <w:pStyle w:val="Heading1"/>
      </w:pPr>
      <w:r>
        <w:t xml:space="preserve">11. Discipline Reports and demographics</w:t>
      </w:r>
    </w:p>
    <w:p>
      <w:pPr>
        <w:spacing w:after="120" w:line="276"/>
      </w:pPr>
      <w:r>
        <w:rPr>
          <w:b/>
          <w:bCs/>
        </w:rPr>
        <w:t xml:space="preserve">Discipline Reports</w:t>
      </w:r>
      <w:r>
        <w:t xml:space="preserve"> turns referral data into trends. The subtitle explains the scope: “Totals across the school, plus reports that list specific students or staff. What you see depends on your role.” You can filter by </w:t>
      </w:r>
      <w:r>
        <w:rPr>
          <w:b/>
          <w:bCs/>
        </w:rPr>
        <w:t xml:space="preserve">Start date</w:t>
      </w:r>
      <w:r>
        <w:t xml:space="preserve">, </w:t>
      </w:r>
      <w:r>
        <w:rPr>
          <w:b/>
          <w:bCs/>
        </w:rPr>
        <w:t xml:space="preserve">End date</w:t>
      </w:r>
      <w:r>
        <w:t xml:space="preserve">, and </w:t>
      </w:r>
      <w:r>
        <w:rPr>
          <w:b/>
          <w:bCs/>
        </w:rPr>
        <w:t xml:space="preserve">Status</w:t>
      </w:r>
      <w:r>
        <w:t xml:space="preserve">, </w:t>
      </w:r>
      <w:r>
        <w:rPr>
          <w:b/>
          <w:bCs/>
        </w:rPr>
        <w:t xml:space="preserve">Refresh</w:t>
      </w:r>
      <w:r>
        <w:t xml:space="preserve"> the view, and </w:t>
      </w:r>
      <w:r>
        <w:rPr>
          <w:b/>
          <w:bCs/>
        </w:rPr>
        <w:t xml:space="preserve">Export CSV</w:t>
      </w:r>
      <w:r>
        <w:t xml:space="preserve">.</w:t>
      </w:r>
    </w:p>
    <w:p>
      <w:pPr>
        <w:spacing w:after="120" w:line="276"/>
      </w:pPr>
      <w:r>
        <w:t xml:space="preserve">Reports come in two groups. </w:t>
      </w:r>
      <w:r>
        <w:rPr>
          <w:b/>
          <w:bCs/>
        </w:rPr>
        <w:t xml:space="preserve">Aggregate cuts</w:t>
      </w:r>
      <w:r>
        <w:t xml:space="preserve"> summarize incidents </w:t>
      </w:r>
      <w:r>
        <w:rPr>
          <w:b/>
          <w:bCs/>
        </w:rPr>
        <w:t xml:space="preserve">By location</w:t>
      </w:r>
      <w:r>
        <w:t xml:space="preserve">, </w:t>
      </w:r>
      <w:r>
        <w:rPr>
          <w:b/>
          <w:bCs/>
        </w:rPr>
        <w:t xml:space="preserve">By incident type</w:t>
      </w:r>
      <w:r>
        <w:t xml:space="preserve">, and </w:t>
      </w:r>
      <w:r>
        <w:rPr>
          <w:b/>
          <w:bCs/>
        </w:rPr>
        <w:t xml:space="preserve">By time of day</w:t>
      </w:r>
      <w:r>
        <w:t xml:space="preserve">. </w:t>
      </w:r>
      <w:r>
        <w:rPr>
          <w:b/>
          <w:bCs/>
        </w:rPr>
        <w:t xml:space="preserve">Per-person cuts</w:t>
      </w:r>
      <w:r>
        <w:t xml:space="preserve"> list </w:t>
      </w:r>
      <w:r>
        <w:rPr>
          <w:b/>
          <w:bCs/>
        </w:rPr>
        <w:t xml:space="preserve">Students with [n]+ referrals</w:t>
      </w:r>
      <w:r>
        <w:t xml:space="preserve"> (you set the minimum) and a </w:t>
      </w:r>
      <w:r>
        <w:rPr>
          <w:b/>
          <w:bCs/>
        </w:rPr>
        <w:t xml:space="preserve">By staff</w:t>
      </w:r>
      <w:r>
        <w:t xml:space="preserve"> view of who submitted referrals. School admins, district admins, counselors, and interventionists can see the aggregate and repeat-referral reports; the </w:t>
      </w:r>
      <w:r>
        <w:rPr>
          <w:b/>
          <w:bCs/>
        </w:rPr>
        <w:t xml:space="preserve">By staff</w:t>
      </w:r>
      <w:r>
        <w:t xml:space="preserve"> view is limited to school and district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Treat exports as sensitive student data</w:t>
            </w:r>
          </w:p>
          <w:p>
            <w:pPr>
              <w:spacing w:after="0"/>
            </w:pPr>
            <w:r>
              <w:t xml:space="preserve">The CSV export includes student names, IDs, grade, IEP/504/English-Learner flags, gender, and race/ethnicity, along with staff names. Counts are shown as-is, including rows that may represent a single student or staff member. Download, store, and share these exports only as your privacy policies allow — see Section 16.</w:t>
            </w:r>
          </w:p>
        </w:tc>
      </w:tr>
    </w:tbl>
    <w:p>
      <w:pPr>
        <w:pStyle w:val="Heading1"/>
      </w:pPr>
      <w:r>
        <w:t xml:space="preserve">12. Grade Roll-up (end of year)</w:t>
      </w:r>
    </w:p>
    <w:p>
      <w:pPr>
        <w:spacing w:after="120" w:line="276"/>
      </w:pPr>
      <w:r>
        <w:t xml:space="preserve">The </w:t>
      </w:r>
      <w:r>
        <w:rPr>
          <w:b/>
          <w:bCs/>
        </w:rPr>
        <w:t xml:space="preserve">End-of-Year Grade Roll-up</w:t>
      </w:r>
      <w:r>
        <w:t xml:space="preserve"> promotes students to their next grade and records who graduated or left. Only district admins and school admins can run it. Its subtitle sets expectations: “Preview the roll-up first. Commit writes real changes to student grades and enrollment. Undo is available immediately after commit.”</w:t>
      </w:r>
    </w:p>
    <w:p>
      <w:pPr>
        <w:pStyle w:val="Heading2"/>
      </w:pPr>
      <w:r>
        <w:t xml:space="preserve">How it works</w:t>
      </w:r>
    </w:p>
    <w:p>
      <w:pPr>
        <w:pStyle w:val="ListParagraph"/>
        <w:numPr>
          <w:ilvl w:val="0"/>
          <w:numId w:val="3"/>
        </w:numPr>
        <w:spacing w:after="60" w:line="276"/>
      </w:pPr>
      <w:r>
        <w:t xml:space="preserve">Choose the </w:t>
      </w:r>
      <w:r>
        <w:rPr>
          <w:b/>
          <w:bCs/>
        </w:rPr>
        <w:t xml:space="preserve">School</w:t>
      </w:r>
      <w:r>
        <w:t xml:space="preserve">, then the </w:t>
      </w:r>
      <w:r>
        <w:rPr>
          <w:b/>
          <w:bCs/>
        </w:rPr>
        <w:t xml:space="preserve">Terminal grade</w:t>
      </w:r>
      <w:r>
        <w:t xml:space="preserve"> — “students at this grade graduate; everyone else advances.”</w:t>
      </w:r>
    </w:p>
    <w:p>
      <w:pPr>
        <w:pStyle w:val="ListParagraph"/>
        <w:numPr>
          <w:ilvl w:val="0"/>
          <w:numId w:val="3"/>
        </w:numPr>
        <w:spacing w:after="60" w:line="276"/>
      </w:pPr>
      <w:r>
        <w:t xml:space="preserve">Optionally, under </w:t>
      </w:r>
      <w:r>
        <w:rPr>
          <w:b/>
          <w:bCs/>
        </w:rPr>
        <w:t xml:space="preserve">Designate students leaving</w:t>
      </w:r>
      <w:r>
        <w:t xml:space="preserve">, add any student who is leaving but not graduating. (“Most EOY runs have none.”)</w:t>
      </w:r>
    </w:p>
    <w:p>
      <w:pPr>
        <w:pStyle w:val="ListParagraph"/>
        <w:numPr>
          <w:ilvl w:val="0"/>
          <w:numId w:val="3"/>
        </w:numPr>
        <w:spacing w:after="60" w:line="276"/>
      </w:pPr>
      <w:r>
        <w:t xml:space="preserve">Choose </w:t>
      </w:r>
      <w:r>
        <w:rPr>
          <w:b/>
          <w:bCs/>
        </w:rPr>
        <w:t xml:space="preserve">Preview roll-up</w:t>
      </w:r>
      <w:r>
        <w:t xml:space="preserve">. ScholarPath shows exactly who would advance, graduate, or exit — nothing is changed yet.</w:t>
      </w:r>
    </w:p>
    <w:p>
      <w:pPr>
        <w:pStyle w:val="ListParagraph"/>
        <w:numPr>
          <w:ilvl w:val="0"/>
          <w:numId w:val="3"/>
        </w:numPr>
        <w:spacing w:after="60" w:line="276"/>
      </w:pPr>
      <w:r>
        <w:t xml:space="preserve">If the preview looks right, choose </w:t>
      </w:r>
      <w:r>
        <w:rPr>
          <w:b/>
          <w:bCs/>
        </w:rPr>
        <w:t xml:space="preserve">Commit roll-up</w:t>
      </w:r>
      <w:r>
        <w:t xml:space="preserve">. This advances each student a grade, marks graduates and exits, and records the change.</w:t>
      </w:r>
    </w:p>
    <w:p>
      <w:pPr>
        <w:pStyle w:val="ListParagraph"/>
        <w:numPr>
          <w:ilvl w:val="0"/>
          <w:numId w:val="3"/>
        </w:numPr>
        <w:spacing w:after="60" w:line="276"/>
      </w:pPr>
      <w:r>
        <w:t xml:space="preserve">If you spot a problem right after, choose </w:t>
      </w:r>
      <w:r>
        <w:rPr>
          <w:b/>
          <w:bCs/>
        </w:rPr>
        <w:t xml:space="preserve">Undo this run</w:t>
      </w:r>
      <w:r>
        <w:t xml:space="preserve"> — undo is available immediately after a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Two safeguards</w:t>
            </w:r>
          </w:p>
          <w:p>
            <w:pPr>
              <w:spacing w:after="0"/>
            </w:pPr>
            <w:r>
              <w:t xml:space="preserve">If any student has an unrecognized grade, you can’t commit until it’s fixed: “Commit is disabled while unclassified students remain. Fix each one in their profile, then re-preview.” And if grades change between your preview and your commit, ScholarPath rejects the stale commit and asks you to re-preview — so you never act on out-of-date numbers.</w:t>
            </w:r>
          </w:p>
        </w:tc>
      </w:tr>
    </w:tbl>
    <w:p>
      <w:pPr>
        <w:pStyle w:val="Heading1"/>
      </w:pPr>
      <w:r>
        <w:t xml:space="preserve">13. Section 504 plans and accommodations</w:t>
      </w:r>
    </w:p>
    <w:p>
      <w:pPr>
        <w:spacing w:after="120" w:line="276"/>
      </w:pPr>
      <w:r>
        <w:t xml:space="preserve">ScholarPath supports Section 504 plans where your organization has a 504 form set enabled — if it does, a </w:t>
      </w:r>
      <w:r>
        <w:rPr>
          <w:b/>
          <w:bCs/>
        </w:rPr>
        <w:t xml:space="preserve">Section 504</w:t>
      </w:r>
      <w:r>
        <w:t xml:space="preserve"> tab appears on the student record. Each student’s 504 history is organized into cycles, and each cycle holds three forms that build a legal record: </w:t>
      </w:r>
      <w:r>
        <w:rPr>
          <w:b/>
          <w:bCs/>
        </w:rPr>
        <w:t xml:space="preserve">Form C — Prior Notice and Consent to Evaluate</w:t>
      </w:r>
      <w:r>
        <w:t xml:space="preserve">, </w:t>
      </w:r>
      <w:r>
        <w:rPr>
          <w:b/>
          <w:bCs/>
        </w:rPr>
        <w:t xml:space="preserve">Form I — Eligibility Determination</w:t>
      </w:r>
      <w:r>
        <w:t xml:space="preserve">, and </w:t>
      </w:r>
      <w:r>
        <w:rPr>
          <w:b/>
          <w:bCs/>
        </w:rPr>
        <w:t xml:space="preserve">Form J — Accommodation Plan</w:t>
      </w:r>
      <w:r>
        <w:t xml:space="preserve">.</w:t>
      </w:r>
    </w:p>
    <w:p>
      <w:pPr>
        <w:spacing w:after="120" w:line="276"/>
      </w:pPr>
      <w:r>
        <w:t xml:space="preserve">District admins, school admins, counselors, and interventionists can create and edit 504 cycles and forms. Teachers can view a student’s active accommodations only (organized as </w:t>
      </w:r>
      <w:r>
        <w:rPr>
          <w:b/>
          <w:bCs/>
        </w:rPr>
        <w:t xml:space="preserve">Educational</w:t>
      </w:r>
      <w:r>
        <w:t xml:space="preserve">, </w:t>
      </w:r>
      <w:r>
        <w:rPr>
          <w:b/>
          <w:bCs/>
        </w:rPr>
        <w:t xml:space="preserve">Extracurricular</w:t>
      </w:r>
      <w:r>
        <w:t xml:space="preserve">, and </w:t>
      </w:r>
      <w:r>
        <w:rPr>
          <w:b/>
          <w:bCs/>
        </w:rPr>
        <w:t xml:space="preserve">Assessments</w:t>
      </w:r>
      <w:r>
        <w:t xml:space="preserve">; if there’s nothing on file they see “No active 504 accommodation plan on file for this student”). Education assistants don’t have 504 access, and parents see active plans only.</w:t>
      </w:r>
    </w:p>
    <w:p>
      <w:pPr>
        <w:spacing w:after="120" w:line="276"/>
      </w:pPr>
      <w:r>
        <w:t xml:space="preserve">To begin, choose </w:t>
      </w:r>
      <w:r>
        <w:rPr>
          <w:b/>
          <w:bCs/>
        </w:rPr>
        <w:t xml:space="preserve">Start 504 Cycle</w:t>
      </w:r>
      <w:r>
        <w:t xml:space="preserve">. Within a cycle, the newest version of each form is marked </w:t>
      </w:r>
      <w:r>
        <w:rPr>
          <w:b/>
          <w:bCs/>
        </w:rPr>
        <w:t xml:space="preserve">Current</w:t>
      </w:r>
      <w:r>
        <w:t xml:space="preserve">, and you add updates with </w:t>
      </w:r>
      <w:r>
        <w:rPr>
          <w:b/>
          <w:bCs/>
        </w:rPr>
        <w:t xml:space="preserve">Add revision</w:t>
      </w:r>
      <w:r>
        <w:t xml:space="preserve"> rather than editing past versions — this preserves the history. The full form titles read </w:t>
      </w:r>
      <w:r>
        <w:rPr>
          <w:b/>
          <w:bCs/>
        </w:rPr>
        <w:t xml:space="preserve">Form I — Section 504 Eligibility Determination</w:t>
      </w:r>
      <w:r>
        <w:t xml:space="preserve"> and </w:t>
      </w:r>
      <w:r>
        <w:rPr>
          <w:b/>
          <w:bCs/>
        </w:rPr>
        <w:t xml:space="preserve">Form J — Section 504 Student Accommodation Plan</w:t>
      </w:r>
      <w:r>
        <w:t xml:space="preserve">; you’ll also record </w:t>
      </w:r>
      <w:r>
        <w:rPr>
          <w:b/>
          <w:bCs/>
        </w:rPr>
        <w:t xml:space="preserve">504 Team Members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One thing to watch</w:t>
            </w:r>
          </w:p>
          <w:p>
            <w:pPr>
              <w:spacing w:after="0"/>
            </w:pPr>
            <w:r>
              <w:t xml:space="preserve">A new Form J starts as a draft and isn’t visible to parents until it’s set to active. If a parent says they can’t see an accommodation plan you’ve written, check whether the plan has been activated yet.</w:t>
            </w:r>
          </w:p>
        </w:tc>
      </w:tr>
    </w:tbl>
    <w:p>
      <w:pPr>
        <w:pStyle w:val="Heading1"/>
      </w:pPr>
      <w:r>
        <w:t xml:space="preserve">14. The parent / guardian portal</w:t>
      </w:r>
    </w:p>
    <w:p>
      <w:pPr>
        <w:spacing w:after="120" w:line="276"/>
      </w:pPr>
      <w:r>
        <w:t xml:space="preserve">Parents and guardians get their own dedicated portal rather than the staff navigation. They sign in with email and password (not Google), and see only their own linked child or children. Within the portal a parent can view their child’s active interventions, log their own weekly progress observations, see documents in a limited set of categories (</w:t>
      </w:r>
      <w:r>
        <w:rPr>
          <w:b/>
          <w:bCs/>
        </w:rPr>
        <w:t xml:space="preserve">504 Plan</w:t>
      </w:r>
      <w:r>
        <w:t xml:space="preserve">, </w:t>
      </w:r>
      <w:r>
        <w:rPr>
          <w:b/>
          <w:bCs/>
        </w:rPr>
        <w:t xml:space="preserve">IEP</w:t>
      </w:r>
      <w:r>
        <w:t xml:space="preserve">, </w:t>
      </w:r>
      <w:r>
        <w:rPr>
          <w:b/>
          <w:bCs/>
        </w:rPr>
        <w:t xml:space="preserve">Medical Record</w:t>
      </w:r>
      <w:r>
        <w:t xml:space="preserve">, and </w:t>
      </w:r>
      <w:r>
        <w:rPr>
          <w:b/>
          <w:bCs/>
        </w:rPr>
        <w:t xml:space="preserve">Parent Communication</w:t>
      </w:r>
      <w:r>
        <w:t xml:space="preserve">), and view active 504 accommodations.</w:t>
      </w:r>
    </w:p>
    <w:p>
      <w:pPr>
        <w:spacing w:after="120" w:line="276"/>
      </w:pPr>
      <w:r>
        <w:t xml:space="preserve">Linking a parent to a student is done by a school admin or district admin. A student can have at most two parent accounts linked — a third attempt returns “Student already has 2 parent accounts linked,” and re-adding the same parent returns “This parent is already linked to this student.” Within a district, a parent can be linked to children at more than one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Parent links don’t expire</w:t>
            </w:r>
          </w:p>
          <w:p>
            <w:pPr>
              <w:spacing w:after="0"/>
            </w:pPr>
            <w:r>
              <w:t xml:space="preserve">Once linked, a parent keeps access until an admin explicitly removes the link. There is no automatic expiry. When a family leaves, unlink the parent so they no longer have access.</w:t>
            </w:r>
          </w:p>
        </w:tc>
      </w:tr>
    </w:tbl>
    <w:p>
      <w:pPr>
        <w:pStyle w:val="Heading1"/>
      </w:pPr>
      <w:r>
        <w:t xml:space="preserve">15. Admin and settings</w:t>
      </w:r>
    </w:p>
    <w:p>
      <w:pPr>
        <w:spacing w:after="120" w:line="276"/>
      </w:pPr>
      <w:r>
        <w:t xml:space="preserve">The </w:t>
      </w:r>
      <w:r>
        <w:rPr>
          <w:b/>
          <w:bCs/>
        </w:rPr>
        <w:t xml:space="preserve">Admin Panel</w:t>
      </w:r>
      <w:r>
        <w:t xml:space="preserve"> (“Manage …” your school or district) is where administrators handle the behind-the-scenes setup. School admins, counselors, and interventionists see the full set of tabs; district admins focus on staff. Tabs include </w:t>
      </w:r>
      <w:r>
        <w:rPr>
          <w:b/>
          <w:bCs/>
        </w:rPr>
        <w:t xml:space="preserve">Interventions</w:t>
      </w:r>
      <w:r>
        <w:t xml:space="preserve">, </w:t>
      </w:r>
      <w:r>
        <w:rPr>
          <w:b/>
          <w:bCs/>
        </w:rPr>
        <w:t xml:space="preserve">Students</w:t>
      </w:r>
      <w:r>
        <w:t xml:space="preserve">, </w:t>
      </w:r>
      <w:r>
        <w:rPr>
          <w:b/>
          <w:bCs/>
        </w:rPr>
        <w:t xml:space="preserve">Parents</w:t>
      </w:r>
      <w:r>
        <w:t xml:space="preserve">, </w:t>
      </w:r>
      <w:r>
        <w:rPr>
          <w:b/>
          <w:bCs/>
        </w:rPr>
        <w:t xml:space="preserve">Staff</w:t>
      </w:r>
      <w:r>
        <w:t xml:space="preserve">, </w:t>
      </w:r>
      <w:r>
        <w:rPr>
          <w:b/>
          <w:bCs/>
        </w:rPr>
        <w:t xml:space="preserve">Archived</w:t>
      </w:r>
      <w:r>
        <w:t xml:space="preserve">, </w:t>
      </w:r>
      <w:r>
        <w:rPr>
          <w:b/>
          <w:bCs/>
        </w:rPr>
        <w:t xml:space="preserve">Import CSV</w:t>
      </w:r>
      <w:r>
        <w:t xml:space="preserve">, </w:t>
      </w:r>
      <w:r>
        <w:rPr>
          <w:b/>
          <w:bCs/>
        </w:rPr>
        <w:t xml:space="preserve">Plan Templates</w:t>
      </w:r>
      <w:r>
        <w:t xml:space="preserve">, </w:t>
      </w:r>
      <w:r>
        <w:rPr>
          <w:b/>
          <w:bCs/>
        </w:rPr>
        <w:t xml:space="preserve">Intervention Bank</w:t>
      </w:r>
      <w:r>
        <w:t xml:space="preserve">, and </w:t>
      </w:r>
      <w:r>
        <w:rPr>
          <w:b/>
          <w:bCs/>
        </w:rPr>
        <w:t xml:space="preserve">Screener Data</w:t>
      </w:r>
      <w:r>
        <w:t xml:space="preserve">.</w:t>
      </w:r>
    </w:p>
    <w:p>
      <w:pPr>
        <w:pStyle w:val="Heading2"/>
      </w:pPr>
      <w:r>
        <w:t xml:space="preserve">Managing staff</w:t>
      </w:r>
    </w:p>
    <w:p>
      <w:pPr>
        <w:spacing w:after="120" w:line="276"/>
      </w:pPr>
      <w:r>
        <w:t xml:space="preserve">The </w:t>
      </w:r>
      <w:r>
        <w:rPr>
          <w:b/>
          <w:bCs/>
        </w:rPr>
        <w:t xml:space="preserve">Staff</w:t>
      </w:r>
      <w:r>
        <w:t xml:space="preserve"> table lists each person’s </w:t>
      </w:r>
      <w:r>
        <w:rPr>
          <w:b/>
          <w:bCs/>
        </w:rPr>
        <w:t xml:space="preserve">Name</w:t>
      </w:r>
      <w:r>
        <w:t xml:space="preserve">, </w:t>
      </w:r>
      <w:r>
        <w:rPr>
          <w:b/>
          <w:bCs/>
        </w:rPr>
        <w:t xml:space="preserve">Email</w:t>
      </w:r>
      <w:r>
        <w:t xml:space="preserve">, </w:t>
      </w:r>
      <w:r>
        <w:rPr>
          <w:b/>
          <w:bCs/>
        </w:rPr>
        <w:t xml:space="preserve">Role</w:t>
      </w:r>
      <w:r>
        <w:t xml:space="preserve">, </w:t>
      </w:r>
      <w:r>
        <w:rPr>
          <w:b/>
          <w:bCs/>
        </w:rPr>
        <w:t xml:space="preserve">Access</w:t>
      </w:r>
      <w:r>
        <w:t xml:space="preserve"> (All Students or Assigned Only), </w:t>
      </w:r>
      <w:r>
        <w:rPr>
          <w:b/>
          <w:bCs/>
        </w:rPr>
        <w:t xml:space="preserve">Coordinator</w:t>
      </w:r>
      <w:r>
        <w:t xml:space="preserve"> status, </w:t>
      </w:r>
      <w:r>
        <w:rPr>
          <w:b/>
          <w:bCs/>
        </w:rPr>
        <w:t xml:space="preserve">Caseload</w:t>
      </w:r>
      <w:r>
        <w:t xml:space="preserve">, </w:t>
      </w:r>
      <w:r>
        <w:rPr>
          <w:b/>
          <w:bCs/>
        </w:rPr>
        <w:t xml:space="preserve">SSO</w:t>
      </w:r>
      <w:r>
        <w:t xml:space="preserve"> connection (Connected or Not yet), and </w:t>
      </w:r>
      <w:r>
        <w:rPr>
          <w:b/>
          <w:bCs/>
        </w:rPr>
        <w:t xml:space="preserve">Actions</w:t>
      </w:r>
      <w:r>
        <w:t xml:space="preserve">. To add someone, choose </w:t>
      </w:r>
      <w:r>
        <w:rPr>
          <w:b/>
          <w:bCs/>
        </w:rPr>
        <w:t xml:space="preserve">Add Staff</w:t>
      </w:r>
      <w:r>
        <w:t xml:space="preserve"> → </w:t>
      </w:r>
      <w:r>
        <w:rPr>
          <w:b/>
          <w:bCs/>
        </w:rPr>
        <w:t xml:space="preserve">Add Staff Member</w:t>
      </w:r>
      <w:r>
        <w:t xml:space="preserve">: “Create an account so this person can sign in with Google SSO. No password needed.” You enter their full name, school email, and role.</w:t>
      </w:r>
    </w:p>
    <w:p>
      <w:pPr>
        <w:spacing w:after="120" w:line="276"/>
      </w:pPr>
      <w:r>
        <w:t xml:space="preserve">The role list you can assign depends on your own role — you can generally assign peers and roles below you, but only the platform support team can create district admins. The roles, as they appear in the picker,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Role option</w:t>
            </w:r>
          </w:p>
        </w:tc>
        <w:tc>
          <w:tcPr>
            <w:tcW w:type="dxa" w:w="6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Description shown in the picker</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District Admin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full district access</w:t>
            </w:r>
          </w:p>
        </w:tc>
      </w:tr>
      <w:tr>
        <w:trPr>
          <w:tblHeader w:val="false"/>
        </w:trP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 Tech Admin</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 configuration and integrations</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Admin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full access, manages everything</w:t>
            </w:r>
          </w:p>
        </w:tc>
      </w:tr>
      <w:tr>
        <w:trPr>
          <w:tblHeader w:val="false"/>
        </w:trP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Counselor</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full admin access</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Teacher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sees assigned + all Tier 1 students</w:t>
            </w:r>
          </w:p>
        </w:tc>
      </w:tr>
      <w:tr>
        <w:trPr>
          <w:tblHeader w:val="false"/>
        </w:trPr>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Interventionist</w:t>
            </w:r>
          </w:p>
        </w:tc>
        <w:tc>
          <w:tcPr>
            <w:tcW w:type="dxa" w:w="6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sees all students, manages interventions, uploads documents</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Education Assistant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files referrals on any student; views assigned students only</w:t>
            </w:r>
          </w:p>
        </w:tc>
      </w:tr>
    </w:tbl>
    <w:p>
      <w:pPr>
        <w:spacing w:after="120"/>
      </w:pPr>
      <w:r>
        <w:t xml:space="preserve"/>
      </w:r>
    </w:p>
    <w:p>
      <w:pPr>
        <w:spacing w:after="120" w:line="276"/>
      </w:pPr>
      <w:r>
        <w:t xml:space="preserve">You can’t edit your own staff record (“You can’t edit your own staff record”). You can also bulk-import staff from a CSV (</w:t>
      </w:r>
      <w:r>
        <w:rPr>
          <w:b/>
          <w:bCs/>
        </w:rPr>
        <w:t xml:space="preserve">Bulk Import Staff from CSV</w:t>
      </w:r>
      <w:r>
        <w:t xml:space="preserve">), up to 100 rows at a time, with a downloadable template.</w:t>
      </w:r>
    </w:p>
    <w:p>
      <w:pPr>
        <w:pStyle w:val="Heading2"/>
      </w:pPr>
      <w:r>
        <w:t xml:space="preserve">Education-assistant caseloads</w:t>
      </w:r>
    </w:p>
    <w:p>
      <w:pPr>
        <w:spacing w:after="120" w:line="276"/>
      </w:pPr>
      <w:r>
        <w:t xml:space="preserve">Because education assistants only see assigned students, a school admin or district admin sets each EA’s caseload. Open </w:t>
      </w:r>
      <w:r>
        <w:rPr>
          <w:b/>
          <w:bCs/>
        </w:rPr>
        <w:t xml:space="preserve">Manage Caseload</w:t>
      </w:r>
      <w:r>
        <w:t xml:space="preserve"> for the assistant, search by name, and </w:t>
      </w:r>
      <w:r>
        <w:rPr>
          <w:b/>
          <w:bCs/>
        </w:rPr>
        <w:t xml:space="preserve">Assign</w:t>
      </w:r>
      <w:r>
        <w:t xml:space="preserve"> students; remove them with a confirmation. This caseload is what determines which students that assistant can see and log progress for.</w:t>
      </w:r>
    </w:p>
    <w:p>
      <w:pPr>
        <w:pStyle w:val="Heading1"/>
      </w:pPr>
      <w:r>
        <w:t xml:space="preserve">16. Protecting student data</w:t>
      </w:r>
    </w:p>
    <w:p>
      <w:pPr>
        <w:spacing w:after="120" w:line="276"/>
      </w:pPr>
      <w:r>
        <w:t xml:space="preserve">ScholarPath handles sensitive student information, and the platform is built so that people only see the students they’re entitled to see. A few principles are worth understanding as a user.</w:t>
      </w:r>
    </w:p>
    <w:p>
      <w:pPr>
        <w:pStyle w:val="ListParagraph"/>
        <w:numPr>
          <w:ilvl w:val="0"/>
          <w:numId w:val="2"/>
        </w:numPr>
        <w:spacing w:after="60" w:line="276"/>
      </w:pPr>
      <w:r>
        <w:rPr>
          <w:b/>
          <w:bCs/>
        </w:rPr>
        <w:t xml:space="preserve">Access follows your role and assignment.</w:t>
      </w:r>
      <w:r>
        <w:t xml:space="preserve"> Administrators, counselors, and interventionists see all students in their school; teachers see their assigned and Tier 1 students; education assistants see only their caseload; parents see only their own child. These limits are enforced by the system, not just hidden in the interface.</w:t>
      </w:r>
    </w:p>
    <w:p>
      <w:pPr>
        <w:pStyle w:val="ListParagraph"/>
        <w:numPr>
          <w:ilvl w:val="0"/>
          <w:numId w:val="2"/>
        </w:numPr>
        <w:spacing w:after="60" w:line="276"/>
      </w:pPr>
      <w:r>
        <w:rPr>
          <w:b/>
          <w:bCs/>
        </w:rPr>
        <w:t xml:space="preserve">Schools and districts are kept separate.</w:t>
      </w:r>
      <w:r>
        <w:t xml:space="preserve"> Your view is scoped to your school (and district, if applicable). The platform structurally prevents reading or writing another organization’s student data.</w:t>
      </w:r>
    </w:p>
    <w:p>
      <w:pPr>
        <w:pStyle w:val="ListParagraph"/>
        <w:numPr>
          <w:ilvl w:val="0"/>
          <w:numId w:val="2"/>
        </w:numPr>
        <w:spacing w:after="60" w:line="276"/>
      </w:pPr>
      <w:r>
        <w:rPr>
          <w:b/>
          <w:bCs/>
        </w:rPr>
        <w:t xml:space="preserve">Exports carry real student data.</w:t>
      </w:r>
      <w:r>
        <w:t xml:space="preserve"> Reports you download — especially discipline CSVs — contain names and demographic details. Once a file leaves ScholarPath, protecting it is up to you: store it securely, share it only with people who need it, and delete it when you’re done.</w:t>
      </w:r>
    </w:p>
    <w:p>
      <w:pPr>
        <w:pStyle w:val="ListParagraph"/>
        <w:numPr>
          <w:ilvl w:val="0"/>
          <w:numId w:val="2"/>
        </w:numPr>
        <w:spacing w:after="60" w:line="276"/>
      </w:pPr>
      <w:r>
        <w:rPr>
          <w:b/>
          <w:bCs/>
        </w:rPr>
        <w:t xml:space="preserve">Emails are working prompts, not records.</w:t>
      </w:r>
      <w:r>
        <w:t xml:space="preserve"> The weekly reminder names students so staff can act, but the authoritative information always lives in ScholarPath. Keep these emails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b/>
                <w:bCs/>
                <w:color w:val="2E75B6"/>
              </w:rPr>
              <w:t xml:space="preserve">When in doubt, share less</w:t>
            </w:r>
          </w:p>
          <w:p>
            <w:pPr>
              <w:spacing w:after="0"/>
            </w:pPr>
            <w:r>
              <w:t xml:space="preserve">If you’re unsure whether you should forward, export, or print something with student information in it, treat it as confidential and check your school’s data-privacy policy first.</w:t>
            </w:r>
          </w:p>
        </w:tc>
      </w:tr>
    </w:tbl>
    <w:p>
      <w:pPr>
        <w:pStyle w:val="Heading1"/>
      </w:pPr>
      <w:r>
        <w:t xml:space="preserve">17. Quick answers</w:t>
      </w:r>
    </w:p>
    <w:p>
      <w:pPr>
        <w:pStyle w:val="Heading3"/>
      </w:pPr>
      <w:r>
        <w:t xml:space="preserve">A button or menu described here isn’t showing up for me. Why?</w:t>
      </w:r>
    </w:p>
    <w:p>
      <w:pPr>
        <w:spacing w:after="120" w:line="276"/>
      </w:pPr>
      <w:r>
        <w:t xml:space="preserve">Almost always because your role doesn’t include that capability, or you’re viewing a student or school you don’t have access to. Check which role you’re signed in as (top-right of the screen). If you think you should have access, ask an administrator.</w:t>
      </w:r>
    </w:p>
    <w:p>
      <w:pPr>
        <w:pStyle w:val="Heading3"/>
      </w:pPr>
      <w:r>
        <w:t xml:space="preserve">Why is an intervention still showing as overdue when school is out?</w:t>
      </w:r>
    </w:p>
    <w:p>
      <w:pPr>
        <w:spacing w:after="120" w:line="276"/>
      </w:pPr>
      <w:r>
        <w:t xml:space="preserve">The overdue check flags any active, monitored intervention that hasn’t been logged this week, with no automatic pause for breaks. If a student’s work is genuinely finished, mark the intervention complete or archive the student so it stops flagging.</w:t>
      </w:r>
    </w:p>
    <w:p>
      <w:pPr>
        <w:pStyle w:val="Heading3"/>
      </w:pPr>
      <w:r>
        <w:t xml:space="preserve">Can I undo a grade roll-up?</w:t>
      </w:r>
    </w:p>
    <w:p>
      <w:pPr>
        <w:spacing w:after="120" w:line="276"/>
      </w:pPr>
      <w:r>
        <w:t xml:space="preserve">Yes, but immediately. </w:t>
      </w:r>
      <w:r>
        <w:rPr>
          <w:b/>
          <w:bCs/>
        </w:rPr>
        <w:t xml:space="preserve">Undo this run</w:t>
      </w:r>
      <w:r>
        <w:t xml:space="preserve"> is available right after you commit. Once you’ve moved on, treat the roll-up as final and correct individual students in their profiles.</w:t>
      </w:r>
    </w:p>
    <w:p>
      <w:pPr>
        <w:pStyle w:val="Heading3"/>
      </w:pPr>
      <w:r>
        <w:t xml:space="preserve">A parent can’t see their child’s 504 plan. What’s wrong?</w:t>
      </w:r>
    </w:p>
    <w:p>
      <w:pPr>
        <w:spacing w:after="120" w:line="276"/>
      </w:pPr>
      <w:r>
        <w:t xml:space="preserve">A Form J starts as a draft and is invisible to parents until it’s activated. Confirm the plan has been set to active.</w:t>
      </w:r>
    </w:p>
    <w:p>
      <w:pPr>
        <w:pStyle w:val="Heading3"/>
      </w:pPr>
      <w:r>
        <w:t xml:space="preserve">Why does my imported student show “unknown” for IEP or 504 when I left it blank?</w:t>
      </w:r>
    </w:p>
    <w:p>
      <w:pPr>
        <w:spacing w:after="120" w:line="276"/>
      </w:pPr>
      <w:r>
        <w:t xml:space="preserve">Blank means “unknown,” not “no.” Open the student record and set the flag explicitly to yes or no.</w:t>
      </w:r>
    </w:p>
    <w:p>
      <w:pPr>
        <w:pStyle w:val="Heading3"/>
      </w:pPr>
      <w:r>
        <w:t xml:space="preserve">Who can turn the weekly reminder email off?</w:t>
      </w:r>
    </w:p>
    <w:p>
      <w:pPr>
        <w:spacing w:after="120" w:line="276"/>
      </w:pPr>
      <w:r>
        <w:t xml:space="preserve">A school admin can turn it off for their building, a district admin for a district or any single school, and the platform support team by request. The default is on.</w:t>
      </w:r>
    </w:p>
    <w:p>
      <w:pPr>
        <w:pStyle w:val="Heading1"/>
      </w:pPr>
      <w:r>
        <w:t xml:space="preserve">18. Appendix: role-permission matrix</w:t>
      </w:r>
    </w:p>
    <w:p>
      <w:pPr>
        <w:spacing w:after="120" w:line="276"/>
      </w:pPr>
      <w:r>
        <w:t xml:space="preserve">This table summarizes who can do what. “View” means see-only; “Manage” means create, edit, or act. Parents are omitted from most rows because they only access their own child’s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190"/>
        <w:gridCol w:w="1380"/>
        <w:gridCol w:w="1090"/>
        <w:gridCol w:w="1200"/>
      </w:tblGrid>
      <w:tr>
        <w:trPr>
          <w:tblHeader/>
        </w:trP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Capability</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Dist. admin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School admin</w:t>
            </w:r>
          </w:p>
        </w:tc>
        <w:tc>
          <w:tcPr>
            <w:tcW w:type="dxa" w:w="11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Counselor</w:t>
            </w:r>
          </w:p>
        </w:tc>
        <w:tc>
          <w:tcPr>
            <w:tcW w:type="dxa" w:w="1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Interventionist</w:t>
            </w:r>
          </w:p>
        </w:tc>
        <w:tc>
          <w:tcPr>
            <w:tcW w:type="dxa" w:w="10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Teacher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rPr>
              <w:t xml:space="preserve">Ed. assistant</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See all students in school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Assigned + Tier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Caseload only</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Add / edit students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Delete a student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Manage interventions / plans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Log weekly progress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 (caseload)</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Edit / delete a progress log</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Upload screeners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Reset a screener batch</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File a discipline referral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Review / resolve referrals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View</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View</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Own only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By-staff discipline report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Create / edit MTSS meetings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Review pre-referral forms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Manage 504 cycles / forms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View accom.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Run Grade Roll-up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Toggle overdue reminders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District/school</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Own school</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Add / manage staff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Yes</w:t>
            </w:r>
          </w:p>
        </w:tc>
        <w:tc>
          <w:tcPr>
            <w:tcW w:type="dxa" w:w="10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t xml:space="preserve">No</w:t>
            </w:r>
          </w:p>
        </w:tc>
      </w:tr>
      <w:tr>
        <w:trPr>
          <w:tblHeader w:val="false"/>
        </w:trP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Link parents to students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Yes</w:t>
            </w:r>
          </w:p>
        </w:tc>
        <w:tc>
          <w:tcPr>
            <w:tcW w:type="dxa" w:w="11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0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line="264"/>
            </w:pPr>
            <w:r>
              <w:t xml:space="preserve">No</w:t>
            </w:r>
          </w:p>
        </w:tc>
      </w:tr>
    </w:tbl>
    <w:p>
      <w:pPr>
        <w:spacing w:after="120"/>
      </w:pPr>
      <w:r>
        <w:t xml:space="preserve"/>
      </w:r>
    </w:p>
    <w:p>
      <w:pPr>
        <w:spacing w:after="120" w:line="276"/>
      </w:pPr>
      <w:r>
        <w:t xml:space="preserve">District tech admins have district-wide read access and manage configuration and integrations, but are intentionally view-only for the day-to-day actions above. The platform operator (support) role can act across schools and districts to handle setup and requests.</w:t>
      </w:r>
    </w:p>
    <w:p>
      <w:pPr>
        <w:spacing w:after="120"/>
      </w:pPr>
      <w:r>
        <w:t xml:space="preserve"/>
      </w:r>
    </w:p>
    <w:p>
      <w:pPr>
        <w:pBdr>
          <w:top w:val="single" w:color="2E75B6" w:sz="6" w:space="1"/>
        </w:pBdr>
        <w:spacing w:after="120" w:before="120"/>
      </w:pPr>
      <w:r>
        <w:rPr>
          <w:color w:val="777777"/>
          <w:sz w:val="18"/>
          <w:szCs w:val="18"/>
        </w:rPr>
        <w:t xml:space="preserve">ScholarPath Intervention Management — Complete User Guide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6"/>
        <w:szCs w:val="16"/>
      </w:rPr>
      <w:t xml:space="preserve">ScholarPath Intervention Management — Complete User Guide</w:t>
    </w:r>
    <w:r>
      <w:rPr>
        <w:color w:val="777777"/>
        <w:sz w:val="16"/>
        <w:szCs w:val="16"/>
      </w:rPr>
      <w:t xml:space="preserve">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2026-06-28T20:18:03.133Z</dcterms:created>
  <dcterms:modified xsi:type="dcterms:W3CDTF">2026-06-28T20:18:03.136Z</dcterms:modified>
</cp:coreProperties>
</file>

<file path=docProps/custom.xml><?xml version="1.0" encoding="utf-8"?>
<Properties xmlns="http://schemas.openxmlformats.org/officeDocument/2006/custom-properties" xmlns:vt="http://schemas.openxmlformats.org/officeDocument/2006/docPropsVTypes"/>
</file>