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heading=h.rt6d176b8vl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heading=h.56quzr6a59tp" w:id="1"/>
      <w:bookmarkEnd w:id="1"/>
      <w:r w:rsidDel="00000000" w:rsidR="00000000" w:rsidRPr="00000000">
        <w:rPr>
          <w:color w:val="999999"/>
          <w:sz w:val="32"/>
          <w:szCs w:val="32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-19048</wp:posOffset>
            </wp:positionH>
            <wp:positionV relativeFrom="page">
              <wp:posOffset>0</wp:posOffset>
            </wp:positionV>
            <wp:extent cx="7590566" cy="1538288"/>
            <wp:effectExtent b="0" l="0" r="0" t="0"/>
            <wp:wrapTopAndBottom distB="0" dist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55860" l="0" r="0" t="13716"/>
                    <a:stretch>
                      <a:fillRect/>
                    </a:stretch>
                  </pic:blipFill>
                  <pic:spPr>
                    <a:xfrm>
                      <a:off x="0" y="0"/>
                      <a:ext cx="7590566" cy="1538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999999"/>
          <w:sz w:val="32"/>
          <w:szCs w:val="32"/>
          <w:rtl w:val="0"/>
        </w:rPr>
        <w:t xml:space="preserve">Aplicaciones web 1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an774fqtxx1g" w:id="2"/>
      <w:bookmarkEnd w:id="2"/>
      <w:r w:rsidDel="00000000" w:rsidR="00000000" w:rsidRPr="00000000">
        <w:rPr>
          <w:rtl w:val="0"/>
        </w:rPr>
        <w:t xml:space="preserve">Actividad 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Actividad a desarrollar en grupo. La entrega es individual para que quede el registro.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spacing w:after="240" w:line="240" w:lineRule="auto"/>
        <w:rPr>
          <w:b w:val="1"/>
          <w:bCs w:val="1"/>
          <w:color w:val="0b5394"/>
        </w:rPr>
      </w:pPr>
      <w:bookmarkStart w:colFirst="0" w:colLast="0" w:name="_heading=h.2dwe05b3cm23" w:id="3"/>
      <w:bookmarkEnd w:id="3"/>
      <w:r w:rsidDel="00000000" w:rsidR="00000000" w:rsidRPr="00000000">
        <w:rPr>
          <w:b w:val="1"/>
          <w:bCs w:val="1"/>
          <w:color w:val="0b5394"/>
          <w:rtl w:val="0"/>
        </w:rPr>
        <w:t xml:space="preserve">Infraestructura, dominios y arquitectura web</w:t>
      </w:r>
    </w:p>
    <w:p w:rsidR="00000000" w:rsidDel="00000000" w:rsidP="00000000" w:rsidRDefault="00000000" w:rsidRPr="00000000" w14:paraId="00000006">
      <w:pPr>
        <w:pStyle w:val="Heading3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Continuar con el caso de negocio de la actividad 1 y 2.</w:t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Consignas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4"/>
        </w:numPr>
        <w:spacing w:after="200" w:line="360" w:lineRule="auto"/>
        <w:ind w:left="600" w:hanging="360"/>
        <w:rPr/>
      </w:pPr>
      <w:r w:rsidDel="00000000" w:rsidR="00000000" w:rsidRPr="00000000">
        <w:rPr>
          <w:b w:val="1"/>
          <w:bCs w:val="1"/>
          <w:color w:val="2d3748"/>
          <w:rtl w:val="0"/>
        </w:rPr>
        <w:t xml:space="preserve">Investigación de dominio real: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5"/>
        </w:numPr>
        <w:spacing w:after="200" w:before="0" w:line="360" w:lineRule="auto"/>
        <w:ind w:left="1200" w:hanging="360"/>
        <w:rPr/>
      </w:pPr>
      <w:r w:rsidDel="00000000" w:rsidR="00000000" w:rsidRPr="00000000">
        <w:rPr>
          <w:color w:val="2d3748"/>
          <w:rtl w:val="0"/>
        </w:rPr>
        <w:t xml:space="preserve">Proponer el nombre de dominio deseado para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5"/>
        </w:numPr>
        <w:spacing w:after="200" w:before="0" w:line="360" w:lineRule="auto"/>
        <w:ind w:left="1200" w:hanging="360"/>
        <w:rPr/>
      </w:pPr>
      <w:r w:rsidDel="00000000" w:rsidR="00000000" w:rsidRPr="00000000">
        <w:rPr>
          <w:color w:val="2d3748"/>
          <w:rtl w:val="0"/>
        </w:rPr>
        <w:t xml:space="preserve">Ingresar a una plataforma proveedora (ej. NIC Argentina, Namecheap, DonWeb), y verificar la disponibilidad del dominio real y documentar el precio anual estimado.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5"/>
        </w:numPr>
        <w:spacing w:after="200" w:before="0" w:line="360" w:lineRule="auto"/>
        <w:ind w:left="1200" w:hanging="360"/>
        <w:rPr/>
      </w:pPr>
      <w:r w:rsidDel="00000000" w:rsidR="00000000" w:rsidRPr="00000000">
        <w:rPr>
          <w:color w:val="2d3748"/>
          <w:rtl w:val="0"/>
        </w:rPr>
        <w:t xml:space="preserve">Justificar la elección del TLD seleccionado.</w:t>
        <w:br w:type="textWrapping"/>
        <w:t xml:space="preserve">Ejemplo: </w:t>
      </w: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.com</w:t>
      </w:r>
      <w:r w:rsidDel="00000000" w:rsidR="00000000" w:rsidRPr="00000000">
        <w:rPr>
          <w:color w:val="2d3748"/>
          <w:rtl w:val="0"/>
        </w:rPr>
        <w:t xml:space="preserve"> vs. </w:t>
      </w: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.com.ar</w:t>
      </w:r>
      <w:r w:rsidDel="00000000" w:rsidR="00000000" w:rsidRPr="00000000">
        <w:rPr>
          <w:color w:val="2d3748"/>
          <w:rtl w:val="0"/>
        </w:rPr>
        <w:t xml:space="preserve"> vs.</w:t>
      </w: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 .app</w:t>
      </w:r>
      <w:r w:rsidDel="00000000" w:rsidR="00000000" w:rsidRPr="00000000">
        <w:rPr>
          <w:color w:val="2d374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spacing w:after="200" w:before="0" w:line="360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Diagramación del flujo cliente-servidor (petición HTTP):</w:t>
      </w:r>
      <w:r w:rsidDel="00000000" w:rsidR="00000000" w:rsidRPr="00000000">
        <w:rPr>
          <w:color w:val="2d3748"/>
          <w:rtl w:val="0"/>
        </w:rPr>
        <w:t xml:space="preserve"> Realizar un esquema gráfico explicativo en papel, Canva o Figma que muestre el recorrido completo desde que el usuario ingresa la </w:t>
      </w:r>
      <w:r w:rsidDel="00000000" w:rsidR="00000000" w:rsidRPr="00000000">
        <w:rPr>
          <w:b w:val="1"/>
          <w:bCs w:val="1"/>
          <w:color w:val="2d3748"/>
          <w:rtl w:val="0"/>
        </w:rPr>
        <w:t xml:space="preserve">URL</w:t>
      </w:r>
      <w:r w:rsidDel="00000000" w:rsidR="00000000" w:rsidRPr="00000000">
        <w:rPr>
          <w:color w:val="2d3748"/>
          <w:rtl w:val="0"/>
        </w:rPr>
        <w:t xml:space="preserve"> en el navegador hasta que la página se renderiza.</w:t>
        <w:br w:type="textWrapping"/>
        <w:t xml:space="preserve">Explicar: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2"/>
        </w:numPr>
        <w:spacing w:after="200" w:before="0" w:line="360" w:lineRule="auto"/>
        <w:ind w:left="1200" w:hanging="360"/>
        <w:rPr/>
      </w:pPr>
      <w:r w:rsidDel="00000000" w:rsidR="00000000" w:rsidRPr="00000000">
        <w:rPr>
          <w:color w:val="2d3748"/>
          <w:rtl w:val="0"/>
        </w:rPr>
        <w:t xml:space="preserve">Servidor DNS (Resolución de IP).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2"/>
        </w:numPr>
        <w:spacing w:after="200" w:before="0" w:line="360" w:lineRule="auto"/>
        <w:ind w:left="1200" w:hanging="360"/>
        <w:rPr/>
      </w:pPr>
      <w:r w:rsidDel="00000000" w:rsidR="00000000" w:rsidRPr="00000000">
        <w:rPr>
          <w:color w:val="2d3748"/>
          <w:rtl w:val="0"/>
        </w:rPr>
        <w:t xml:space="preserve">Petición HTTP GET al servidor web (hosting).Buscar una referencia web de un sitio similar e incluir capturas de pantalla de la herramienta del navegador DevTools -&gt; Network -&gt; (click sobre un recurso).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2"/>
        </w:numPr>
        <w:spacing w:after="200" w:line="360" w:lineRule="auto"/>
        <w:ind w:left="1200" w:hanging="360"/>
        <w:rPr/>
      </w:pPr>
      <w:r w:rsidDel="00000000" w:rsidR="00000000" w:rsidRPr="00000000">
        <w:rPr>
          <w:color w:val="2d3748"/>
          <w:rtl w:val="0"/>
        </w:rPr>
        <w:t xml:space="preserve">Respuesta del servidor enviando los archivos o recursos. Buscar una referencia web de un sitio similar e incluir capturas de pantalla de la herramienta del navegador DevTools -&gt; Network -&gt; (click sobre un recurso).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heading=h.np32uissofbb" w:id="4"/>
      <w:bookmarkEnd w:id="4"/>
      <w:r w:rsidDel="00000000" w:rsidR="00000000" w:rsidRPr="00000000">
        <w:rPr>
          <w:rtl w:val="0"/>
        </w:rPr>
        <w:t xml:space="preserve">Uso obligatorio de inteligencia artificial (IA)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after="200" w:line="360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Generación de nombres de dominio creativos:</w:t>
      </w:r>
      <w:r w:rsidDel="00000000" w:rsidR="00000000" w:rsidRPr="00000000">
        <w:rPr>
          <w:color w:val="2d3748"/>
          <w:rtl w:val="0"/>
        </w:rPr>
        <w:t xml:space="preserve"> Utilizar la IA para hacer un brainstorming de dominios disponibles y verificar alternativas según disponibilidad y SEO.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color w:val="741b47"/>
          <w:rtl w:val="0"/>
        </w:rPr>
        <w:t xml:space="preserve">"Dame 10 opciones de nombres de dominio cortos, memorables y profesionales para [tipo de negocio en Argentina]. Incluye opciones con terminación .com y .com.ar."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200" w:before="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Explicación de conceptos de red:</w:t>
      </w:r>
      <w:r w:rsidDel="00000000" w:rsidR="00000000" w:rsidRPr="00000000">
        <w:rPr>
          <w:color w:val="2d3748"/>
          <w:rtl w:val="0"/>
        </w:rPr>
        <w:t xml:space="preserve"> Usar la IA para validar el diagrama cliente-servidor, pidiéndole que explique en términ</w:t>
      </w:r>
      <w:r w:rsidDel="00000000" w:rsidR="00000000" w:rsidRPr="00000000">
        <w:rPr>
          <w:color w:val="2d3748"/>
          <w:sz w:val="22"/>
          <w:szCs w:val="22"/>
          <w:rtl w:val="0"/>
        </w:rPr>
        <w:t xml:space="preserve">os sencillos el paso a paso de una petición HTTP GET y el rol de un servidor DNS.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00" w:line="360" w:lineRule="auto"/>
        <w:ind w:left="600" w:hanging="360"/>
        <w:rPr>
          <w:highlight w:val="yellow"/>
        </w:rPr>
      </w:pPr>
      <w:r w:rsidDel="00000000" w:rsidR="00000000" w:rsidRPr="00000000">
        <w:rPr>
          <w:highlight w:val="yellow"/>
          <w:u w:val="single"/>
          <w:rtl w:val="0"/>
        </w:rPr>
        <w:t xml:space="preserve">Tarea del grupo</w:t>
      </w:r>
      <w:r w:rsidDel="00000000" w:rsidR="00000000" w:rsidRPr="00000000">
        <w:rPr>
          <w:highlight w:val="yellow"/>
          <w:rtl w:val="0"/>
        </w:rPr>
        <w:t xml:space="preserve">: Auditar la respuesta de la IA, ajustar los textos según el criterio propio del grupo y </w:t>
      </w: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refinar la redacción final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14">
      <w:pPr>
        <w:widowControl w:val="0"/>
        <w:spacing w:after="200" w:line="360" w:lineRule="auto"/>
        <w:ind w:left="0" w:firstLine="0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Resolver aquí. Descargar en PDF y subir al repositorio.</w:t>
      </w:r>
    </w:p>
    <w:p w:rsidR="00000000" w:rsidDel="00000000" w:rsidP="00000000" w:rsidRDefault="00000000" w:rsidRPr="00000000" w14:paraId="00000017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200"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Martina Diesenberg</w:t>
      </w:r>
    </w:p>
    <w:p w:rsidR="00000000" w:rsidDel="00000000" w:rsidP="00000000" w:rsidRDefault="00000000" w:rsidRPr="00000000" w14:paraId="0000001F">
      <w:pPr>
        <w:widowControl w:val="0"/>
        <w:spacing w:after="200"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Joaquín Silva Menendez</w:t>
      </w:r>
    </w:p>
    <w:p w:rsidR="00000000" w:rsidDel="00000000" w:rsidP="00000000" w:rsidRDefault="00000000" w:rsidRPr="00000000" w14:paraId="00000020">
      <w:pPr>
        <w:widowControl w:val="0"/>
        <w:spacing w:after="200"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200" w:line="360" w:lineRule="auto"/>
        <w:jc w:val="center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0"/>
        </w:rPr>
        <w:t xml:space="preserve">Aplicaciones Web I - Actividad 3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sisifocordoba.com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Nuestro dominio está disponible y dependiendo la página tienen valores distintos, por ejemplo en la página Namecheap el precio es de $11,28 dólares al año, y en DonWeb tiene un precio de $15.900 al año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Elegimos </w:t>
      </w:r>
      <w:r w:rsidDel="00000000" w:rsidR="00000000" w:rsidRPr="00000000">
        <w:rPr>
          <w:rFonts w:ascii="Arial" w:cs="Arial" w:eastAsia="Arial" w:hAnsi="Arial"/>
          <w:rtl w:val="0"/>
        </w:rPr>
        <w:t xml:space="preserve">.com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ser el TLD de mayor alcance y reconocimiento a nivel mundial, generando mayor confianza y facilidad de recordación en el usuario.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20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Diagrama Cliente Servidor: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https://canva.link/bz0wdt1616qqpve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400050</wp:posOffset>
            </wp:positionV>
            <wp:extent cx="7034213" cy="4095750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4213" cy="409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widowControl w:val="0"/>
        <w:spacing w:after="200" w:line="360" w:lineRule="auto"/>
        <w:ind w:left="720" w:firstLine="0"/>
        <w:rPr>
          <w:rFonts w:ascii="Arial" w:cs="Arial" w:eastAsia="Arial" w:hAnsi="Arial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Validación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Usuario Ingresa la URL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El usuario escribe una dirección web (ej: </w:t>
      </w:r>
      <w:r w:rsidDel="00000000" w:rsidR="00000000" w:rsidRPr="00000000">
        <w:rPr>
          <w:rFonts w:ascii="Arial" w:cs="Arial" w:eastAsia="Arial" w:hAnsi="Arial"/>
          <w:rtl w:val="0"/>
        </w:rPr>
        <w:t xml:space="preserve">www.ejemplo.com</w:t>
      </w:r>
      <w:r w:rsidDel="00000000" w:rsidR="00000000" w:rsidRPr="00000000">
        <w:rPr>
          <w:rFonts w:ascii="Arial" w:cs="Arial" w:eastAsia="Arial" w:hAnsi="Arial"/>
          <w:rtl w:val="0"/>
        </w:rPr>
        <w:t xml:space="preserve">) en la barra del navegador y presiona Enter. Este es el punto de partida de todo el proceso.</w:t>
      </w:r>
    </w:p>
    <w:p w:rsidR="00000000" w:rsidDel="00000000" w:rsidP="00000000" w:rsidRDefault="00000000" w:rsidRPr="00000000" w14:paraId="00000028">
      <w:pPr>
        <w:widowControl w:val="0"/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Resolución DNS — Traduce el Dominio a una IP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El navegador no entiende nombres de dominio, entiende direcciones IP. Por eso consulta a un servidor DNS (Domain Name System), que funciona como una agenda de contactos de internet: recibe el nombre del dominio y devuelve la IP del servidor donde está alojado el sitio. Sin este paso, el navegador no sabría a qué máquina conectarse.</w:t>
      </w:r>
    </w:p>
    <w:p w:rsidR="00000000" w:rsidDel="00000000" w:rsidP="00000000" w:rsidRDefault="00000000" w:rsidRPr="00000000" w14:paraId="00000029">
      <w:pPr>
        <w:widowControl w:val="0"/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Petición HTTP — GET /ruta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Con la IP ya conocida, el navegador establece una conexión con el servidor y le envía una petición HTTP de tipo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rtl w:val="0"/>
        </w:rPr>
        <w:t xml:space="preserve">, solicitando un recurso específico (por ejemplo, la página principal). Esta petición incluye el método GET, la ruta pedida y datos adicionales como el tipo de navegador o cookies.</w:t>
      </w:r>
    </w:p>
    <w:p w:rsidR="00000000" w:rsidDel="00000000" w:rsidP="00000000" w:rsidRDefault="00000000" w:rsidRPr="00000000" w14:paraId="0000002A">
      <w:pPr>
        <w:widowControl w:val="0"/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El servidor Procesa — Consulta la Base de Datos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El servidor recibe la petición y la procesa: puede consultar una base de datos, ejecutar lógica de negocio, o generar contenido dinámico según lo solicitado. Es la etapa donde se prepara la información que se va a devolver.</w:t>
      </w:r>
    </w:p>
    <w:p w:rsidR="00000000" w:rsidDel="00000000" w:rsidP="00000000" w:rsidRDefault="00000000" w:rsidRPr="00000000" w14:paraId="0000002B">
      <w:pPr>
        <w:widowControl w:val="0"/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Respuesta HTTP — Devuelve Recursos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El servidor arma una respuesta HTTP, que incluye un código de estado (por ejemplo 200 OK si salió todo bien, o 404 si el recurso no existe) y los archivos solicitados: HTML, CSS, JavaScript, imágenes, etc.</w:t>
      </w:r>
    </w:p>
    <w:p w:rsidR="00000000" w:rsidDel="00000000" w:rsidP="00000000" w:rsidRDefault="00000000" w:rsidRPr="00000000" w14:paraId="0000002C">
      <w:pPr>
        <w:widowControl w:val="0"/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Renderizado Final — La Pantalla Muestra la Página Completa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El navegador recibe esos recursos y los interpreta: arma el HTML, aplica los estilos CSS y ejecuta el JavaScript, hasta mostrar la página completa y funcional en la pantalla del usuario.</w:t>
      </w:r>
    </w:p>
    <w:p w:rsidR="00000000" w:rsidDel="00000000" w:rsidP="00000000" w:rsidRDefault="00000000" w:rsidRPr="00000000" w14:paraId="0000002D">
      <w:pPr>
        <w:widowControl w:val="0"/>
        <w:spacing w:after="20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20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0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20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20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20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Petición HTTP GET al Servidor Web: </w:t>
      </w:r>
    </w:p>
    <w:p w:rsidR="00000000" w:rsidDel="00000000" w:rsidP="00000000" w:rsidRDefault="00000000" w:rsidRPr="00000000" w14:paraId="00000033">
      <w:pPr>
        <w:widowControl w:val="0"/>
        <w:spacing w:after="20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2743200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widowControl w:val="0"/>
        <w:spacing w:after="20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429250" cy="5549627"/>
            <wp:effectExtent b="0" l="0" r="0" t="0"/>
            <wp:wrapSquare wrapText="bothSides" distB="114300" distT="114300" distL="114300" distR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5496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widowControl w:val="0"/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20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Respuesta del Servidor Enviando los Archivos o Recursos: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408918</wp:posOffset>
            </wp:positionV>
            <wp:extent cx="5731200" cy="4826000"/>
            <wp:effectExtent b="0" l="0" r="0" t="0"/>
            <wp:wrapSquare wrapText="bothSides" distB="114300" distT="114300" distL="114300" distR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widowControl w:val="0"/>
        <w:spacing w:after="20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5381625</wp:posOffset>
            </wp:positionV>
            <wp:extent cx="5731200" cy="2616200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widowControl w:val="0"/>
        <w:spacing w:after="20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20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784600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7" w:type="default"/>
      <w:headerReference r:id="rId18" w:type="first"/>
      <w:footerReference r:id="rId1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s_419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share/1dc81444-a710-4fc9-85ef-c09c38921d04" TargetMode="External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nva.link/bz0wdt1616qqpve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header" Target="header1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2.xml"/><Relationship Id="rId7" Type="http://schemas.openxmlformats.org/officeDocument/2006/relationships/image" Target="media/image6.png"/><Relationship Id="rId8" Type="http://schemas.openxmlformats.org/officeDocument/2006/relationships/hyperlink" Target="http://sisifocordob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T6A99DAm6b/VatIWTrBAsN+VyA==">CgMxLjAyDmgucnQ2ZDE3NmI4dmxiMg5oLjU2cXV6cjZhNTl0cDIOaC5hbjc3NGZxdHh4MWcyDmguMmR3ZTA1YjNjbTIzMg5oLm5wMzJ1aXNzb2ZiYjgAciExdk9maVpvWUxNTUxCbWE0dFFHWVVqQllfYTIzNi1JdXg=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