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color w:val="1f497d"/>
          <w:sz w:val="44"/>
        </w:rPr>
        <w:t xml:space="preserve">Experimentación sobre Qsimov</w:t>
      </w:r>
      <w:r/>
    </w:p>
    <w:p>
      <w:pPr>
        <w:pBdr/>
        <w:spacing/>
        <w:ind/>
        <w:jc w:val="center"/>
        <w:rPr/>
      </w:pPr>
      <w:r>
        <w:rPr>
          <w:i/>
          <w:color w:val="444444"/>
          <w:sz w:val="26"/>
        </w:rPr>
        <w:t xml:space="preserve">Reentrenamiento incremental de redes neuronales sin olvido catastrófico</w:t>
      </w:r>
      <w:r/>
    </w:p>
    <w:p>
      <w:pPr>
        <w:pBdr/>
        <w:spacing/>
        <w:ind/>
        <w:rPr/>
      </w:pPr>
      <w:r/>
      <w:r/>
    </w:p>
    <w:p>
      <w:pPr>
        <w:pBdr/>
        <w:spacing/>
        <w:ind/>
        <w:rPr/>
      </w:pPr>
      <w:r/>
      <w:r/>
    </w:p>
    <w:p>
      <w:pPr>
        <w:pStyle w:val="693"/>
        <w:pBdr/>
        <w:spacing/>
        <w:ind/>
        <w:rPr/>
      </w:pPr>
      <w:r>
        <w:rPr>
          <w:color w:val="1f497d"/>
        </w:rPr>
        <w:t xml:space="preserve">1. Introducción</w:t>
      </w:r>
      <w:r/>
    </w:p>
    <w:p>
      <w:pPr>
        <w:pBdr/>
        <w:spacing/>
        <w:ind/>
        <w:rPr/>
      </w:pPr>
      <w:r>
        <w:rPr>
          <w:b w:val="0"/>
          <w:i w:val="0"/>
          <w:sz w:val="20"/>
        </w:rPr>
        <w:t xml:space="preserve">Este documento recoge el trabajo experimental realizado sobre Qsimov, una librería Python diseñada para reentrenar redes neuronales con nuevos datos sin que el modelo olvide lo que ya aprendía. El problem</w:t>
      </w:r>
      <w:r>
        <w:rPr>
          <w:b w:val="0"/>
          <w:i w:val="0"/>
          <w:sz w:val="20"/>
        </w:rPr>
        <w:t xml:space="preserve">a que se aborda es el denominado olvido catastrófico: cuando una red entrenada para reconocer un conjunto de clases es reentrenada con clases nuevas usando descenso de gradiente estándar, tiende a perder el conocimiento acumulado sobre las clases antiguas.</w:t>
      </w:r>
      <w:r/>
    </w:p>
    <w:p>
      <w:pPr>
        <w:pBdr/>
        <w:spacing/>
        <w:ind/>
        <w:rPr/>
      </w:pPr>
      <w:r>
        <w:rPr>
          <w:b w:val="0"/>
          <w:i w:val="0"/>
          <w:sz w:val="20"/>
        </w:rPr>
        <w:t xml:space="preserve">Qsimov plantea un mecanismo alternativo que opera sobre el subconjunto de pesos de la red que son relevantes para cada en</w:t>
      </w:r>
      <w:r>
        <w:rPr>
          <w:b w:val="0"/>
          <w:i w:val="0"/>
          <w:sz w:val="20"/>
        </w:rPr>
        <w:t xml:space="preserve">trada, al que denomina caminos activos o paths. El objetivo de los experimentos es validar si la librería cumple su promesa central: reentrenamiento extremadamente rápido sin olvido catastrófico, y caracterizar con precisión sus capacidades y limitaciones.</w:t>
      </w:r>
      <w:r/>
    </w:p>
    <w:p>
      <w:pPr>
        <w:pStyle w:val="693"/>
        <w:pBdr/>
        <w:spacing/>
        <w:ind/>
        <w:rPr/>
      </w:pPr>
      <w:r>
        <w:rPr>
          <w:color w:val="1f497d"/>
        </w:rPr>
        <w:t xml:space="preserve">2. La librería Qsimov: funcionamiento</w:t>
      </w:r>
      <w:r/>
    </w:p>
    <w:p>
      <w:pPr>
        <w:pBdr/>
        <w:spacing/>
        <w:ind/>
        <w:rPr/>
      </w:pPr>
      <w:r>
        <w:rPr>
          <w:b w:val="0"/>
          <w:i w:val="0"/>
          <w:sz w:val="20"/>
        </w:rPr>
        <w:t xml:space="preserve">Una red neuronal estándar aplica todos sus pesos a cualquier entrada. Qsimov introduce dos modificaciones sobre la arquitectura base:</w:t>
      </w:r>
      <w:r/>
    </w:p>
    <w:p>
      <w:pPr>
        <w:pBdr/>
        <w:spacing/>
        <w:ind/>
        <w:rPr/>
      </w:pPr>
      <w:r>
        <w:rPr>
          <w:b/>
          <w:i w:val="0"/>
          <w:sz w:val="20"/>
        </w:rPr>
        <w:t xml:space="preserve">PathSelector</w:t>
      </w:r>
      <w:r/>
    </w:p>
    <w:p>
      <w:pPr>
        <w:pBdr/>
        <w:spacing/>
        <w:ind/>
        <w:rPr/>
      </w:pPr>
      <w:r>
        <w:rPr>
          <w:b w:val="0"/>
          <w:i w:val="0"/>
          <w:sz w:val="20"/>
        </w:rPr>
        <w:t xml:space="preserve">Es la red base con un cuello de botella estrecho justo antes de l</w:t>
      </w:r>
      <w:r>
        <w:rPr>
          <w:b w:val="0"/>
          <w:i w:val="0"/>
          <w:sz w:val="20"/>
        </w:rPr>
        <w:t xml:space="preserve">a capa de salida. Gracias a est</w:t>
      </w:r>
      <w:r>
        <w:rPr>
          <w:b w:val="0"/>
          <w:i w:val="0"/>
          <w:sz w:val="20"/>
          <w:lang w:val="es-ES"/>
        </w:rPr>
        <w:t xml:space="preserve">o </w:t>
      </w:r>
      <w:r>
        <w:rPr>
          <w:b w:val="0"/>
          <w:i w:val="0"/>
          <w:sz w:val="20"/>
        </w:rPr>
        <w:t xml:space="preserve">cada entrada activa solo una fracción de las neuronas superiores: ese subconjunto activo es el camino (path) de esa entrada. El PathSelector se entrena igual que una red estándar, mediante descenso de gradiente.</w:t>
      </w:r>
      <w:r/>
    </w:p>
    <w:p>
      <w:pPr>
        <w:pBdr/>
        <w:spacing/>
        <w:ind/>
        <w:rPr/>
      </w:pPr>
      <w:r>
        <w:rPr>
          <w:b/>
          <w:i w:val="0"/>
          <w:sz w:val="20"/>
        </w:rPr>
        <w:t xml:space="preserve">Módulo Qsimov sobre el PathSelector</w:t>
      </w:r>
      <w:r/>
    </w:p>
    <w:p>
      <w:pPr>
        <w:pBdr/>
        <w:spacing/>
        <w:ind/>
        <w:rPr/>
      </w:pPr>
      <w:r>
        <w:rPr>
          <w:b w:val="0"/>
          <w:i w:val="0"/>
          <w:sz w:val="20"/>
        </w:rPr>
        <w:t xml:space="preserve">Una vez fijado el PathSelector (sus pesos no cambian), Qsimov aprende únicamente los pesos de la capa de salida que son relevantes para cada path activo. Existen dos estrategias de aprendizaje:</w:t>
      </w:r>
      <w:r/>
    </w:p>
    <w:p>
      <w:pPr>
        <w:pBdr/>
        <w:spacing/>
        <w:ind/>
        <w:rPr/>
      </w:pPr>
      <w:r>
        <w:rPr>
          <w:b w:val="0"/>
          <w:i w:val="0"/>
          <w:sz w:val="20"/>
        </w:rPr>
        <w:t xml:space="preserve">   • QsimovLinearSystem: formula el problema como un sistema de ecuaciones Ax = b y lo resuelve en </w:t>
      </w:r>
      <w:r>
        <w:rPr>
          <w:b w:val="0"/>
          <w:i w:val="0"/>
          <w:sz w:val="20"/>
        </w:rPr>
        <w:t xml:space="preserve">un solo paso (mínimos cuadrados). Si se acumulan las ecuaciones de las fases anteriores (linear_accum) antes de resolver, el sistema incorpora todas las restricciones históricas y no puede olvidar lo visto. Requiere un único paso de resolución, sin epochs.</w:t>
      </w:r>
      <w:r/>
    </w:p>
    <w:p>
      <w:pPr>
        <w:pBdr/>
        <w:spacing/>
        <w:ind/>
        <w:rPr/>
      </w:pPr>
      <w:r>
        <w:rPr>
          <w:b w:val="0"/>
          <w:i w:val="0"/>
          <w:sz w:val="20"/>
        </w:rPr>
        <w:t xml:space="preserve">   • QsimovGradient: aplica descenso de gradiente solo sobre los pesos activos del path correspondiente a cada entrada, durante varias epochs. No acumula ecuaciones: si no se dispone de los datos antiguos, puede olvidar.</w:t>
      </w:r>
      <w:r/>
    </w:p>
    <w:p>
      <w:pPr>
        <w:pBdr/>
        <w:spacing/>
        <w:ind/>
        <w:rPr/>
      </w:pPr>
      <w:r>
        <w:rPr>
          <w:b w:val="0"/>
          <w:i w:val="0"/>
          <w:sz w:val="20"/>
        </w:rPr>
        <w:t xml:space="preserve">El parámetro initial_layer define</w:t>
      </w:r>
      <w:r>
        <w:rPr>
          <w:b w:val="0"/>
          <w:i w:val="0"/>
          <w:sz w:val="20"/>
        </w:rPr>
        <w:t xml:space="preserve"> a partir de qué capa de la red se construye la lógica de paths. Solo son válidas capas densas (Dense/Linear) o convolucionales; si se señala una capa de activación (ReLU, Softmax) se produce un error. Con initial_layer=-2 el sistema usa la penúltima capa.</w:t>
      </w:r>
      <w:r/>
    </w:p>
    <w:p>
      <w:pPr>
        <w:pStyle w:val="693"/>
        <w:pBdr/>
        <w:spacing/>
        <w:ind/>
        <w:rPr/>
      </w:pPr>
      <w:r>
        <w:rPr>
          <w:color w:val="1f497d"/>
        </w:rPr>
        <w:t xml:space="preserve">3. Datasets y configuración experimental</w:t>
      </w:r>
      <w:r/>
    </w:p>
    <w:p>
      <w:pPr>
        <w:pStyle w:val="694"/>
        <w:pBdr/>
        <w:spacing/>
        <w:ind/>
        <w:rPr/>
      </w:pPr>
      <w:r>
        <w:rPr>
          <w:color w:val="1f497d"/>
        </w:rPr>
        <w:t xml:space="preserve">3.1 Datasets utilizados</w:t>
      </w: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1587" w:type="dxa"/>
          </w:tcPr>
          <w:p>
            <w:pPr>
              <w:pBdr/>
              <w:spacing/>
              <w:ind/>
              <w:jc w:val="center"/>
              <w:rPr/>
            </w:pPr>
            <w:r>
              <w:rPr>
                <w:b/>
                <w:color w:val="ffffff"/>
                <w:sz w:val="18"/>
              </w:rPr>
              <w:t xml:space="preserve">Dataset</w:t>
            </w:r>
            <w:r/>
          </w:p>
        </w:tc>
        <w:tc>
          <w:tcPr>
            <w:shd w:val="clear" w:color="auto" w:fill="1f497d"/>
            <w:tcBorders/>
            <w:tcW w:w="2381" w:type="dxa"/>
          </w:tcPr>
          <w:p>
            <w:pPr>
              <w:pBdr/>
              <w:spacing/>
              <w:ind/>
              <w:jc w:val="center"/>
              <w:rPr/>
            </w:pPr>
            <w:r>
              <w:rPr>
                <w:b/>
                <w:color w:val="ffffff"/>
                <w:sz w:val="18"/>
              </w:rPr>
              <w:t xml:space="preserve">Clases</w:t>
            </w:r>
            <w:r/>
          </w:p>
        </w:tc>
        <w:tc>
          <w:tcPr>
            <w:shd w:val="clear" w:color="auto" w:fill="1f497d"/>
            <w:tcBorders/>
            <w:tcW w:w="1020" w:type="dxa"/>
          </w:tcPr>
          <w:p>
            <w:pPr>
              <w:pBdr/>
              <w:spacing/>
              <w:ind/>
              <w:jc w:val="center"/>
              <w:rPr/>
            </w:pPr>
            <w:r>
              <w:rPr>
                <w:b/>
                <w:color w:val="ffffff"/>
                <w:sz w:val="18"/>
              </w:rPr>
              <w:t xml:space="preserve">Train</w:t>
            </w:r>
            <w:r/>
          </w:p>
        </w:tc>
        <w:tc>
          <w:tcPr>
            <w:shd w:val="clear" w:color="auto" w:fill="1f497d"/>
            <w:tcBorders/>
            <w:tcW w:w="1020" w:type="dxa"/>
          </w:tcPr>
          <w:p>
            <w:pPr>
              <w:pBdr/>
              <w:spacing/>
              <w:ind/>
              <w:jc w:val="center"/>
              <w:rPr/>
            </w:pPr>
            <w:r>
              <w:rPr>
                <w:b/>
                <w:color w:val="ffffff"/>
                <w:sz w:val="18"/>
              </w:rPr>
              <w:t xml:space="preserve">Test</w:t>
            </w:r>
            <w:r/>
          </w:p>
        </w:tc>
        <w:tc>
          <w:tcPr>
            <w:shd w:val="clear" w:color="auto" w:fill="1f497d"/>
            <w:tcBorders/>
            <w:tcW w:w="1474" w:type="dxa"/>
          </w:tcPr>
          <w:p>
            <w:pPr>
              <w:pBdr/>
              <w:spacing/>
              <w:ind/>
              <w:jc w:val="center"/>
              <w:rPr/>
            </w:pPr>
            <w:r>
              <w:rPr>
                <w:b/>
                <w:color w:val="ffffff"/>
                <w:sz w:val="18"/>
              </w:rPr>
              <w:t xml:space="preserve">Resolución</w:t>
            </w:r>
            <w:r/>
          </w:p>
        </w:tc>
        <w:tc>
          <w:tcPr>
            <w:shd w:val="clear" w:color="auto" w:fill="1f497d"/>
            <w:tcBorders/>
            <w:tcW w:w="2835" w:type="dxa"/>
          </w:tcPr>
          <w:p>
            <w:pPr>
              <w:pBdr/>
              <w:spacing/>
              <w:ind/>
              <w:jc w:val="center"/>
              <w:rPr/>
            </w:pPr>
            <w:r>
              <w:rPr>
                <w:b/>
                <w:color w:val="ffffff"/>
                <w:sz w:val="18"/>
              </w:rPr>
              <w:t xml:space="preserve">Dominio</w:t>
            </w:r>
            <w:r/>
          </w:p>
        </w:tc>
      </w:tr>
      <w:tr>
        <w:trPr/>
        <w:tc>
          <w:tcPr>
            <w:tcBorders/>
            <w:tcW w:w="1587" w:type="dxa"/>
          </w:tcPr>
          <w:p>
            <w:pPr>
              <w:pBdr/>
              <w:spacing/>
              <w:ind/>
              <w:jc w:val="center"/>
              <w:rPr/>
            </w:pPr>
            <w:r>
              <w:rPr>
                <w:sz w:val="18"/>
              </w:rPr>
              <w:t xml:space="preserve">MNIST</w:t>
            </w:r>
            <w:r/>
          </w:p>
        </w:tc>
        <w:tc>
          <w:tcPr>
            <w:tcBorders/>
            <w:tcW w:w="2381" w:type="dxa"/>
          </w:tcPr>
          <w:p>
            <w:pPr>
              <w:pBdr/>
              <w:spacing/>
              <w:ind/>
              <w:jc w:val="center"/>
              <w:rPr/>
            </w:pPr>
            <w:r>
              <w:rPr>
                <w:sz w:val="18"/>
              </w:rPr>
              <w:t xml:space="preserve">10 (dígitos 0-9)</w:t>
            </w:r>
            <w:r/>
          </w:p>
        </w:tc>
        <w:tc>
          <w:tcPr>
            <w:tcBorders/>
            <w:tcW w:w="1020" w:type="dxa"/>
          </w:tcPr>
          <w:p>
            <w:pPr>
              <w:pBdr/>
              <w:spacing/>
              <w:ind/>
              <w:jc w:val="center"/>
              <w:rPr/>
            </w:pPr>
            <w:r>
              <w:rPr>
                <w:sz w:val="18"/>
              </w:rPr>
              <w:t xml:space="preserve">60 000</w:t>
            </w:r>
            <w:r/>
          </w:p>
        </w:tc>
        <w:tc>
          <w:tcPr>
            <w:tcBorders/>
            <w:tcW w:w="1020" w:type="dxa"/>
          </w:tcPr>
          <w:p>
            <w:pPr>
              <w:pBdr/>
              <w:spacing/>
              <w:ind/>
              <w:jc w:val="center"/>
              <w:rPr/>
            </w:pPr>
            <w:r>
              <w:rPr>
                <w:sz w:val="18"/>
              </w:rPr>
              <w:t xml:space="preserve">10 000</w:t>
            </w:r>
            <w:r/>
          </w:p>
        </w:tc>
        <w:tc>
          <w:tcPr>
            <w:tcBorders/>
            <w:tcW w:w="1474" w:type="dxa"/>
          </w:tcPr>
          <w:p>
            <w:pPr>
              <w:pBdr/>
              <w:spacing/>
              <w:ind/>
              <w:jc w:val="center"/>
              <w:rPr/>
            </w:pPr>
            <w:r>
              <w:rPr>
                <w:sz w:val="18"/>
              </w:rPr>
              <w:t xml:space="preserve">28×28 px gris</w:t>
            </w:r>
            <w:r/>
          </w:p>
        </w:tc>
        <w:tc>
          <w:tcPr>
            <w:tcBorders/>
            <w:tcW w:w="2835" w:type="dxa"/>
          </w:tcPr>
          <w:p>
            <w:pPr>
              <w:pBdr/>
              <w:spacing/>
              <w:ind/>
              <w:jc w:val="center"/>
              <w:rPr/>
            </w:pPr>
            <w:r>
              <w:rPr>
                <w:sz w:val="18"/>
              </w:rPr>
              <w:t xml:space="preserve">Dígitos escritos a mano</w:t>
            </w:r>
            <w:r/>
          </w:p>
        </w:tc>
      </w:tr>
      <w:tr>
        <w:trPr/>
        <w:tc>
          <w:tcPr>
            <w:shd w:val="clear" w:color="auto" w:fill="edf1f7"/>
            <w:tcBorders/>
            <w:tcW w:w="1587" w:type="dxa"/>
          </w:tcPr>
          <w:p>
            <w:pPr>
              <w:pBdr/>
              <w:spacing/>
              <w:ind/>
              <w:jc w:val="center"/>
              <w:rPr/>
            </w:pPr>
            <w:r>
              <w:rPr>
                <w:sz w:val="18"/>
              </w:rPr>
              <w:t xml:space="preserve">CIFAR-10</w:t>
            </w:r>
            <w:r/>
          </w:p>
        </w:tc>
        <w:tc>
          <w:tcPr>
            <w:shd w:val="clear" w:color="auto" w:fill="edf1f7"/>
            <w:tcBorders/>
            <w:tcW w:w="2381" w:type="dxa"/>
          </w:tcPr>
          <w:p>
            <w:pPr>
              <w:pBdr/>
              <w:spacing/>
              <w:ind/>
              <w:jc w:val="center"/>
              <w:rPr/>
            </w:pPr>
            <w:r>
              <w:rPr>
                <w:sz w:val="18"/>
              </w:rPr>
              <w:t xml:space="preserve">10 (vehículos / animales)</w:t>
            </w:r>
            <w:r/>
          </w:p>
        </w:tc>
        <w:tc>
          <w:tcPr>
            <w:shd w:val="clear" w:color="auto" w:fill="edf1f7"/>
            <w:tcBorders/>
            <w:tcW w:w="1020" w:type="dxa"/>
          </w:tcPr>
          <w:p>
            <w:pPr>
              <w:pBdr/>
              <w:spacing/>
              <w:ind/>
              <w:jc w:val="center"/>
              <w:rPr/>
            </w:pPr>
            <w:r>
              <w:rPr>
                <w:sz w:val="18"/>
              </w:rPr>
              <w:t xml:space="preserve">50 000</w:t>
            </w:r>
            <w:r/>
          </w:p>
        </w:tc>
        <w:tc>
          <w:tcPr>
            <w:shd w:val="clear" w:color="auto" w:fill="edf1f7"/>
            <w:tcBorders/>
            <w:tcW w:w="1020" w:type="dxa"/>
          </w:tcPr>
          <w:p>
            <w:pPr>
              <w:pBdr/>
              <w:spacing/>
              <w:ind/>
              <w:jc w:val="center"/>
              <w:rPr/>
            </w:pPr>
            <w:r>
              <w:rPr>
                <w:sz w:val="18"/>
              </w:rPr>
              <w:t xml:space="preserve">10 000</w:t>
            </w:r>
            <w:r/>
          </w:p>
        </w:tc>
        <w:tc>
          <w:tcPr>
            <w:shd w:val="clear" w:color="auto" w:fill="edf1f7"/>
            <w:tcBorders/>
            <w:tcW w:w="1474" w:type="dxa"/>
          </w:tcPr>
          <w:p>
            <w:pPr>
              <w:pBdr/>
              <w:spacing/>
              <w:ind/>
              <w:jc w:val="center"/>
              <w:rPr/>
            </w:pPr>
            <w:r>
              <w:rPr>
                <w:sz w:val="18"/>
              </w:rPr>
              <w:t xml:space="preserve">32×32 px RGB</w:t>
            </w:r>
            <w:r/>
          </w:p>
        </w:tc>
        <w:tc>
          <w:tcPr>
            <w:shd w:val="clear" w:color="auto" w:fill="edf1f7"/>
            <w:tcBorders/>
            <w:tcW w:w="2835" w:type="dxa"/>
          </w:tcPr>
          <w:p>
            <w:pPr>
              <w:pBdr/>
              <w:spacing/>
              <w:ind/>
              <w:jc w:val="center"/>
              <w:rPr/>
            </w:pPr>
            <w:r>
              <w:rPr>
                <w:sz w:val="18"/>
              </w:rPr>
              <w:t xml:space="preserve">Fotografías naturales</w:t>
            </w:r>
            <w:r/>
          </w:p>
        </w:tc>
      </w:tr>
      <w:tr>
        <w:trPr/>
        <w:tc>
          <w:tcPr>
            <w:tcBorders/>
            <w:tcW w:w="1587" w:type="dxa"/>
          </w:tcPr>
          <w:p>
            <w:pPr>
              <w:pBdr/>
              <w:spacing/>
              <w:ind/>
              <w:jc w:val="center"/>
              <w:rPr/>
            </w:pPr>
            <w:r>
              <w:rPr>
                <w:sz w:val="18"/>
              </w:rPr>
              <w:t xml:space="preserve">ImageNet-100</w:t>
            </w:r>
            <w:r/>
          </w:p>
        </w:tc>
        <w:tc>
          <w:tcPr>
            <w:tcBorders/>
            <w:tcW w:w="2381" w:type="dxa"/>
          </w:tcPr>
          <w:p>
            <w:pPr>
              <w:pBdr/>
              <w:spacing/>
              <w:ind/>
              <w:jc w:val="center"/>
              <w:rPr/>
            </w:pPr>
            <w:r>
              <w:rPr>
                <w:sz w:val="18"/>
              </w:rPr>
              <w:t xml:space="preserve">100 (subconjunto ImageNet)</w:t>
            </w:r>
            <w:r/>
          </w:p>
        </w:tc>
        <w:tc>
          <w:tcPr>
            <w:tcBorders/>
            <w:tcW w:w="1020" w:type="dxa"/>
          </w:tcPr>
          <w:p>
            <w:pPr>
              <w:pBdr/>
              <w:spacing/>
              <w:ind/>
              <w:jc w:val="center"/>
              <w:rPr/>
            </w:pPr>
            <w:r>
              <w:rPr>
                <w:sz w:val="18"/>
              </w:rPr>
              <w:t xml:space="preserve">~40 000</w:t>
            </w:r>
            <w:r/>
          </w:p>
        </w:tc>
        <w:tc>
          <w:tcPr>
            <w:tcBorders/>
            <w:tcW w:w="1020" w:type="dxa"/>
          </w:tcPr>
          <w:p>
            <w:pPr>
              <w:pBdr/>
              <w:spacing/>
              <w:ind/>
              <w:jc w:val="center"/>
              <w:rPr/>
            </w:pPr>
            <w:r>
              <w:rPr>
                <w:sz w:val="18"/>
              </w:rPr>
              <w:t xml:space="preserve">5 000</w:t>
            </w:r>
            <w:r/>
          </w:p>
        </w:tc>
        <w:tc>
          <w:tcPr>
            <w:tcBorders/>
            <w:tcW w:w="1474" w:type="dxa"/>
          </w:tcPr>
          <w:p>
            <w:pPr>
              <w:pBdr/>
              <w:spacing/>
              <w:ind/>
              <w:jc w:val="center"/>
              <w:rPr/>
            </w:pPr>
            <w:r>
              <w:rPr>
                <w:sz w:val="18"/>
              </w:rPr>
              <w:t xml:space="preserve">64×64 px RGB</w:t>
            </w:r>
            <w:r/>
          </w:p>
        </w:tc>
        <w:tc>
          <w:tcPr>
            <w:tcBorders/>
            <w:tcW w:w="2835" w:type="dxa"/>
          </w:tcPr>
          <w:p>
            <w:pPr>
              <w:pBdr/>
              <w:spacing/>
              <w:ind/>
              <w:jc w:val="center"/>
              <w:rPr/>
            </w:pPr>
            <w:r>
              <w:rPr>
                <w:sz w:val="18"/>
              </w:rPr>
              <w:t xml:space="preserve">Fotografías naturales (variedad alta)</w:t>
            </w:r>
            <w:r/>
          </w:p>
        </w:tc>
      </w:tr>
    </w:tbl>
    <w:p>
      <w:pPr>
        <w:pBdr/>
        <w:spacing/>
        <w:ind/>
        <w:rPr/>
      </w:pPr>
      <w:r/>
      <w:r/>
    </w:p>
    <w:p>
      <w:pPr>
        <w:pStyle w:val="694"/>
        <w:pBdr/>
        <w:spacing/>
        <w:ind/>
        <w:rPr/>
      </w:pPr>
      <w:r>
        <w:rPr>
          <w:color w:val="1f497d"/>
        </w:rPr>
        <w:t xml:space="preserve">3.2 Arquitecturas usadas por dataset</w:t>
      </w:r>
      <w:r/>
    </w:p>
    <w:tbl>
      <w:tblPr>
        <w:tblStyle w:val="753"/>
        <w:tblW w:w="0" w:type="auto"/>
        <w:tblBorders/>
        <w:tblLook w:val="04A0" w:firstRow="1" w:lastRow="0" w:firstColumn="1" w:lastColumn="0" w:noHBand="0" w:noVBand="1"/>
      </w:tblPr>
      <w:tblGrid>
        <w:gridCol w:w="2266"/>
        <w:gridCol w:w="2266"/>
        <w:gridCol w:w="2266"/>
        <w:gridCol w:w="2266"/>
      </w:tblGrid>
      <w:tr>
        <w:trPr/>
        <w:tc>
          <w:tcPr>
            <w:shd w:val="clear" w:color="auto" w:fill="1f497d"/>
            <w:tcBorders/>
            <w:tcW w:w="1587" w:type="dxa"/>
          </w:tcPr>
          <w:p>
            <w:pPr>
              <w:pBdr/>
              <w:spacing/>
              <w:ind/>
              <w:jc w:val="center"/>
              <w:rPr/>
            </w:pPr>
            <w:r>
              <w:rPr>
                <w:b/>
                <w:color w:val="ffffff"/>
                <w:sz w:val="18"/>
              </w:rPr>
              <w:t xml:space="preserve">Dataset</w:t>
            </w:r>
            <w:r/>
          </w:p>
        </w:tc>
        <w:tc>
          <w:tcPr>
            <w:shd w:val="clear" w:color="auto" w:fill="1f497d"/>
            <w:tcBorders/>
            <w:tcW w:w="2551" w:type="dxa"/>
          </w:tcPr>
          <w:p>
            <w:pPr>
              <w:pBdr/>
              <w:spacing/>
              <w:ind/>
              <w:jc w:val="center"/>
              <w:rPr/>
            </w:pPr>
            <w:r>
              <w:rPr>
                <w:b/>
                <w:color w:val="ffffff"/>
                <w:sz w:val="18"/>
              </w:rPr>
              <w:t xml:space="preserve">Arquitectura base</w:t>
            </w:r>
            <w:r/>
          </w:p>
        </w:tc>
        <w:tc>
          <w:tcPr>
            <w:shd w:val="clear" w:color="auto" w:fill="1f497d"/>
            <w:tcBorders/>
            <w:tcW w:w="1814" w:type="dxa"/>
          </w:tcPr>
          <w:p>
            <w:pPr>
              <w:pBdr/>
              <w:spacing/>
              <w:ind/>
              <w:jc w:val="center"/>
              <w:rPr/>
            </w:pPr>
            <w:r>
              <w:rPr>
                <w:b/>
                <w:color w:val="ffffff"/>
                <w:sz w:val="18"/>
              </w:rPr>
              <w:t xml:space="preserve">Parámetros totales</w:t>
            </w:r>
            <w:r/>
          </w:p>
        </w:tc>
        <w:tc>
          <w:tcPr>
            <w:shd w:val="clear" w:color="auto" w:fill="1f497d"/>
            <w:tcBorders/>
            <w:tcW w:w="3969" w:type="dxa"/>
          </w:tcPr>
          <w:p>
            <w:pPr>
              <w:pBdr/>
              <w:spacing/>
              <w:ind/>
              <w:jc w:val="center"/>
              <w:rPr/>
            </w:pPr>
            <w:r>
              <w:rPr>
                <w:b/>
                <w:color w:val="ffffff"/>
                <w:sz w:val="18"/>
              </w:rPr>
              <w:t xml:space="preserve">Layers relevantes</w:t>
            </w:r>
            <w:r/>
          </w:p>
        </w:tc>
      </w:tr>
      <w:tr>
        <w:trPr/>
        <w:tc>
          <w:tcPr>
            <w:tcBorders/>
            <w:tcW w:w="1587" w:type="dxa"/>
          </w:tcPr>
          <w:p>
            <w:pPr>
              <w:pBdr/>
              <w:spacing/>
              <w:ind/>
              <w:jc w:val="center"/>
              <w:rPr/>
            </w:pPr>
            <w:r>
              <w:rPr>
                <w:sz w:val="18"/>
              </w:rPr>
              <w:t xml:space="preserve">MNIST</w:t>
            </w:r>
            <w:r/>
          </w:p>
        </w:tc>
        <w:tc>
          <w:tcPr>
            <w:tcBorders/>
            <w:tcW w:w="2551" w:type="dxa"/>
          </w:tcPr>
          <w:p>
            <w:pPr>
              <w:pBdr/>
              <w:spacing/>
              <w:ind/>
              <w:jc w:val="center"/>
              <w:rPr/>
            </w:pPr>
            <w:r>
              <w:rPr>
                <w:sz w:val="18"/>
              </w:rPr>
              <w:t xml:space="preserve">CNN simple</w:t>
            </w:r>
            <w:r/>
          </w:p>
        </w:tc>
        <w:tc>
          <w:tcPr>
            <w:tcBorders/>
            <w:tcW w:w="1814" w:type="dxa"/>
          </w:tcPr>
          <w:p>
            <w:pPr>
              <w:pBdr/>
              <w:spacing/>
              <w:ind/>
              <w:jc w:val="center"/>
              <w:rPr/>
            </w:pPr>
            <w:r>
              <w:rPr>
                <w:sz w:val="18"/>
              </w:rPr>
              <w:t xml:space="preserve">~18 000</w:t>
            </w:r>
            <w:r/>
          </w:p>
        </w:tc>
        <w:tc>
          <w:tcPr>
            <w:tcBorders/>
            <w:tcW w:w="3969" w:type="dxa"/>
          </w:tcPr>
          <w:p>
            <w:pPr>
              <w:pBdr/>
              <w:spacing/>
              <w:ind/>
              <w:jc w:val="center"/>
              <w:rPr/>
            </w:pPr>
            <w:r>
              <w:rPr>
                <w:sz w:val="18"/>
              </w:rPr>
              <w:t xml:space="preserve">Conv(32) → Pool → Conv(64) → Pool → Dense(256) → Dense(10)</w:t>
            </w:r>
            <w:r/>
          </w:p>
        </w:tc>
      </w:tr>
      <w:tr>
        <w:trPr/>
        <w:tc>
          <w:tcPr>
            <w:shd w:val="clear" w:color="auto" w:fill="edf1f7"/>
            <w:tcBorders/>
            <w:tcW w:w="1587" w:type="dxa"/>
          </w:tcPr>
          <w:p>
            <w:pPr>
              <w:pBdr/>
              <w:spacing/>
              <w:ind/>
              <w:jc w:val="center"/>
              <w:rPr/>
            </w:pPr>
            <w:r>
              <w:rPr>
                <w:sz w:val="18"/>
              </w:rPr>
              <w:t xml:space="preserve">CIFAR-10</w:t>
            </w:r>
            <w:r/>
          </w:p>
        </w:tc>
        <w:tc>
          <w:tcPr>
            <w:shd w:val="clear" w:color="auto" w:fill="edf1f7"/>
            <w:tcBorders/>
            <w:tcW w:w="2551" w:type="dxa"/>
          </w:tcPr>
          <w:p>
            <w:pPr>
              <w:pBdr/>
              <w:spacing/>
              <w:ind/>
              <w:jc w:val="center"/>
              <w:rPr/>
            </w:pPr>
            <w:r>
              <w:rPr>
                <w:sz w:val="18"/>
              </w:rPr>
              <w:t xml:space="preserve">LeNet</w:t>
            </w:r>
            <w:r/>
          </w:p>
        </w:tc>
        <w:tc>
          <w:tcPr>
            <w:shd w:val="clear" w:color="auto" w:fill="edf1f7"/>
            <w:tcBorders/>
            <w:tcW w:w="1814" w:type="dxa"/>
          </w:tcPr>
          <w:p>
            <w:pPr>
              <w:pBdr/>
              <w:spacing/>
              <w:ind/>
              <w:jc w:val="center"/>
              <w:rPr/>
            </w:pPr>
            <w:r>
              <w:rPr>
                <w:sz w:val="18"/>
              </w:rPr>
              <w:t xml:space="preserve">~1 600 000</w:t>
            </w:r>
            <w:r/>
          </w:p>
        </w:tc>
        <w:tc>
          <w:tcPr>
            <w:shd w:val="clear" w:color="auto" w:fill="edf1f7"/>
            <w:tcBorders/>
            <w:tcW w:w="3969" w:type="dxa"/>
          </w:tcPr>
          <w:p>
            <w:pPr>
              <w:pBdr/>
              <w:spacing/>
              <w:ind/>
              <w:jc w:val="center"/>
              <w:rPr/>
            </w:pPr>
            <w:r>
              <w:rPr>
                <w:sz w:val="18"/>
              </w:rPr>
              <w:t xml:space="preserve">Conv(6) → Pool → Conv(16) → Pool → Dense(120) → Dense(84) → Dense(10)</w:t>
            </w:r>
            <w:r/>
          </w:p>
        </w:tc>
      </w:tr>
      <w:tr>
        <w:trPr/>
        <w:tc>
          <w:tcPr>
            <w:tcBorders/>
            <w:tcW w:w="1587" w:type="dxa"/>
          </w:tcPr>
          <w:p>
            <w:pPr>
              <w:pBdr/>
              <w:spacing/>
              <w:ind/>
              <w:jc w:val="center"/>
              <w:rPr/>
            </w:pPr>
            <w:r>
              <w:rPr>
                <w:sz w:val="18"/>
              </w:rPr>
              <w:t xml:space="preserve">ImageNet-100</w:t>
            </w:r>
            <w:r/>
          </w:p>
        </w:tc>
        <w:tc>
          <w:tcPr>
            <w:tcBorders/>
            <w:tcW w:w="2551" w:type="dxa"/>
          </w:tcPr>
          <w:p>
            <w:pPr>
              <w:pBdr/>
              <w:spacing/>
              <w:ind/>
              <w:jc w:val="center"/>
              <w:rPr/>
            </w:pPr>
            <w:r>
              <w:rPr>
                <w:sz w:val="18"/>
              </w:rPr>
              <w:t xml:space="preserve">VGG16 </w:t>
            </w:r>
            <w:r/>
          </w:p>
        </w:tc>
        <w:tc>
          <w:tcPr>
            <w:tcBorders/>
            <w:tcW w:w="1814" w:type="dxa"/>
          </w:tcPr>
          <w:p>
            <w:pPr>
              <w:pBdr/>
              <w:spacing/>
              <w:ind/>
              <w:jc w:val="center"/>
              <w:rPr/>
            </w:pPr>
            <w:r>
              <w:rPr>
                <w:sz w:val="18"/>
              </w:rPr>
              <w:t xml:space="preserve">~3 400 000 (top)</w:t>
            </w:r>
            <w:r/>
          </w:p>
        </w:tc>
        <w:tc>
          <w:tcPr>
            <w:tcBorders/>
            <w:tcW w:w="3969" w:type="dxa"/>
          </w:tcPr>
          <w:p>
            <w:pPr>
              <w:pBdr/>
              <w:spacing/>
              <w:ind/>
              <w:jc w:val="center"/>
              <w:rPr/>
            </w:pPr>
            <w:r>
              <w:rPr>
                <w:sz w:val="18"/>
              </w:rPr>
              <w:t xml:space="preserve">Linear(25088→2048) → ReLU → Linear(2048→128) → ReLU → Linear(128→100)</w:t>
            </w:r>
            <w:r/>
          </w:p>
        </w:tc>
      </w:tr>
    </w:tbl>
    <w:p>
      <w:pPr>
        <w:pBdr/>
        <w:spacing/>
        <w:ind/>
        <w:rPr/>
      </w:pPr>
      <w:r/>
      <w:r/>
    </w:p>
    <w:p>
      <w:pPr>
        <w:pBdr/>
        <w:spacing/>
        <w:ind/>
        <w:rPr/>
      </w:pPr>
      <w:r>
        <w:rPr>
          <w:b w:val="0"/>
          <w:i w:val="0"/>
          <w:sz w:val="20"/>
        </w:rPr>
        <w:t xml:space="preserve">Para MNIST y CIFAR-10 la red completa se entrena desde cero. Para ImageNet-100 se usa VGG16 preentrenado en ImageNet-1K.</w:t>
      </w:r>
      <w:r/>
    </w:p>
    <w:p>
      <w:pPr>
        <w:pStyle w:val="694"/>
        <w:pBdr/>
        <w:spacing/>
        <w:ind/>
        <w:rPr/>
      </w:pPr>
      <w:r>
        <w:rPr>
          <w:color w:val="1f497d"/>
        </w:rPr>
        <w:t xml:space="preserve">3.3 Parámetros de Qsimov por dataset</w:t>
      </w: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1587" w:type="dxa"/>
          </w:tcPr>
          <w:p>
            <w:pPr>
              <w:pBdr/>
              <w:spacing/>
              <w:ind/>
              <w:jc w:val="center"/>
              <w:rPr/>
            </w:pPr>
            <w:r>
              <w:rPr>
                <w:b/>
                <w:color w:val="ffffff"/>
                <w:sz w:val="18"/>
              </w:rPr>
              <w:t xml:space="preserve">Dataset</w:t>
            </w:r>
            <w:r/>
          </w:p>
        </w:tc>
        <w:tc>
          <w:tcPr>
            <w:shd w:val="clear" w:color="auto" w:fill="1f497d"/>
            <w:tcBorders/>
            <w:tcW w:w="1984" w:type="dxa"/>
          </w:tcPr>
          <w:p>
            <w:pPr>
              <w:pBdr/>
              <w:spacing/>
              <w:ind/>
              <w:jc w:val="center"/>
              <w:rPr/>
            </w:pPr>
            <w:r>
              <w:rPr>
                <w:b/>
                <w:color w:val="ffffff"/>
                <w:sz w:val="18"/>
              </w:rPr>
              <w:t xml:space="preserve">initial_layer</w:t>
            </w:r>
            <w:r/>
          </w:p>
        </w:tc>
        <w:tc>
          <w:tcPr>
            <w:shd w:val="clear" w:color="auto" w:fill="1f497d"/>
            <w:tcBorders/>
            <w:tcW w:w="2154" w:type="dxa"/>
          </w:tcPr>
          <w:p>
            <w:pPr>
              <w:pBdr/>
              <w:spacing/>
              <w:ind/>
              <w:jc w:val="center"/>
              <w:rPr/>
            </w:pPr>
            <w:r>
              <w:rPr>
                <w:b/>
                <w:color w:val="ffffff"/>
                <w:sz w:val="18"/>
              </w:rPr>
              <w:t xml:space="preserve">n_paths (LinearSystem)</w:t>
            </w:r>
            <w:r/>
          </w:p>
        </w:tc>
        <w:tc>
          <w:tcPr>
            <w:shd w:val="clear" w:color="auto" w:fill="1f497d"/>
            <w:tcBorders/>
            <w:tcW w:w="1361" w:type="dxa"/>
          </w:tcPr>
          <w:p>
            <w:pPr>
              <w:pBdr/>
              <w:spacing/>
              <w:ind/>
              <w:jc w:val="center"/>
              <w:rPr/>
            </w:pPr>
            <w:r>
              <w:rPr>
                <w:b/>
                <w:color w:val="ffffff"/>
                <w:sz w:val="18"/>
              </w:rPr>
              <w:t xml:space="preserve">LR (Gradient)</w:t>
            </w:r>
            <w:r/>
          </w:p>
        </w:tc>
        <w:tc>
          <w:tcPr>
            <w:shd w:val="clear" w:color="auto" w:fill="1f497d"/>
            <w:tcBorders/>
            <w:tcW w:w="1928" w:type="dxa"/>
          </w:tcPr>
          <w:p>
            <w:pPr>
              <w:pBdr/>
              <w:spacing/>
              <w:ind/>
              <w:jc w:val="center"/>
              <w:rPr/>
            </w:pPr>
            <w:r>
              <w:rPr>
                <w:b/>
                <w:color w:val="ffffff"/>
                <w:sz w:val="18"/>
              </w:rPr>
              <w:t xml:space="preserve">Epochs (Gradient)</w:t>
            </w:r>
            <w:r/>
          </w:p>
        </w:tc>
        <w:tc>
          <w:tcPr>
            <w:shd w:val="clear" w:color="auto" w:fill="1f497d"/>
            <w:tcBorders/>
            <w:tcW w:w="1247" w:type="dxa"/>
          </w:tcPr>
          <w:p>
            <w:pPr>
              <w:pBdr/>
              <w:spacing/>
              <w:ind/>
              <w:jc w:val="center"/>
              <w:rPr/>
            </w:pPr>
            <w:r>
              <w:rPr>
                <w:b/>
                <w:color w:val="ffffff"/>
                <w:sz w:val="18"/>
              </w:rPr>
              <w:t xml:space="preserve">Batch size</w:t>
            </w:r>
            <w:r/>
          </w:p>
        </w:tc>
      </w:tr>
      <w:tr>
        <w:trPr/>
        <w:tc>
          <w:tcPr>
            <w:tcBorders/>
            <w:tcW w:w="1587" w:type="dxa"/>
          </w:tcPr>
          <w:p>
            <w:pPr>
              <w:pBdr/>
              <w:spacing/>
              <w:ind/>
              <w:jc w:val="center"/>
              <w:rPr/>
            </w:pPr>
            <w:r>
              <w:rPr>
                <w:sz w:val="18"/>
              </w:rPr>
              <w:t xml:space="preserve">MNIST</w:t>
            </w:r>
            <w:r/>
          </w:p>
        </w:tc>
        <w:tc>
          <w:tcPr>
            <w:tcBorders/>
            <w:tcW w:w="1984" w:type="dxa"/>
          </w:tcPr>
          <w:p>
            <w:pPr>
              <w:pBdr/>
              <w:spacing/>
              <w:ind/>
              <w:jc w:val="center"/>
              <w:rPr/>
            </w:pPr>
            <w:r>
              <w:rPr>
                <w:sz w:val="18"/>
              </w:rPr>
              <w:t xml:space="preserve">-2 (Dense 256→10)</w:t>
            </w:r>
            <w:r/>
          </w:p>
        </w:tc>
        <w:tc>
          <w:tcPr>
            <w:tcBorders/>
            <w:tcW w:w="2154" w:type="dxa"/>
          </w:tcPr>
          <w:p>
            <w:pPr>
              <w:pBdr/>
              <w:spacing/>
              <w:ind/>
              <w:jc w:val="center"/>
              <w:rPr/>
            </w:pPr>
            <w:r>
              <w:rPr>
                <w:sz w:val="18"/>
              </w:rPr>
              <w:t xml:space="preserve">529</w:t>
            </w:r>
            <w:r/>
          </w:p>
        </w:tc>
        <w:tc>
          <w:tcPr>
            <w:tcBorders/>
            <w:tcW w:w="1361" w:type="dxa"/>
          </w:tcPr>
          <w:p>
            <w:pPr>
              <w:pBdr/>
              <w:spacing/>
              <w:ind/>
              <w:jc w:val="center"/>
              <w:rPr/>
            </w:pPr>
            <w:r>
              <w:rPr>
                <w:sz w:val="18"/>
              </w:rPr>
              <w:t xml:space="preserve">1×10⁻³</w:t>
            </w:r>
            <w:r/>
          </w:p>
        </w:tc>
        <w:tc>
          <w:tcPr>
            <w:tcBorders/>
            <w:tcW w:w="1928" w:type="dxa"/>
          </w:tcPr>
          <w:p>
            <w:pPr>
              <w:pBdr/>
              <w:spacing/>
              <w:ind/>
              <w:jc w:val="center"/>
              <w:rPr/>
            </w:pPr>
            <w:r>
              <w:rPr>
                <w:sz w:val="18"/>
              </w:rPr>
              <w:t xml:space="preserve">10</w:t>
            </w:r>
            <w:r/>
          </w:p>
        </w:tc>
        <w:tc>
          <w:tcPr>
            <w:tcBorders/>
            <w:tcW w:w="1247" w:type="dxa"/>
          </w:tcPr>
          <w:p>
            <w:pPr>
              <w:pBdr/>
              <w:spacing/>
              <w:ind/>
              <w:jc w:val="center"/>
              <w:rPr/>
            </w:pPr>
            <w:r>
              <w:rPr>
                <w:sz w:val="18"/>
              </w:rPr>
              <w:t xml:space="preserve">128</w:t>
            </w:r>
            <w:r/>
          </w:p>
        </w:tc>
      </w:tr>
      <w:tr>
        <w:trPr/>
        <w:tc>
          <w:tcPr>
            <w:shd w:val="clear" w:color="auto" w:fill="edf1f7"/>
            <w:tcBorders/>
            <w:tcW w:w="1587" w:type="dxa"/>
          </w:tcPr>
          <w:p>
            <w:pPr>
              <w:pBdr/>
              <w:spacing/>
              <w:ind/>
              <w:jc w:val="center"/>
              <w:rPr/>
            </w:pPr>
            <w:r>
              <w:rPr>
                <w:sz w:val="18"/>
              </w:rPr>
              <w:t xml:space="preserve">CIFAR-10</w:t>
            </w:r>
            <w:r/>
          </w:p>
        </w:tc>
        <w:tc>
          <w:tcPr>
            <w:shd w:val="clear" w:color="auto" w:fill="edf1f7"/>
            <w:tcBorders/>
            <w:tcW w:w="1984" w:type="dxa"/>
          </w:tcPr>
          <w:p>
            <w:pPr>
              <w:pBdr/>
              <w:spacing/>
              <w:ind/>
              <w:jc w:val="center"/>
              <w:rPr/>
            </w:pPr>
            <w:r>
              <w:rPr>
                <w:sz w:val="18"/>
              </w:rPr>
              <w:t xml:space="preserve">-1 (Dense 84→10)</w:t>
            </w:r>
            <w:r/>
          </w:p>
        </w:tc>
        <w:tc>
          <w:tcPr>
            <w:shd w:val="clear" w:color="auto" w:fill="edf1f7"/>
            <w:tcBorders/>
            <w:tcW w:w="2154" w:type="dxa"/>
          </w:tcPr>
          <w:p>
            <w:pPr>
              <w:pBdr/>
              <w:spacing/>
              <w:ind/>
              <w:jc w:val="center"/>
              <w:rPr/>
            </w:pPr>
            <w:r>
              <w:rPr>
                <w:sz w:val="18"/>
              </w:rPr>
              <w:t xml:space="preserve">33</w:t>
            </w:r>
            <w:r/>
          </w:p>
        </w:tc>
        <w:tc>
          <w:tcPr>
            <w:shd w:val="clear" w:color="auto" w:fill="edf1f7"/>
            <w:tcBorders/>
            <w:tcW w:w="1361" w:type="dxa"/>
          </w:tcPr>
          <w:p>
            <w:pPr>
              <w:pBdr/>
              <w:spacing/>
              <w:ind/>
              <w:jc w:val="center"/>
              <w:rPr/>
            </w:pPr>
            <w:r>
              <w:rPr>
                <w:sz w:val="18"/>
              </w:rPr>
              <w:t xml:space="preserve">1×10⁻³</w:t>
            </w:r>
            <w:r/>
          </w:p>
        </w:tc>
        <w:tc>
          <w:tcPr>
            <w:shd w:val="clear" w:color="auto" w:fill="edf1f7"/>
            <w:tcBorders/>
            <w:tcW w:w="1928" w:type="dxa"/>
          </w:tcPr>
          <w:p>
            <w:pPr>
              <w:pBdr/>
              <w:spacing/>
              <w:ind/>
              <w:jc w:val="center"/>
              <w:rPr/>
            </w:pPr>
            <w:r>
              <w:rPr>
                <w:sz w:val="18"/>
              </w:rPr>
              <w:t xml:space="preserve">10</w:t>
            </w:r>
            <w:r/>
          </w:p>
        </w:tc>
        <w:tc>
          <w:tcPr>
            <w:shd w:val="clear" w:color="auto" w:fill="edf1f7"/>
            <w:tcBorders/>
            <w:tcW w:w="1247" w:type="dxa"/>
          </w:tcPr>
          <w:p>
            <w:pPr>
              <w:pBdr/>
              <w:spacing/>
              <w:ind/>
              <w:jc w:val="center"/>
              <w:rPr/>
            </w:pPr>
            <w:r>
              <w:rPr>
                <w:sz w:val="18"/>
              </w:rPr>
              <w:t xml:space="preserve">128</w:t>
            </w:r>
            <w:r/>
          </w:p>
        </w:tc>
      </w:tr>
      <w:tr>
        <w:trPr/>
        <w:tc>
          <w:tcPr>
            <w:tcBorders/>
            <w:tcW w:w="1587" w:type="dxa"/>
          </w:tcPr>
          <w:p>
            <w:pPr>
              <w:pBdr/>
              <w:spacing/>
              <w:ind/>
              <w:jc w:val="center"/>
              <w:rPr/>
            </w:pPr>
            <w:r>
              <w:rPr>
                <w:sz w:val="18"/>
              </w:rPr>
              <w:t xml:space="preserve">ImageNet-100</w:t>
            </w:r>
            <w:r/>
          </w:p>
        </w:tc>
        <w:tc>
          <w:tcPr>
            <w:tcBorders/>
            <w:tcW w:w="1984" w:type="dxa"/>
          </w:tcPr>
          <w:p>
            <w:pPr>
              <w:pBdr/>
              <w:spacing/>
              <w:ind/>
              <w:jc w:val="center"/>
              <w:rPr/>
            </w:pPr>
            <w:r>
              <w:rPr>
                <w:sz w:val="18"/>
              </w:rPr>
              <w:t xml:space="preserve">-2 (Linear 2048→128)</w:t>
            </w:r>
            <w:r/>
          </w:p>
        </w:tc>
        <w:tc>
          <w:tcPr>
            <w:tcBorders/>
            <w:tcW w:w="2154" w:type="dxa"/>
          </w:tcPr>
          <w:p>
            <w:pPr>
              <w:pBdr/>
              <w:spacing/>
              <w:ind/>
              <w:jc w:val="center"/>
              <w:rPr/>
            </w:pPr>
            <w:r>
              <w:rPr>
                <w:sz w:val="18"/>
              </w:rPr>
              <w:t xml:space="preserve">12 900 (129/clase)</w:t>
            </w:r>
            <w:r/>
          </w:p>
        </w:tc>
        <w:tc>
          <w:tcPr>
            <w:tcBorders/>
            <w:tcW w:w="1361" w:type="dxa"/>
          </w:tcPr>
          <w:p>
            <w:pPr>
              <w:pBdr/>
              <w:spacing/>
              <w:ind/>
              <w:jc w:val="center"/>
              <w:rPr/>
            </w:pPr>
            <w:r>
              <w:rPr>
                <w:sz w:val="18"/>
              </w:rPr>
              <w:t xml:space="preserve">1×10⁻⁵</w:t>
            </w:r>
            <w:r/>
          </w:p>
        </w:tc>
        <w:tc>
          <w:tcPr>
            <w:tcBorders/>
            <w:tcW w:w="1928" w:type="dxa"/>
          </w:tcPr>
          <w:p>
            <w:pPr>
              <w:pBdr/>
              <w:spacing/>
              <w:ind/>
              <w:jc w:val="center"/>
              <w:rPr/>
            </w:pPr>
            <w:r>
              <w:rPr>
                <w:sz w:val="18"/>
              </w:rPr>
              <w:t xml:space="preserve">10/ronda</w:t>
            </w:r>
            <w:r/>
          </w:p>
        </w:tc>
        <w:tc>
          <w:tcPr>
            <w:tcBorders/>
            <w:tcW w:w="1247" w:type="dxa"/>
          </w:tcPr>
          <w:p>
            <w:pPr>
              <w:pBdr/>
              <w:spacing/>
              <w:ind/>
              <w:jc w:val="center"/>
              <w:rPr/>
            </w:pPr>
            <w:r>
              <w:rPr>
                <w:sz w:val="18"/>
              </w:rPr>
              <w:t xml:space="preserve">32</w:t>
            </w:r>
            <w:r/>
          </w:p>
        </w:tc>
      </w:tr>
    </w:tbl>
    <w:p>
      <w:pPr>
        <w:pBdr/>
        <w:spacing/>
        <w:ind/>
        <w:rPr/>
      </w:pPr>
      <w:r/>
      <w:r/>
    </w:p>
    <w:p>
      <w:pPr>
        <w:pStyle w:val="694"/>
        <w:pBdr/>
        <w:spacing/>
        <w:ind/>
        <w:rPr/>
      </w:pPr>
      <w:r>
        <w:rPr>
          <w:color w:val="1f497d"/>
        </w:rPr>
        <w:t xml:space="preserve">3.4 Hardware y software</w:t>
      </w:r>
      <w:r/>
    </w:p>
    <w:tbl>
      <w:tblPr>
        <w:tblStyle w:val="753"/>
        <w:tblW w:w="0" w:type="auto"/>
        <w:tblBorders/>
        <w:tblLook w:val="04A0" w:firstRow="1" w:lastRow="0" w:firstColumn="1" w:lastColumn="0" w:noHBand="0" w:noVBand="1"/>
      </w:tblPr>
      <w:tblGrid>
        <w:gridCol w:w="2266"/>
        <w:gridCol w:w="2266"/>
        <w:gridCol w:w="2266"/>
        <w:gridCol w:w="2266"/>
      </w:tblGrid>
      <w:tr>
        <w:trPr/>
        <w:tc>
          <w:tcPr>
            <w:shd w:val="clear" w:color="auto" w:fill="1f497d"/>
            <w:tcBorders/>
            <w:tcW w:w="1984" w:type="dxa"/>
          </w:tcPr>
          <w:p>
            <w:pPr>
              <w:pBdr/>
              <w:spacing/>
              <w:ind/>
              <w:jc w:val="center"/>
              <w:rPr/>
            </w:pPr>
            <w:r>
              <w:rPr>
                <w:b/>
                <w:color w:val="ffffff"/>
                <w:sz w:val="18"/>
              </w:rPr>
              <w:t xml:space="preserve">Experimento</w:t>
            </w:r>
            <w:r/>
          </w:p>
        </w:tc>
        <w:tc>
          <w:tcPr>
            <w:shd w:val="clear" w:color="auto" w:fill="1f497d"/>
            <w:tcBorders/>
            <w:tcW w:w="2721" w:type="dxa"/>
          </w:tcPr>
          <w:p>
            <w:pPr>
              <w:pBdr/>
              <w:spacing/>
              <w:ind/>
              <w:jc w:val="center"/>
              <w:rPr/>
            </w:pPr>
            <w:r>
              <w:rPr>
                <w:b/>
                <w:color w:val="ffffff"/>
                <w:sz w:val="18"/>
              </w:rPr>
              <w:t xml:space="preserve">Hardware</w:t>
            </w:r>
            <w:r/>
          </w:p>
        </w:tc>
        <w:tc>
          <w:tcPr>
            <w:shd w:val="clear" w:color="auto" w:fill="1f497d"/>
            <w:tcBorders/>
            <w:tcW w:w="1814" w:type="dxa"/>
          </w:tcPr>
          <w:p>
            <w:pPr>
              <w:pBdr/>
              <w:spacing/>
              <w:ind/>
              <w:jc w:val="center"/>
              <w:rPr/>
            </w:pPr>
            <w:r>
              <w:rPr>
                <w:b/>
                <w:color w:val="ffffff"/>
                <w:sz w:val="18"/>
              </w:rPr>
              <w:t xml:space="preserve">Framework</w:t>
            </w:r>
            <w:r/>
          </w:p>
        </w:tc>
        <w:tc>
          <w:tcPr>
            <w:shd w:val="clear" w:color="auto" w:fill="1f497d"/>
            <w:tcBorders/>
            <w:tcW w:w="2551" w:type="dxa"/>
          </w:tcPr>
          <w:p>
            <w:pPr>
              <w:pBdr/>
              <w:spacing/>
              <w:ind/>
              <w:jc w:val="center"/>
              <w:rPr/>
            </w:pPr>
            <w:r>
              <w:rPr>
                <w:b/>
                <w:color w:val="ffffff"/>
                <w:sz w:val="18"/>
              </w:rPr>
              <w:t xml:space="preserve">Función de pérdida</w:t>
            </w:r>
            <w:r/>
          </w:p>
        </w:tc>
      </w:tr>
      <w:tr>
        <w:trPr/>
        <w:tc>
          <w:tcPr>
            <w:tcBorders/>
            <w:tcW w:w="1984" w:type="dxa"/>
          </w:tcPr>
          <w:p>
            <w:pPr>
              <w:pBdr/>
              <w:spacing/>
              <w:ind/>
              <w:jc w:val="center"/>
              <w:rPr/>
            </w:pPr>
            <w:r>
              <w:rPr>
                <w:sz w:val="18"/>
              </w:rPr>
              <w:t xml:space="preserve">MNIST </w:t>
            </w:r>
            <w:r/>
          </w:p>
        </w:tc>
        <w:tc>
          <w:tcPr>
            <w:tcBorders/>
            <w:tcW w:w="2721" w:type="dxa"/>
          </w:tcPr>
          <w:p>
            <w:pPr>
              <w:pBdr/>
              <w:spacing/>
              <w:ind/>
              <w:jc w:val="center"/>
              <w:rPr/>
            </w:pPr>
            <w:r>
              <w:rPr>
                <w:sz w:val="18"/>
              </w:rPr>
              <w:t xml:space="preserve">CPU (Intel, máquina local)</w:t>
            </w:r>
            <w:r/>
          </w:p>
        </w:tc>
        <w:tc>
          <w:tcPr>
            <w:tcBorders/>
            <w:tcW w:w="1814" w:type="dxa"/>
          </w:tcPr>
          <w:p>
            <w:pPr>
              <w:pBdr/>
              <w:spacing/>
              <w:ind/>
              <w:jc w:val="center"/>
              <w:rPr/>
            </w:pPr>
            <w:r>
              <w:rPr>
                <w:sz w:val="18"/>
              </w:rPr>
              <w:t xml:space="preserve">TensorFlow/Keras</w:t>
            </w:r>
            <w:r/>
          </w:p>
        </w:tc>
        <w:tc>
          <w:tcPr>
            <w:tcBorders/>
            <w:tcW w:w="2551" w:type="dxa"/>
          </w:tcPr>
          <w:p>
            <w:pPr>
              <w:pBdr/>
              <w:spacing/>
              <w:ind/>
              <w:jc w:val="center"/>
              <w:rPr/>
            </w:pPr>
            <w:r>
              <w:rPr>
                <w:sz w:val="18"/>
              </w:rPr>
              <w:t xml:space="preserve">MSE o CrossEntropy</w:t>
            </w:r>
            <w:r/>
          </w:p>
        </w:tc>
      </w:tr>
      <w:tr>
        <w:trPr/>
        <w:tc>
          <w:tcPr>
            <w:shd w:val="clear" w:color="auto" w:fill="edf1f7"/>
            <w:tcBorders/>
            <w:tcW w:w="1984" w:type="dxa"/>
          </w:tcPr>
          <w:p>
            <w:pPr>
              <w:pBdr/>
              <w:spacing/>
              <w:ind/>
              <w:jc w:val="center"/>
              <w:rPr/>
            </w:pPr>
            <w:r>
              <w:rPr>
                <w:sz w:val="18"/>
              </w:rPr>
              <w:t xml:space="preserve">CIFAR-10</w:t>
            </w:r>
            <w:r/>
          </w:p>
        </w:tc>
        <w:tc>
          <w:tcPr>
            <w:shd w:val="clear" w:color="auto" w:fill="edf1f7"/>
            <w:tcBorders/>
            <w:tcW w:w="2721" w:type="dxa"/>
          </w:tcPr>
          <w:p>
            <w:pPr>
              <w:pBdr/>
              <w:spacing/>
              <w:ind/>
              <w:jc w:val="center"/>
              <w:rPr/>
            </w:pPr>
            <w:r>
              <w:rPr>
                <w:sz w:val="18"/>
              </w:rPr>
              <w:t xml:space="preserve">CPU (Intel, máquina local)</w:t>
            </w:r>
            <w:r/>
          </w:p>
        </w:tc>
        <w:tc>
          <w:tcPr>
            <w:shd w:val="clear" w:color="auto" w:fill="edf1f7"/>
            <w:tcBorders/>
            <w:tcW w:w="1814" w:type="dxa"/>
          </w:tcPr>
          <w:p>
            <w:pPr>
              <w:pBdr/>
              <w:spacing/>
              <w:ind/>
              <w:jc w:val="center"/>
              <w:rPr/>
            </w:pPr>
            <w:r>
              <w:rPr>
                <w:sz w:val="18"/>
              </w:rPr>
              <w:t xml:space="preserve">TensorFlow/Keras</w:t>
            </w:r>
            <w:r/>
          </w:p>
        </w:tc>
        <w:tc>
          <w:tcPr>
            <w:shd w:val="clear" w:color="auto" w:fill="edf1f7"/>
            <w:tcBorders/>
            <w:tcW w:w="2551" w:type="dxa"/>
          </w:tcPr>
          <w:p>
            <w:pPr>
              <w:pBdr/>
              <w:spacing/>
              <w:ind/>
              <w:jc w:val="center"/>
              <w:rPr/>
            </w:pPr>
            <w:r>
              <w:rPr>
                <w:sz w:val="18"/>
              </w:rPr>
              <w:t xml:space="preserve">CrossEntropy</w:t>
            </w:r>
            <w:r/>
          </w:p>
        </w:tc>
      </w:tr>
      <w:tr>
        <w:trPr/>
        <w:tc>
          <w:tcPr>
            <w:tcBorders/>
            <w:tcW w:w="1984" w:type="dxa"/>
          </w:tcPr>
          <w:p>
            <w:pPr>
              <w:pBdr/>
              <w:spacing/>
              <w:ind/>
              <w:jc w:val="center"/>
              <w:rPr/>
            </w:pPr>
            <w:r>
              <w:rPr>
                <w:sz w:val="18"/>
              </w:rPr>
              <w:t xml:space="preserve">ImageNet</w:t>
            </w:r>
            <w:r/>
          </w:p>
        </w:tc>
        <w:tc>
          <w:tcPr>
            <w:tcBorders/>
            <w:tcW w:w="2721" w:type="dxa"/>
          </w:tcPr>
          <w:p>
            <w:pPr>
              <w:pBdr/>
              <w:spacing/>
              <w:ind/>
              <w:jc w:val="center"/>
              <w:rPr/>
            </w:pPr>
            <w:r>
              <w:rPr>
                <w:sz w:val="18"/>
              </w:rPr>
              <w:t xml:space="preserve">GPU RTX 2070 SUPER (servidor univ.)</w:t>
            </w:r>
            <w:r/>
          </w:p>
        </w:tc>
        <w:tc>
          <w:tcPr>
            <w:tcBorders/>
            <w:tcW w:w="1814" w:type="dxa"/>
          </w:tcPr>
          <w:p>
            <w:pPr>
              <w:pBdr/>
              <w:spacing/>
              <w:ind/>
              <w:jc w:val="center"/>
              <w:rPr/>
            </w:pPr>
            <w:r>
              <w:rPr>
                <w:sz w:val="18"/>
              </w:rPr>
              <w:t xml:space="preserve">PyTorch</w:t>
            </w:r>
            <w:r/>
          </w:p>
        </w:tc>
        <w:tc>
          <w:tcPr>
            <w:tcBorders/>
            <w:tcW w:w="2551" w:type="dxa"/>
          </w:tcPr>
          <w:p>
            <w:pPr>
              <w:pBdr/>
              <w:spacing/>
              <w:ind/>
              <w:jc w:val="center"/>
              <w:rPr/>
            </w:pPr>
            <w:r>
              <w:rPr>
                <w:sz w:val="18"/>
              </w:rPr>
              <w:t xml:space="preserve">CrossEntropy</w:t>
            </w:r>
            <w:r/>
          </w:p>
        </w:tc>
      </w:tr>
    </w:tbl>
    <w:p>
      <w:pPr>
        <w:pBdr/>
        <w:spacing/>
        <w:ind/>
        <w:rPr/>
      </w:pPr>
      <w:r/>
      <w:r/>
    </w:p>
    <w:p>
      <w:pPr>
        <w:pStyle w:val="693"/>
        <w:pBdr/>
        <w:spacing/>
        <w:ind/>
        <w:rPr/>
      </w:pPr>
      <w:r>
        <w:rPr>
          <w:color w:val="1f497d"/>
        </w:rPr>
        <w:t xml:space="preserve">4. Experimentos</w:t>
      </w:r>
      <w:r/>
    </w:p>
    <w:p>
      <w:pPr>
        <w:pStyle w:val="694"/>
        <w:pBdr/>
        <w:spacing/>
        <w:ind/>
        <w:rPr/>
      </w:pPr>
      <w:r>
        <w:rPr>
          <w:color w:val="1f497d"/>
        </w:rPr>
        <w:t xml:space="preserve">4.1 Velocidad y precisión — MNIST</w:t>
      </w:r>
      <w:r/>
    </w:p>
    <w:p>
      <w:pPr>
        <w:pBdr/>
        <w:spacing/>
        <w:ind/>
        <w:rPr/>
      </w:pPr>
      <w:r>
        <w:rPr>
          <w:b/>
          <w:i w:val="0"/>
          <w:sz w:val="20"/>
        </w:rPr>
        <w:t xml:space="preserve">Objetivo</w:t>
      </w:r>
      <w:r/>
    </w:p>
    <w:p>
      <w:pPr>
        <w:pBdr/>
        <w:spacing/>
        <w:ind/>
        <w:rPr/>
      </w:pPr>
      <w:r>
        <w:rPr>
          <w:b w:val="0"/>
          <w:i w:val="0"/>
          <w:sz w:val="20"/>
        </w:rPr>
        <w:t xml:space="preserve">Comparar el tiempo de entrenamiento y la precisión final de QsimovLinearSystem frente a QsimovGradient sobre el dataset completo de MNIST, usando distintas fracciones del conjunto de entrenamiento  y distintas funciones de pérdida.</w:t>
      </w:r>
      <w:r/>
    </w:p>
    <w:p>
      <w:pPr>
        <w:pBdr/>
        <w:spacing/>
        <w:ind/>
        <w:rPr/>
      </w:pPr>
      <w:r>
        <w:rPr>
          <w:b/>
          <w:i w:val="0"/>
          <w:sz w:val="20"/>
        </w:rPr>
        <w:t xml:space="preserve">Configuración</w:t>
      </w:r>
      <w:r/>
    </w:p>
    <w:p>
      <w:pPr>
        <w:pBdr/>
        <w:spacing/>
        <w:ind/>
        <w:rPr/>
      </w:pPr>
      <w:r>
        <w:rPr>
          <w:b/>
          <w:i/>
          <w:sz w:val="18"/>
        </w:rPr>
        <w:t xml:space="preserve">Tabla 5. Velocidad y precisión de LinearSyst</w:t>
      </w:r>
      <w:r>
        <w:rPr>
          <w:b/>
          <w:i/>
          <w:sz w:val="18"/>
        </w:rPr>
        <w:t xml:space="preserve">em vs Gradient en MNIST. Eje X (columnas): variante y configuración. Eje Y (filas): método comparado. Métrica: accuracy de validación sobre el conjunto de test de MNIST (10 000 muestras). Tiempo medido desde el inicio del entrenamiento Qsimov hasta su fin.</w:t>
      </w: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2268" w:type="dxa"/>
          </w:tcPr>
          <w:p>
            <w:pPr>
              <w:pBdr/>
              <w:spacing/>
              <w:ind/>
              <w:jc w:val="center"/>
              <w:rPr/>
            </w:pPr>
            <w:r>
              <w:rPr>
                <w:b/>
                <w:color w:val="ffffff"/>
                <w:sz w:val="18"/>
              </w:rPr>
              <w:t xml:space="preserve">Método</w:t>
            </w:r>
            <w:r/>
          </w:p>
        </w:tc>
        <w:tc>
          <w:tcPr>
            <w:shd w:val="clear" w:color="auto" w:fill="1f497d"/>
            <w:tcBorders/>
            <w:tcW w:w="1984" w:type="dxa"/>
          </w:tcPr>
          <w:p>
            <w:pPr>
              <w:pBdr/>
              <w:spacing/>
              <w:ind/>
              <w:jc w:val="center"/>
              <w:rPr/>
            </w:pPr>
            <w:r>
              <w:rPr>
                <w:b/>
                <w:color w:val="ffffff"/>
                <w:sz w:val="18"/>
              </w:rPr>
              <w:t xml:space="preserve">Función de pérdida</w:t>
            </w:r>
            <w:r/>
          </w:p>
        </w:tc>
        <w:tc>
          <w:tcPr>
            <w:shd w:val="clear" w:color="auto" w:fill="1f497d"/>
            <w:tcBorders/>
            <w:tcW w:w="1984" w:type="dxa"/>
          </w:tcPr>
          <w:p>
            <w:pPr>
              <w:pBdr/>
              <w:spacing/>
              <w:ind/>
              <w:jc w:val="center"/>
              <w:rPr/>
            </w:pPr>
            <w:r>
              <w:rPr>
                <w:b/>
                <w:color w:val="ffffff"/>
                <w:sz w:val="18"/>
              </w:rPr>
              <w:t xml:space="preserve">Muestras usadas</w:t>
            </w:r>
            <w:r/>
          </w:p>
        </w:tc>
        <w:tc>
          <w:tcPr>
            <w:shd w:val="clear" w:color="auto" w:fill="1f497d"/>
            <w:tcBorders/>
            <w:tcW w:w="1361" w:type="dxa"/>
          </w:tcPr>
          <w:p>
            <w:pPr>
              <w:pBdr/>
              <w:spacing/>
              <w:ind/>
              <w:jc w:val="center"/>
              <w:rPr/>
            </w:pPr>
            <w:r>
              <w:rPr>
                <w:b/>
                <w:color w:val="ffffff"/>
                <w:sz w:val="18"/>
              </w:rPr>
              <w:t xml:space="preserve">Val. acc</w:t>
            </w:r>
            <w:r/>
          </w:p>
        </w:tc>
        <w:tc>
          <w:tcPr>
            <w:shd w:val="clear" w:color="auto" w:fill="1f497d"/>
            <w:tcBorders/>
            <w:tcW w:w="1474" w:type="dxa"/>
          </w:tcPr>
          <w:p>
            <w:pPr>
              <w:pBdr/>
              <w:spacing/>
              <w:ind/>
              <w:jc w:val="center"/>
              <w:rPr/>
            </w:pPr>
            <w:r>
              <w:rPr>
                <w:b/>
                <w:color w:val="ffffff"/>
                <w:sz w:val="18"/>
              </w:rPr>
              <w:t xml:space="preserve">Tiempo (s)</w:t>
            </w:r>
            <w:r/>
          </w:p>
        </w:tc>
        <w:tc>
          <w:tcPr>
            <w:shd w:val="clear" w:color="auto" w:fill="1f497d"/>
            <w:tcBorders/>
            <w:tcW w:w="1417" w:type="dxa"/>
          </w:tcPr>
          <w:p>
            <w:pPr>
              <w:pBdr/>
              <w:spacing/>
              <w:ind/>
              <w:jc w:val="center"/>
              <w:rPr/>
            </w:pPr>
            <w:r>
              <w:rPr>
                <w:b/>
                <w:color w:val="ffffff"/>
                <w:sz w:val="18"/>
              </w:rPr>
              <w:t xml:space="preserve">Nº epochs</w:t>
            </w:r>
            <w:r/>
          </w:p>
        </w:tc>
      </w:tr>
      <w:tr>
        <w:trPr/>
        <w:tc>
          <w:tcPr>
            <w:tcBorders/>
            <w:tcW w:w="2268" w:type="dxa"/>
          </w:tcPr>
          <w:p>
            <w:pPr>
              <w:pBdr/>
              <w:spacing/>
              <w:ind/>
              <w:jc w:val="center"/>
              <w:rPr/>
            </w:pPr>
            <w:r>
              <w:rPr>
                <w:sz w:val="18"/>
              </w:rPr>
              <w:t xml:space="preserve">QsimovLinearSystem</w:t>
            </w:r>
            <w:r/>
          </w:p>
        </w:tc>
        <w:tc>
          <w:tcPr>
            <w:tcBorders/>
            <w:tcW w:w="1984" w:type="dxa"/>
          </w:tcPr>
          <w:p>
            <w:pPr>
              <w:pBdr/>
              <w:spacing/>
              <w:ind/>
              <w:jc w:val="center"/>
              <w:rPr/>
            </w:pPr>
            <w:r>
              <w:rPr>
                <w:sz w:val="18"/>
              </w:rPr>
              <w:t xml:space="preserve">MSE</w:t>
            </w:r>
            <w:r/>
          </w:p>
        </w:tc>
        <w:tc>
          <w:tcPr>
            <w:tcBorders/>
            <w:tcW w:w="1984" w:type="dxa"/>
          </w:tcPr>
          <w:p>
            <w:pPr>
              <w:pBdr/>
              <w:spacing/>
              <w:ind/>
              <w:jc w:val="center"/>
              <w:rPr/>
            </w:pPr>
            <w:r>
              <w:rPr>
                <w:sz w:val="18"/>
              </w:rPr>
              <w:t xml:space="preserve">30 000</w:t>
            </w:r>
            <w:r/>
          </w:p>
        </w:tc>
        <w:tc>
          <w:tcPr>
            <w:tcBorders/>
            <w:tcW w:w="1361" w:type="dxa"/>
          </w:tcPr>
          <w:p>
            <w:pPr>
              <w:pBdr/>
              <w:spacing/>
              <w:ind/>
              <w:jc w:val="center"/>
              <w:rPr/>
            </w:pPr>
            <w:r>
              <w:rPr>
                <w:sz w:val="18"/>
              </w:rPr>
              <w:t xml:space="preserve">98.20 %</w:t>
            </w:r>
            <w:r/>
          </w:p>
        </w:tc>
        <w:tc>
          <w:tcPr>
            <w:tcBorders/>
            <w:tcW w:w="1474" w:type="dxa"/>
          </w:tcPr>
          <w:p>
            <w:pPr>
              <w:pBdr/>
              <w:spacing/>
              <w:ind/>
              <w:jc w:val="center"/>
              <w:rPr/>
            </w:pPr>
            <w:r>
              <w:rPr>
                <w:sz w:val="18"/>
              </w:rPr>
              <w:t xml:space="preserve">72.6</w:t>
            </w:r>
            <w:r/>
          </w:p>
        </w:tc>
        <w:tc>
          <w:tcPr>
            <w:tcBorders/>
            <w:tcW w:w="1417" w:type="dxa"/>
          </w:tcPr>
          <w:p>
            <w:pPr>
              <w:pBdr/>
              <w:spacing/>
              <w:ind/>
              <w:jc w:val="center"/>
              <w:rPr/>
            </w:pPr>
            <w:r>
              <w:rPr>
                <w:sz w:val="18"/>
              </w:rPr>
              <w:t xml:space="preserve">1</w:t>
            </w:r>
            <w:r/>
          </w:p>
        </w:tc>
      </w:tr>
      <w:tr>
        <w:trPr/>
        <w:tc>
          <w:tcPr>
            <w:shd w:val="clear" w:color="auto" w:fill="edf1f7"/>
            <w:tcBorders/>
            <w:tcW w:w="2268" w:type="dxa"/>
          </w:tcPr>
          <w:p>
            <w:pPr>
              <w:pBdr/>
              <w:spacing/>
              <w:ind/>
              <w:jc w:val="center"/>
              <w:rPr/>
            </w:pPr>
            <w:r>
              <w:rPr>
                <w:sz w:val="18"/>
              </w:rPr>
              <w:t xml:space="preserve">QsimovLinearSystem</w:t>
            </w:r>
            <w:r/>
          </w:p>
        </w:tc>
        <w:tc>
          <w:tcPr>
            <w:shd w:val="clear" w:color="auto" w:fill="edf1f7"/>
            <w:tcBorders/>
            <w:tcW w:w="1984" w:type="dxa"/>
          </w:tcPr>
          <w:p>
            <w:pPr>
              <w:pBdr/>
              <w:spacing/>
              <w:ind/>
              <w:jc w:val="center"/>
              <w:rPr/>
            </w:pPr>
            <w:r>
              <w:rPr>
                <w:sz w:val="18"/>
              </w:rPr>
              <w:t xml:space="preserve">MSE</w:t>
            </w:r>
            <w:r/>
          </w:p>
        </w:tc>
        <w:tc>
          <w:tcPr>
            <w:shd w:val="clear" w:color="auto" w:fill="edf1f7"/>
            <w:tcBorders/>
            <w:tcW w:w="1984" w:type="dxa"/>
          </w:tcPr>
          <w:p>
            <w:pPr>
              <w:pBdr/>
              <w:spacing/>
              <w:ind/>
              <w:jc w:val="center"/>
              <w:rPr/>
            </w:pPr>
            <w:r>
              <w:rPr>
                <w:sz w:val="18"/>
              </w:rPr>
              <w:t xml:space="preserve">15 000</w:t>
            </w:r>
            <w:r/>
          </w:p>
        </w:tc>
        <w:tc>
          <w:tcPr>
            <w:shd w:val="clear" w:color="auto" w:fill="edf1f7"/>
            <w:tcBorders/>
            <w:tcW w:w="1361" w:type="dxa"/>
          </w:tcPr>
          <w:p>
            <w:pPr>
              <w:pBdr/>
              <w:spacing/>
              <w:ind/>
              <w:jc w:val="center"/>
              <w:rPr/>
            </w:pPr>
            <w:r>
              <w:rPr>
                <w:sz w:val="18"/>
              </w:rPr>
              <w:t xml:space="preserve">97.99 %</w:t>
            </w:r>
            <w:r/>
          </w:p>
        </w:tc>
        <w:tc>
          <w:tcPr>
            <w:shd w:val="clear" w:color="auto" w:fill="edf1f7"/>
            <w:tcBorders/>
            <w:tcW w:w="1474" w:type="dxa"/>
          </w:tcPr>
          <w:p>
            <w:pPr>
              <w:pBdr/>
              <w:spacing/>
              <w:ind/>
              <w:jc w:val="center"/>
              <w:rPr/>
            </w:pPr>
            <w:r>
              <w:rPr>
                <w:sz w:val="18"/>
              </w:rPr>
              <w:t xml:space="preserve">63.9</w:t>
            </w:r>
            <w:r/>
          </w:p>
        </w:tc>
        <w:tc>
          <w:tcPr>
            <w:shd w:val="clear" w:color="auto" w:fill="edf1f7"/>
            <w:tcBorders/>
            <w:tcW w:w="1417" w:type="dxa"/>
          </w:tcPr>
          <w:p>
            <w:pPr>
              <w:pBdr/>
              <w:spacing/>
              <w:ind/>
              <w:jc w:val="center"/>
              <w:rPr/>
            </w:pPr>
            <w:r>
              <w:rPr>
                <w:sz w:val="18"/>
              </w:rPr>
              <w:t xml:space="preserve">1</w:t>
            </w:r>
            <w:r/>
          </w:p>
        </w:tc>
      </w:tr>
      <w:tr>
        <w:trPr/>
        <w:tc>
          <w:tcPr>
            <w:tcBorders/>
            <w:tcW w:w="2268" w:type="dxa"/>
          </w:tcPr>
          <w:p>
            <w:pPr>
              <w:pBdr/>
              <w:spacing/>
              <w:ind/>
              <w:jc w:val="center"/>
              <w:rPr/>
            </w:pPr>
            <w:r>
              <w:rPr>
                <w:sz w:val="18"/>
              </w:rPr>
              <w:t xml:space="preserve">QsimovGradient</w:t>
            </w:r>
            <w:r/>
          </w:p>
        </w:tc>
        <w:tc>
          <w:tcPr>
            <w:tcBorders/>
            <w:tcW w:w="1984" w:type="dxa"/>
          </w:tcPr>
          <w:p>
            <w:pPr>
              <w:pBdr/>
              <w:spacing/>
              <w:ind/>
              <w:jc w:val="center"/>
              <w:rPr/>
            </w:pPr>
            <w:r>
              <w:rPr>
                <w:sz w:val="18"/>
              </w:rPr>
              <w:t xml:space="preserve">CrossEntropy</w:t>
            </w:r>
            <w:r/>
          </w:p>
        </w:tc>
        <w:tc>
          <w:tcPr>
            <w:tcBorders/>
            <w:tcW w:w="1984" w:type="dxa"/>
          </w:tcPr>
          <w:p>
            <w:pPr>
              <w:pBdr/>
              <w:spacing/>
              <w:ind/>
              <w:jc w:val="center"/>
              <w:rPr/>
            </w:pPr>
            <w:r>
              <w:rPr>
                <w:sz w:val="18"/>
              </w:rPr>
              <w:t xml:space="preserve">30 000</w:t>
            </w:r>
            <w:r/>
          </w:p>
        </w:tc>
        <w:tc>
          <w:tcPr>
            <w:tcBorders/>
            <w:tcW w:w="1361" w:type="dxa"/>
          </w:tcPr>
          <w:p>
            <w:pPr>
              <w:pBdr/>
              <w:spacing/>
              <w:ind/>
              <w:jc w:val="center"/>
              <w:rPr/>
            </w:pPr>
            <w:r>
              <w:rPr>
                <w:sz w:val="18"/>
              </w:rPr>
              <w:t xml:space="preserve">98.48 %</w:t>
            </w:r>
            <w:r/>
          </w:p>
        </w:tc>
        <w:tc>
          <w:tcPr>
            <w:tcBorders/>
            <w:tcW w:w="1474" w:type="dxa"/>
          </w:tcPr>
          <w:p>
            <w:pPr>
              <w:pBdr/>
              <w:spacing/>
              <w:ind/>
              <w:jc w:val="center"/>
              <w:rPr/>
            </w:pPr>
            <w:r>
              <w:rPr>
                <w:sz w:val="18"/>
              </w:rPr>
              <w:t xml:space="preserve">224.1</w:t>
            </w:r>
            <w:r/>
          </w:p>
        </w:tc>
        <w:tc>
          <w:tcPr>
            <w:tcBorders/>
            <w:tcW w:w="1417" w:type="dxa"/>
          </w:tcPr>
          <w:p>
            <w:pPr>
              <w:pBdr/>
              <w:spacing/>
              <w:ind/>
              <w:jc w:val="center"/>
              <w:rPr/>
            </w:pPr>
            <w:r>
              <w:rPr>
                <w:sz w:val="18"/>
              </w:rPr>
              <w:t xml:space="preserve">10</w:t>
            </w:r>
            <w:r/>
          </w:p>
        </w:tc>
      </w:tr>
      <w:tr>
        <w:trPr/>
        <w:tc>
          <w:tcPr>
            <w:shd w:val="clear" w:color="auto" w:fill="edf1f7"/>
            <w:tcBorders/>
            <w:tcW w:w="2268" w:type="dxa"/>
          </w:tcPr>
          <w:p>
            <w:pPr>
              <w:pBdr/>
              <w:spacing/>
              <w:ind/>
              <w:jc w:val="center"/>
              <w:rPr/>
            </w:pPr>
            <w:r>
              <w:rPr>
                <w:sz w:val="18"/>
              </w:rPr>
              <w:t xml:space="preserve">QsimovGradient</w:t>
            </w:r>
            <w:r/>
          </w:p>
        </w:tc>
        <w:tc>
          <w:tcPr>
            <w:shd w:val="clear" w:color="auto" w:fill="edf1f7"/>
            <w:tcBorders/>
            <w:tcW w:w="1984" w:type="dxa"/>
          </w:tcPr>
          <w:p>
            <w:pPr>
              <w:pBdr/>
              <w:spacing/>
              <w:ind/>
              <w:jc w:val="center"/>
              <w:rPr/>
            </w:pPr>
            <w:r>
              <w:rPr>
                <w:sz w:val="18"/>
              </w:rPr>
              <w:t xml:space="preserve">CrossEntropy</w:t>
            </w:r>
            <w:r/>
          </w:p>
        </w:tc>
        <w:tc>
          <w:tcPr>
            <w:shd w:val="clear" w:color="auto" w:fill="edf1f7"/>
            <w:tcBorders/>
            <w:tcW w:w="1984" w:type="dxa"/>
          </w:tcPr>
          <w:p>
            <w:pPr>
              <w:pBdr/>
              <w:spacing/>
              <w:ind/>
              <w:jc w:val="center"/>
              <w:rPr/>
            </w:pPr>
            <w:r>
              <w:rPr>
                <w:sz w:val="18"/>
              </w:rPr>
              <w:t xml:space="preserve">15 000</w:t>
            </w:r>
            <w:r/>
          </w:p>
        </w:tc>
        <w:tc>
          <w:tcPr>
            <w:shd w:val="clear" w:color="auto" w:fill="edf1f7"/>
            <w:tcBorders/>
            <w:tcW w:w="1361" w:type="dxa"/>
          </w:tcPr>
          <w:p>
            <w:pPr>
              <w:pBdr/>
              <w:spacing/>
              <w:ind/>
              <w:jc w:val="center"/>
              <w:rPr/>
            </w:pPr>
            <w:r>
              <w:rPr>
                <w:sz w:val="18"/>
              </w:rPr>
              <w:t xml:space="preserve">98.21 %</w:t>
            </w:r>
            <w:r/>
          </w:p>
        </w:tc>
        <w:tc>
          <w:tcPr>
            <w:shd w:val="clear" w:color="auto" w:fill="edf1f7"/>
            <w:tcBorders/>
            <w:tcW w:w="1474" w:type="dxa"/>
          </w:tcPr>
          <w:p>
            <w:pPr>
              <w:pBdr/>
              <w:spacing/>
              <w:ind/>
              <w:jc w:val="center"/>
              <w:rPr/>
            </w:pPr>
            <w:r>
              <w:rPr>
                <w:sz w:val="18"/>
              </w:rPr>
              <w:t xml:space="preserve">235.7</w:t>
            </w:r>
            <w:r/>
          </w:p>
        </w:tc>
        <w:tc>
          <w:tcPr>
            <w:shd w:val="clear" w:color="auto" w:fill="edf1f7"/>
            <w:tcBorders/>
            <w:tcW w:w="1417" w:type="dxa"/>
          </w:tcPr>
          <w:p>
            <w:pPr>
              <w:pBdr/>
              <w:spacing/>
              <w:ind/>
              <w:jc w:val="center"/>
              <w:rPr/>
            </w:pPr>
            <w:r>
              <w:rPr>
                <w:sz w:val="18"/>
              </w:rPr>
              <w:t xml:space="preserve">10</w:t>
            </w:r>
            <w:r/>
          </w:p>
        </w:tc>
      </w:tr>
      <w:tr>
        <w:trPr/>
        <w:tc>
          <w:tcPr>
            <w:tcBorders/>
            <w:tcW w:w="2268" w:type="dxa"/>
          </w:tcPr>
          <w:p>
            <w:pPr>
              <w:pBdr/>
              <w:spacing/>
              <w:ind/>
              <w:jc w:val="center"/>
              <w:rPr/>
            </w:pPr>
            <w:r>
              <w:rPr>
                <w:sz w:val="18"/>
              </w:rPr>
              <w:t xml:space="preserve">QsimovGradient</w:t>
            </w:r>
            <w:r/>
          </w:p>
        </w:tc>
        <w:tc>
          <w:tcPr>
            <w:tcBorders/>
            <w:tcW w:w="1984" w:type="dxa"/>
          </w:tcPr>
          <w:p>
            <w:pPr>
              <w:pBdr/>
              <w:spacing/>
              <w:ind/>
              <w:jc w:val="center"/>
              <w:rPr/>
            </w:pPr>
            <w:r>
              <w:rPr>
                <w:sz w:val="18"/>
              </w:rPr>
              <w:t xml:space="preserve">MSE</w:t>
            </w:r>
            <w:r/>
          </w:p>
        </w:tc>
        <w:tc>
          <w:tcPr>
            <w:tcBorders/>
            <w:tcW w:w="1984" w:type="dxa"/>
          </w:tcPr>
          <w:p>
            <w:pPr>
              <w:pBdr/>
              <w:spacing/>
              <w:ind/>
              <w:jc w:val="center"/>
              <w:rPr/>
            </w:pPr>
            <w:r>
              <w:rPr>
                <w:sz w:val="18"/>
              </w:rPr>
              <w:t xml:space="preserve">30 000</w:t>
            </w:r>
            <w:r/>
          </w:p>
        </w:tc>
        <w:tc>
          <w:tcPr>
            <w:tcBorders/>
            <w:tcW w:w="1361" w:type="dxa"/>
          </w:tcPr>
          <w:p>
            <w:pPr>
              <w:pBdr/>
              <w:spacing/>
              <w:ind/>
              <w:jc w:val="center"/>
              <w:rPr/>
            </w:pPr>
            <w:r>
              <w:rPr>
                <w:sz w:val="18"/>
              </w:rPr>
              <w:t xml:space="preserve">98.32 %</w:t>
            </w:r>
            <w:r/>
          </w:p>
        </w:tc>
        <w:tc>
          <w:tcPr>
            <w:tcBorders/>
            <w:tcW w:w="1474" w:type="dxa"/>
          </w:tcPr>
          <w:p>
            <w:pPr>
              <w:pBdr/>
              <w:spacing/>
              <w:ind/>
              <w:jc w:val="center"/>
              <w:rPr/>
            </w:pPr>
            <w:r>
              <w:rPr>
                <w:sz w:val="18"/>
              </w:rPr>
              <w:t xml:space="preserve">211.3</w:t>
            </w:r>
            <w:r/>
          </w:p>
        </w:tc>
        <w:tc>
          <w:tcPr>
            <w:tcBorders/>
            <w:tcW w:w="1417" w:type="dxa"/>
          </w:tcPr>
          <w:p>
            <w:pPr>
              <w:pBdr/>
              <w:spacing/>
              <w:ind/>
              <w:jc w:val="center"/>
              <w:rPr/>
            </w:pPr>
            <w:r>
              <w:rPr>
                <w:sz w:val="18"/>
              </w:rPr>
              <w:t xml:space="preserve">10</w:t>
            </w:r>
            <w:r/>
          </w:p>
        </w:tc>
      </w:tr>
      <w:tr>
        <w:trPr/>
        <w:tc>
          <w:tcPr>
            <w:shd w:val="clear" w:color="auto" w:fill="edf1f7"/>
            <w:tcBorders/>
            <w:tcW w:w="2268" w:type="dxa"/>
          </w:tcPr>
          <w:p>
            <w:pPr>
              <w:pBdr/>
              <w:spacing/>
              <w:ind/>
              <w:jc w:val="center"/>
              <w:rPr/>
            </w:pPr>
            <w:r>
              <w:rPr>
                <w:sz w:val="18"/>
              </w:rPr>
              <w:t xml:space="preserve">QsimovGradient</w:t>
            </w:r>
            <w:r/>
          </w:p>
        </w:tc>
        <w:tc>
          <w:tcPr>
            <w:shd w:val="clear" w:color="auto" w:fill="edf1f7"/>
            <w:tcBorders/>
            <w:tcW w:w="1984" w:type="dxa"/>
          </w:tcPr>
          <w:p>
            <w:pPr>
              <w:pBdr/>
              <w:spacing/>
              <w:ind/>
              <w:jc w:val="center"/>
              <w:rPr/>
            </w:pPr>
            <w:r>
              <w:rPr>
                <w:sz w:val="18"/>
              </w:rPr>
              <w:t xml:space="preserve">MSE</w:t>
            </w:r>
            <w:r/>
          </w:p>
        </w:tc>
        <w:tc>
          <w:tcPr>
            <w:shd w:val="clear" w:color="auto" w:fill="edf1f7"/>
            <w:tcBorders/>
            <w:tcW w:w="1984" w:type="dxa"/>
          </w:tcPr>
          <w:p>
            <w:pPr>
              <w:pBdr/>
              <w:spacing/>
              <w:ind/>
              <w:jc w:val="center"/>
              <w:rPr/>
            </w:pPr>
            <w:r>
              <w:rPr>
                <w:sz w:val="18"/>
              </w:rPr>
              <w:t xml:space="preserve">15 000</w:t>
            </w:r>
            <w:r/>
          </w:p>
        </w:tc>
        <w:tc>
          <w:tcPr>
            <w:shd w:val="clear" w:color="auto" w:fill="edf1f7"/>
            <w:tcBorders/>
            <w:tcW w:w="1361" w:type="dxa"/>
          </w:tcPr>
          <w:p>
            <w:pPr>
              <w:pBdr/>
              <w:spacing/>
              <w:ind/>
              <w:jc w:val="center"/>
              <w:rPr/>
            </w:pPr>
            <w:r>
              <w:rPr>
                <w:sz w:val="18"/>
              </w:rPr>
              <w:t xml:space="preserve">98.11 %</w:t>
            </w:r>
            <w:r/>
          </w:p>
        </w:tc>
        <w:tc>
          <w:tcPr>
            <w:shd w:val="clear" w:color="auto" w:fill="edf1f7"/>
            <w:tcBorders/>
            <w:tcW w:w="1474" w:type="dxa"/>
          </w:tcPr>
          <w:p>
            <w:pPr>
              <w:pBdr/>
              <w:spacing/>
              <w:ind/>
              <w:jc w:val="center"/>
              <w:rPr/>
            </w:pPr>
            <w:r>
              <w:rPr>
                <w:sz w:val="18"/>
              </w:rPr>
              <w:t xml:space="preserve">225.4</w:t>
            </w:r>
            <w:r/>
          </w:p>
        </w:tc>
        <w:tc>
          <w:tcPr>
            <w:shd w:val="clear" w:color="auto" w:fill="edf1f7"/>
            <w:tcBorders/>
            <w:tcW w:w="1417" w:type="dxa"/>
          </w:tcPr>
          <w:p>
            <w:pPr>
              <w:pBdr/>
              <w:spacing/>
              <w:ind/>
              <w:jc w:val="center"/>
              <w:rPr/>
            </w:pPr>
            <w:r>
              <w:rPr>
                <w:sz w:val="18"/>
              </w:rPr>
              <w:t xml:space="preserve">10</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LinearSystem alcanza 98.20 % de accuracy con la mitad de los datos en 72.6 s, frente a los 224.1 s que necesita Gradient para llegar a 98.48 %. La diferencia de accuracy es inferior a 0.3 puntos po</w:t>
      </w:r>
      <w:r>
        <w:rPr>
          <w:b w:val="0"/>
          <w:i w:val="0"/>
          <w:sz w:val="20"/>
        </w:rPr>
        <w:t xml:space="preserve">rcentuales, mientras que el tiempo se reduce en un factor de 3.1×. Usando solo un cuarto de los datos, LinearSystem mantiene 98.0 % en 63.9 s. Esto demuestra que el enfoque algebraico (resolver Ax = b) es competitivo en precisión y notablemente más rápido.</w:t>
      </w:r>
      <w:r/>
    </w:p>
    <w:p>
      <w:pPr>
        <w:pStyle w:val="694"/>
        <w:pBdr/>
        <w:spacing/>
        <w:ind/>
        <w:rPr/>
      </w:pPr>
      <w:r>
        <w:rPr>
          <w:color w:val="1f497d"/>
        </w:rPr>
        <w:t xml:space="preserve">4.2 Robustez al learning rate — MNIST</w:t>
      </w:r>
      <w:r/>
    </w:p>
    <w:p>
      <w:pPr>
        <w:pBdr/>
        <w:spacing/>
        <w:ind/>
        <w:rPr/>
      </w:pPr>
      <w:r>
        <w:rPr>
          <w:b/>
          <w:i w:val="0"/>
          <w:sz w:val="20"/>
        </w:rPr>
        <w:t xml:space="preserve">Objetivo</w:t>
      </w:r>
      <w:r/>
    </w:p>
    <w:p>
      <w:pPr>
        <w:pBdr/>
        <w:spacing/>
        <w:ind/>
        <w:rPr/>
      </w:pPr>
      <w:r>
        <w:rPr>
          <w:b w:val="0"/>
          <w:i w:val="0"/>
          <w:sz w:val="20"/>
        </w:rPr>
        <w:t xml:space="preserve">Evaluar cómo afecta el learning rate a la convergencia de QsimovGradient en comparación con el entrenamiento estándar de Keras sobre la misma red. El objetivo es determinar si Qsimov es más o menos sensible a la elección del hiperparámetro.</w:t>
      </w:r>
      <w:r/>
    </w:p>
    <w:p>
      <w:pPr>
        <w:pBdr/>
        <w:spacing/>
        <w:ind/>
        <w:rPr/>
      </w:pPr>
      <w:r>
        <w:rPr>
          <w:b/>
          <w:i w:val="0"/>
          <w:sz w:val="20"/>
        </w:rPr>
        <w:t xml:space="preserve">Configuración</w:t>
      </w:r>
      <w:r/>
    </w:p>
    <w:p>
      <w:pPr>
        <w:pBdr/>
        <w:spacing/>
        <w:ind/>
        <w:rPr/>
      </w:pPr>
      <w:r>
        <w:rPr>
          <w:b w:val="0"/>
          <w:i w:val="0"/>
          <w:sz w:val="20"/>
        </w:rPr>
        <w:t xml:space="preserve">Dataset: MNIST completo. Modelo: m</w:t>
      </w:r>
      <w:r>
        <w:rPr>
          <w:b w:val="0"/>
          <w:i w:val="0"/>
          <w:sz w:val="20"/>
        </w:rPr>
        <w:t xml:space="preserve">isma CNN de MNIST. Se prueban 6 valores de LR espaciados geométricamente. En cada LR, tanto QsimovGradient como el fine-tuning estándar de Keras entrenan durante 10 epochs sobre el conjunto completo. La métrica es accuracy en el test set (10 000 muestras).</w:t>
      </w:r>
      <w:r/>
    </w:p>
    <w:p>
      <w:pPr>
        <w:pBdr/>
        <w:spacing/>
        <w:ind/>
        <w:rPr/>
      </w:pPr>
      <w:r>
        <w:rPr>
          <w:b/>
          <w:i/>
          <w:sz w:val="18"/>
        </w:rPr>
        <w:t xml:space="preserve">Tabla 6. Accuracy de validación (test MNIST, 10 000 muestras) en función del learning rate. Qsimov fila: resultado de QsimovGradient. Keras estándar fila: resultado de fine-tuning estándar con Adam sobre la misma CNN.</w:t>
      </w:r>
      <w:r/>
    </w:p>
    <w:tbl>
      <w:tblPr>
        <w:tblStyle w:val="753"/>
        <w:tblW w:w="0" w:type="auto"/>
        <w:tblBorders/>
        <w:tblLook w:val="04A0" w:firstRow="1" w:lastRow="0" w:firstColumn="1" w:lastColumn="0" w:noHBand="0" w:noVBand="1"/>
      </w:tblPr>
      <w:tblGrid>
        <w:gridCol w:w="3022"/>
        <w:gridCol w:w="3022"/>
        <w:gridCol w:w="3022"/>
      </w:tblGrid>
      <w:tr>
        <w:trPr/>
        <w:tc>
          <w:tcPr>
            <w:shd w:val="clear" w:color="auto" w:fill="1f497d"/>
            <w:tcBorders/>
            <w:tcW w:w="1984" w:type="dxa"/>
          </w:tcPr>
          <w:p>
            <w:pPr>
              <w:pBdr/>
              <w:spacing/>
              <w:ind/>
              <w:jc w:val="center"/>
              <w:rPr/>
            </w:pPr>
            <w:r>
              <w:rPr>
                <w:b/>
                <w:color w:val="ffffff"/>
                <w:sz w:val="18"/>
              </w:rPr>
              <w:t xml:space="preserve">Learning Rate</w:t>
            </w:r>
            <w:r/>
          </w:p>
        </w:tc>
        <w:tc>
          <w:tcPr>
            <w:shd w:val="clear" w:color="auto" w:fill="1f497d"/>
            <w:tcBorders/>
            <w:tcW w:w="2551" w:type="dxa"/>
          </w:tcPr>
          <w:p>
            <w:pPr>
              <w:pBdr/>
              <w:spacing/>
              <w:ind/>
              <w:jc w:val="center"/>
              <w:rPr/>
            </w:pPr>
            <w:r>
              <w:rPr>
                <w:b/>
                <w:color w:val="ffffff"/>
                <w:sz w:val="18"/>
              </w:rPr>
              <w:t xml:space="preserve">Val. acc Qsimov (%)</w:t>
            </w:r>
            <w:r/>
          </w:p>
        </w:tc>
        <w:tc>
          <w:tcPr>
            <w:shd w:val="clear" w:color="auto" w:fill="1f497d"/>
            <w:tcBorders/>
            <w:tcW w:w="2835" w:type="dxa"/>
          </w:tcPr>
          <w:p>
            <w:pPr>
              <w:pBdr/>
              <w:spacing/>
              <w:ind/>
              <w:jc w:val="center"/>
              <w:rPr/>
            </w:pPr>
            <w:r>
              <w:rPr>
                <w:b/>
                <w:color w:val="ffffff"/>
                <w:sz w:val="18"/>
              </w:rPr>
              <w:t xml:space="preserve">Val. acc Keras estándar (%)</w:t>
            </w:r>
            <w:r/>
          </w:p>
        </w:tc>
      </w:tr>
      <w:tr>
        <w:trPr/>
        <w:tc>
          <w:tcPr>
            <w:tcBorders/>
            <w:tcW w:w="1984" w:type="dxa"/>
          </w:tcPr>
          <w:p>
            <w:pPr>
              <w:pBdr/>
              <w:spacing/>
              <w:ind/>
              <w:jc w:val="center"/>
              <w:rPr/>
            </w:pPr>
            <w:r>
              <w:rPr>
                <w:sz w:val="18"/>
              </w:rPr>
              <w:t xml:space="preserve">6.25 × 10⁻⁵</w:t>
            </w:r>
            <w:r/>
          </w:p>
        </w:tc>
        <w:tc>
          <w:tcPr>
            <w:tcBorders/>
            <w:tcW w:w="2551" w:type="dxa"/>
          </w:tcPr>
          <w:p>
            <w:pPr>
              <w:pBdr/>
              <w:spacing/>
              <w:ind/>
              <w:jc w:val="center"/>
              <w:rPr/>
            </w:pPr>
            <w:r>
              <w:rPr>
                <w:sz w:val="18"/>
              </w:rPr>
              <w:t xml:space="preserve">97.68</w:t>
            </w:r>
            <w:r/>
          </w:p>
        </w:tc>
        <w:tc>
          <w:tcPr>
            <w:tcBorders/>
            <w:tcW w:w="2835" w:type="dxa"/>
          </w:tcPr>
          <w:p>
            <w:pPr>
              <w:pBdr/>
              <w:spacing/>
              <w:ind/>
              <w:jc w:val="center"/>
              <w:rPr/>
            </w:pPr>
            <w:r>
              <w:rPr>
                <w:sz w:val="18"/>
              </w:rPr>
              <w:t xml:space="preserve">76.02</w:t>
            </w:r>
            <w:r/>
          </w:p>
        </w:tc>
      </w:tr>
      <w:tr>
        <w:trPr/>
        <w:tc>
          <w:tcPr>
            <w:shd w:val="clear" w:color="auto" w:fill="edf1f7"/>
            <w:tcBorders/>
            <w:tcW w:w="1984" w:type="dxa"/>
          </w:tcPr>
          <w:p>
            <w:pPr>
              <w:pBdr/>
              <w:spacing/>
              <w:ind/>
              <w:jc w:val="center"/>
              <w:rPr/>
            </w:pPr>
            <w:r>
              <w:rPr>
                <w:sz w:val="18"/>
              </w:rPr>
              <w:t xml:space="preserve">2.50 × 10⁻⁴</w:t>
            </w:r>
            <w:r/>
          </w:p>
        </w:tc>
        <w:tc>
          <w:tcPr>
            <w:shd w:val="clear" w:color="auto" w:fill="edf1f7"/>
            <w:tcBorders/>
            <w:tcW w:w="2551" w:type="dxa"/>
          </w:tcPr>
          <w:p>
            <w:pPr>
              <w:pBdr/>
              <w:spacing/>
              <w:ind/>
              <w:jc w:val="center"/>
              <w:rPr/>
            </w:pPr>
            <w:r>
              <w:rPr>
                <w:sz w:val="18"/>
              </w:rPr>
              <w:t xml:space="preserve">98.17</w:t>
            </w:r>
            <w:r/>
          </w:p>
        </w:tc>
        <w:tc>
          <w:tcPr>
            <w:shd w:val="clear" w:color="auto" w:fill="edf1f7"/>
            <w:tcBorders/>
            <w:tcW w:w="2835" w:type="dxa"/>
          </w:tcPr>
          <w:p>
            <w:pPr>
              <w:pBdr/>
              <w:spacing/>
              <w:ind/>
              <w:jc w:val="center"/>
              <w:rPr/>
            </w:pPr>
            <w:r>
              <w:rPr>
                <w:sz w:val="18"/>
              </w:rPr>
              <w:t xml:space="preserve">95.14</w:t>
            </w:r>
            <w:r/>
          </w:p>
        </w:tc>
      </w:tr>
      <w:tr>
        <w:trPr/>
        <w:tc>
          <w:tcPr>
            <w:tcBorders/>
            <w:tcW w:w="1984" w:type="dxa"/>
          </w:tcPr>
          <w:p>
            <w:pPr>
              <w:pBdr/>
              <w:spacing/>
              <w:ind/>
              <w:jc w:val="center"/>
              <w:rPr/>
            </w:pPr>
            <w:r>
              <w:rPr>
                <w:sz w:val="18"/>
              </w:rPr>
              <w:t xml:space="preserve">1.00 × 10⁻³</w:t>
            </w:r>
            <w:r/>
          </w:p>
        </w:tc>
        <w:tc>
          <w:tcPr>
            <w:tcBorders/>
            <w:tcW w:w="2551" w:type="dxa"/>
          </w:tcPr>
          <w:p>
            <w:pPr>
              <w:pBdr/>
              <w:spacing/>
              <w:ind/>
              <w:jc w:val="center"/>
              <w:rPr/>
            </w:pPr>
            <w:r>
              <w:rPr>
                <w:sz w:val="18"/>
              </w:rPr>
              <w:t xml:space="preserve">98.50</w:t>
            </w:r>
            <w:r/>
          </w:p>
        </w:tc>
        <w:tc>
          <w:tcPr>
            <w:tcBorders/>
            <w:tcW w:w="2835" w:type="dxa"/>
          </w:tcPr>
          <w:p>
            <w:pPr>
              <w:pBdr/>
              <w:spacing/>
              <w:ind/>
              <w:jc w:val="center"/>
              <w:rPr/>
            </w:pPr>
            <w:r>
              <w:rPr>
                <w:sz w:val="18"/>
              </w:rPr>
              <w:t xml:space="preserve">97.50</w:t>
            </w:r>
            <w:r/>
          </w:p>
        </w:tc>
      </w:tr>
      <w:tr>
        <w:trPr/>
        <w:tc>
          <w:tcPr>
            <w:shd w:val="clear" w:color="auto" w:fill="edf1f7"/>
            <w:tcBorders/>
            <w:tcW w:w="1984" w:type="dxa"/>
          </w:tcPr>
          <w:p>
            <w:pPr>
              <w:pBdr/>
              <w:spacing/>
              <w:ind/>
              <w:jc w:val="center"/>
              <w:rPr/>
            </w:pPr>
            <w:r>
              <w:rPr>
                <w:sz w:val="18"/>
              </w:rPr>
              <w:t xml:space="preserve">4.00 × 10⁻³</w:t>
            </w:r>
            <w:r/>
          </w:p>
        </w:tc>
        <w:tc>
          <w:tcPr>
            <w:shd w:val="clear" w:color="auto" w:fill="edf1f7"/>
            <w:tcBorders/>
            <w:tcW w:w="2551" w:type="dxa"/>
          </w:tcPr>
          <w:p>
            <w:pPr>
              <w:pBdr/>
              <w:spacing/>
              <w:ind/>
              <w:jc w:val="center"/>
              <w:rPr/>
            </w:pPr>
            <w:r>
              <w:rPr>
                <w:sz w:val="18"/>
              </w:rPr>
              <w:t xml:space="preserve">98.49</w:t>
            </w:r>
            <w:r/>
          </w:p>
        </w:tc>
        <w:tc>
          <w:tcPr>
            <w:shd w:val="clear" w:color="auto" w:fill="edf1f7"/>
            <w:tcBorders/>
            <w:tcW w:w="2835" w:type="dxa"/>
          </w:tcPr>
          <w:p>
            <w:pPr>
              <w:pBdr/>
              <w:spacing/>
              <w:ind/>
              <w:jc w:val="center"/>
              <w:rPr/>
            </w:pPr>
            <w:r>
              <w:rPr>
                <w:sz w:val="18"/>
              </w:rPr>
              <w:t xml:space="preserve">98.08</w:t>
            </w:r>
            <w:r/>
          </w:p>
        </w:tc>
      </w:tr>
      <w:tr>
        <w:trPr/>
        <w:tc>
          <w:tcPr>
            <w:tcBorders/>
            <w:tcW w:w="1984" w:type="dxa"/>
          </w:tcPr>
          <w:p>
            <w:pPr>
              <w:pBdr/>
              <w:spacing/>
              <w:ind/>
              <w:jc w:val="center"/>
              <w:rPr/>
            </w:pPr>
            <w:r>
              <w:rPr>
                <w:sz w:val="18"/>
              </w:rPr>
              <w:t xml:space="preserve">1.60 × 10⁻²</w:t>
            </w:r>
            <w:r/>
          </w:p>
        </w:tc>
        <w:tc>
          <w:tcPr>
            <w:tcBorders/>
            <w:tcW w:w="2551" w:type="dxa"/>
          </w:tcPr>
          <w:p>
            <w:pPr>
              <w:pBdr/>
              <w:spacing/>
              <w:ind/>
              <w:jc w:val="center"/>
              <w:rPr/>
            </w:pPr>
            <w:r>
              <w:rPr>
                <w:sz w:val="18"/>
              </w:rPr>
              <w:t xml:space="preserve">98.36</w:t>
            </w:r>
            <w:r/>
          </w:p>
        </w:tc>
        <w:tc>
          <w:tcPr>
            <w:tcBorders/>
            <w:tcW w:w="2835" w:type="dxa"/>
          </w:tcPr>
          <w:p>
            <w:pPr>
              <w:pBdr/>
              <w:spacing/>
              <w:ind/>
              <w:jc w:val="center"/>
              <w:rPr/>
            </w:pPr>
            <w:r>
              <w:rPr>
                <w:sz w:val="18"/>
              </w:rPr>
              <w:t xml:space="preserve">97.57</w:t>
            </w:r>
            <w:r/>
          </w:p>
        </w:tc>
      </w:tr>
      <w:tr>
        <w:trPr/>
        <w:tc>
          <w:tcPr>
            <w:shd w:val="clear" w:color="auto" w:fill="edf1f7"/>
            <w:tcBorders/>
            <w:tcW w:w="1984" w:type="dxa"/>
          </w:tcPr>
          <w:p>
            <w:pPr>
              <w:pBdr/>
              <w:spacing/>
              <w:ind/>
              <w:jc w:val="center"/>
              <w:rPr/>
            </w:pPr>
            <w:r>
              <w:rPr>
                <w:sz w:val="18"/>
              </w:rPr>
              <w:t xml:space="preserve">6.40 × 10⁻²</w:t>
            </w:r>
            <w:r/>
          </w:p>
        </w:tc>
        <w:tc>
          <w:tcPr>
            <w:shd w:val="clear" w:color="auto" w:fill="edf1f7"/>
            <w:tcBorders/>
            <w:tcW w:w="2551" w:type="dxa"/>
          </w:tcPr>
          <w:p>
            <w:pPr>
              <w:pBdr/>
              <w:spacing/>
              <w:ind/>
              <w:jc w:val="center"/>
              <w:rPr/>
            </w:pPr>
            <w:r>
              <w:rPr>
                <w:sz w:val="18"/>
              </w:rPr>
              <w:t xml:space="preserve">98.11</w:t>
            </w:r>
            <w:r/>
          </w:p>
        </w:tc>
        <w:tc>
          <w:tcPr>
            <w:shd w:val="clear" w:color="auto" w:fill="edf1f7"/>
            <w:tcBorders/>
            <w:tcW w:w="2835" w:type="dxa"/>
          </w:tcPr>
          <w:p>
            <w:pPr>
              <w:pBdr/>
              <w:spacing/>
              <w:ind/>
              <w:jc w:val="center"/>
              <w:rPr/>
            </w:pPr>
            <w:r>
              <w:rPr>
                <w:sz w:val="18"/>
              </w:rPr>
              <w:t xml:space="preserve">11.35  ⚠ diverge</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QsimovGradient mantiene una accuracy entre 97.68 % y 98.50 % en todo el rango de LR probado, una variación de apenas 0.82 puntos. El entrenamiento estándar de Keras cae a 76</w:t>
      </w:r>
      <w:r>
        <w:rPr>
          <w:b w:val="0"/>
          <w:i w:val="0"/>
          <w:sz w:val="20"/>
        </w:rPr>
        <w:t xml:space="preserve">.02 % con el LR más bajo y diverge completamente (11.35 %) con el LR más alto. Esto se debe a que Qsimov solo actualiza los pesos del path activo en cada muestra, lo que actúa como un regularizador implícito y reduce la sensibilidad al paso de aprendizaje.</w:t>
      </w:r>
      <w:r/>
    </w:p>
    <w:p>
      <w:pPr>
        <w:pStyle w:val="694"/>
        <w:pBdr/>
        <w:spacing/>
        <w:ind/>
        <w:rPr/>
      </w:pPr>
      <w:r>
        <w:rPr>
          <w:color w:val="1f497d"/>
        </w:rPr>
        <w:t xml:space="preserve">4.3 Olvido catastrófico — MNIST</w:t>
      </w:r>
      <w:r/>
    </w:p>
    <w:p>
      <w:pPr>
        <w:pBdr/>
        <w:spacing/>
        <w:ind/>
        <w:rPr/>
      </w:pPr>
      <w:r>
        <w:rPr>
          <w:b/>
          <w:i w:val="0"/>
          <w:sz w:val="20"/>
        </w:rPr>
        <w:t xml:space="preserve">Objetivo</w:t>
      </w:r>
      <w:r/>
    </w:p>
    <w:p>
      <w:pPr>
        <w:pBdr/>
        <w:spacing/>
        <w:ind/>
        <w:rPr/>
      </w:pPr>
      <w:r>
        <w:rPr>
          <w:b w:val="0"/>
          <w:i w:val="0"/>
          <w:sz w:val="20"/>
        </w:rPr>
        <w:t xml:space="preserve">Verificar la afirmación central de Qsimov: que el reentrenamiento incremental con QsimovLinearSystem y acumulación de ecuaciones no sufre olvido catastrófico. Se comparan cinco estrategias de actualización en un escenario class-incremental.</w:t>
      </w:r>
      <w:r/>
    </w:p>
    <w:p>
      <w:pPr>
        <w:pBdr/>
        <w:spacing/>
        <w:ind/>
        <w:rPr/>
      </w:pPr>
      <w:r>
        <w:rPr>
          <w:b/>
          <w:i w:val="0"/>
          <w:sz w:val="20"/>
        </w:rPr>
        <w:t xml:space="preserve">Configuración</w:t>
      </w:r>
      <w:r/>
    </w:p>
    <w:p>
      <w:pPr>
        <w:pBdr/>
        <w:spacing/>
        <w:ind/>
        <w:rPr/>
      </w:pPr>
      <w:r>
        <w:rPr>
          <w:b w:val="0"/>
          <w:i w:val="0"/>
          <w:sz w:val="20"/>
        </w:rPr>
        <w:t xml:space="preserve">Dataset: MNIST dividido en dos fases. Fase 1: clases 0-4 (30 596 train, 5 139 test). Fase 2: clases 5-9 (29 404 train, 4 861 test</w:t>
      </w:r>
      <w:r>
        <w:rPr>
          <w:b w:val="0"/>
          <w:i w:val="0"/>
          <w:sz w:val="20"/>
        </w:rPr>
        <w:t xml:space="preserve">). La red se entrena en fase 1 y luego se actualiza en fase 2 sin acceso a los datos originales de fase 1 (excepto el método 'cumulative', que sí los usa). Se evalúa por separado la accuracy sobre el test de clases 0-4 (old) y sobre el de clases 5-9 (new).</w:t>
      </w:r>
      <w:r/>
    </w:p>
    <w:p>
      <w:pPr>
        <w:pBdr/>
        <w:spacing/>
        <w:ind/>
        <w:rPr/>
      </w:pPr>
      <w:r>
        <w:rPr>
          <w:b/>
          <w:i w:val="0"/>
          <w:sz w:val="20"/>
        </w:rPr>
        <w:t xml:space="preserve">Métodos comparados</w:t>
      </w:r>
      <w:r/>
    </w:p>
    <w:p>
      <w:pPr>
        <w:pBdr/>
        <w:spacing/>
        <w:ind/>
        <w:rPr/>
      </w:pPr>
      <w:r>
        <w:rPr>
          <w:b w:val="0"/>
          <w:i w:val="0"/>
          <w:sz w:val="20"/>
        </w:rPr>
        <w:t xml:space="preserve">   • base: modelo original de fase 1, sin ninguna actualización (referencia).</w:t>
      </w:r>
      <w:r/>
    </w:p>
    <w:p>
      <w:pPr>
        <w:pBdr/>
        <w:spacing/>
        <w:ind/>
        <w:rPr/>
      </w:pPr>
      <w:r>
        <w:rPr>
          <w:b w:val="0"/>
          <w:i w:val="0"/>
          <w:sz w:val="20"/>
        </w:rPr>
        <w:t xml:space="preserve">   • linear_accum: QsimovLinearSystem acumulando ecuaciones de fase 1 y fase 2.</w:t>
      </w:r>
      <w:r/>
    </w:p>
    <w:p>
      <w:pPr>
        <w:pBdr/>
        <w:spacing/>
        <w:ind/>
        <w:rPr/>
      </w:pPr>
      <w:r>
        <w:rPr>
          <w:b w:val="0"/>
          <w:i w:val="0"/>
          <w:sz w:val="20"/>
        </w:rPr>
        <w:t xml:space="preserve">   • linear_new_only: QsimovLinearSystem entrenado solo en datos de fase 2 (resetea ecuaciones).</w:t>
      </w:r>
      <w:r/>
    </w:p>
    <w:p>
      <w:pPr>
        <w:pBdr/>
        <w:spacing/>
        <w:ind/>
        <w:rPr/>
      </w:pPr>
      <w:r>
        <w:rPr>
          <w:b w:val="0"/>
          <w:i w:val="0"/>
          <w:sz w:val="20"/>
        </w:rPr>
        <w:t xml:space="preserve">   • gradient_new_only: QsimovGradient entrenado solo en datos de fase 2.</w:t>
      </w:r>
      <w:r/>
    </w:p>
    <w:p>
      <w:pPr>
        <w:pBdr/>
        <w:spacing/>
        <w:ind/>
        <w:rPr/>
      </w:pPr>
      <w:r>
        <w:rPr>
          <w:b w:val="0"/>
          <w:i w:val="0"/>
          <w:sz w:val="20"/>
        </w:rPr>
        <w:t xml:space="preserve">   • finetune_new_only: fine-tuning estándar de Keras sobre datos de fase 2.</w:t>
      </w:r>
      <w:r/>
    </w:p>
    <w:p>
      <w:pPr>
        <w:pBdr/>
        <w:spacing/>
        <w:ind/>
        <w:rPr/>
      </w:pPr>
      <w:r>
        <w:rPr>
          <w:b w:val="0"/>
          <w:i w:val="0"/>
          <w:sz w:val="20"/>
        </w:rPr>
        <w:t xml:space="preserve">   • cumulative: fine-tuning estándar usando datos de fase 1 + fase 2 combinados (oráculo).</w:t>
      </w:r>
      <w:r/>
    </w:p>
    <w:p>
      <w:pPr>
        <w:pBdr/>
        <w:spacing/>
        <w:ind/>
        <w:rPr/>
      </w:pPr>
      <w:r>
        <w:rPr>
          <w:b/>
          <w:i/>
          <w:sz w:val="18"/>
        </w:rPr>
        <w:t xml:space="preserve">Tabla 7. Olvido catastrófico en MNIST. Las c</w:t>
      </w:r>
      <w:r>
        <w:rPr>
          <w:b/>
          <w:i/>
          <w:sz w:val="18"/>
        </w:rPr>
        <w:t xml:space="preserve">olumnas muestran la accuracy de clasificación sobre el test set de clases 0-4 (conocimiento antiguo), de clases 5-9 (conocimiento nuevo) y sobre las 10 clases combinadas. El método marcado con ★ es el único que mantiene ambos conocimientos simultáneamente.</w:t>
      </w:r>
      <w:r/>
    </w:p>
    <w:tbl>
      <w:tblPr>
        <w:tblStyle w:val="753"/>
        <w:tblW w:w="0" w:type="auto"/>
        <w:tblBorders/>
        <w:tblLook w:val="04A0" w:firstRow="1" w:lastRow="0" w:firstColumn="1" w:lastColumn="0" w:noHBand="0" w:noVBand="1"/>
      </w:tblPr>
      <w:tblGrid>
        <w:gridCol w:w="1813"/>
        <w:gridCol w:w="1813"/>
        <w:gridCol w:w="1813"/>
        <w:gridCol w:w="1813"/>
        <w:gridCol w:w="1813"/>
      </w:tblGrid>
      <w:tr>
        <w:trPr/>
        <w:tc>
          <w:tcPr>
            <w:shd w:val="clear" w:color="auto" w:fill="1f497d"/>
            <w:tcBorders/>
            <w:tcW w:w="2381" w:type="dxa"/>
          </w:tcPr>
          <w:p>
            <w:pPr>
              <w:pBdr/>
              <w:spacing/>
              <w:ind/>
              <w:jc w:val="center"/>
              <w:rPr/>
            </w:pPr>
            <w:r>
              <w:rPr>
                <w:b/>
                <w:color w:val="ffffff"/>
                <w:sz w:val="18"/>
              </w:rPr>
              <w:t xml:space="preserve">Método</w:t>
            </w:r>
            <w:r/>
          </w:p>
        </w:tc>
        <w:tc>
          <w:tcPr>
            <w:shd w:val="clear" w:color="auto" w:fill="1f497d"/>
            <w:tcBorders/>
            <w:tcW w:w="2154" w:type="dxa"/>
          </w:tcPr>
          <w:p>
            <w:pPr>
              <w:pBdr/>
              <w:spacing/>
              <w:ind/>
              <w:jc w:val="center"/>
              <w:rPr/>
            </w:pPr>
            <w:r>
              <w:rPr>
                <w:b/>
                <w:color w:val="ffffff"/>
                <w:sz w:val="18"/>
              </w:rPr>
              <w:t xml:space="preserve">Acc. clases 0-4 (%)</w:t>
            </w:r>
            <w:r/>
          </w:p>
        </w:tc>
        <w:tc>
          <w:tcPr>
            <w:shd w:val="clear" w:color="auto" w:fill="1f497d"/>
            <w:tcBorders/>
            <w:tcW w:w="2154" w:type="dxa"/>
          </w:tcPr>
          <w:p>
            <w:pPr>
              <w:pBdr/>
              <w:spacing/>
              <w:ind/>
              <w:jc w:val="center"/>
              <w:rPr/>
            </w:pPr>
            <w:r>
              <w:rPr>
                <w:b/>
                <w:color w:val="ffffff"/>
                <w:sz w:val="18"/>
              </w:rPr>
              <w:t xml:space="preserve">Acc. clases 5-9 (%)</w:t>
            </w:r>
            <w:r/>
          </w:p>
        </w:tc>
        <w:tc>
          <w:tcPr>
            <w:shd w:val="clear" w:color="auto" w:fill="1f497d"/>
            <w:tcBorders/>
            <w:tcW w:w="1814" w:type="dxa"/>
          </w:tcPr>
          <w:p>
            <w:pPr>
              <w:pBdr/>
              <w:spacing/>
              <w:ind/>
              <w:jc w:val="center"/>
              <w:rPr/>
            </w:pPr>
            <w:r>
              <w:rPr>
                <w:b/>
                <w:color w:val="ffffff"/>
                <w:sz w:val="18"/>
              </w:rPr>
              <w:t xml:space="preserve">Acc. global (%)</w:t>
            </w:r>
            <w:r/>
          </w:p>
        </w:tc>
        <w:tc>
          <w:tcPr>
            <w:shd w:val="clear" w:color="auto" w:fill="1f497d"/>
            <w:tcBorders/>
            <w:tcW w:w="1417" w:type="dxa"/>
          </w:tcPr>
          <w:p>
            <w:pPr>
              <w:pBdr/>
              <w:spacing/>
              <w:ind/>
              <w:jc w:val="center"/>
              <w:rPr/>
            </w:pPr>
            <w:r>
              <w:rPr>
                <w:b/>
                <w:color w:val="ffffff"/>
                <w:sz w:val="18"/>
              </w:rPr>
              <w:t xml:space="preserve">Tiempo (s)</w:t>
            </w:r>
            <w:r/>
          </w:p>
        </w:tc>
      </w:tr>
      <w:tr>
        <w:trPr/>
        <w:tc>
          <w:tcPr>
            <w:tcBorders/>
            <w:tcW w:w="2381" w:type="dxa"/>
          </w:tcPr>
          <w:p>
            <w:pPr>
              <w:pBdr/>
              <w:spacing/>
              <w:ind/>
              <w:jc w:val="center"/>
              <w:rPr/>
            </w:pPr>
            <w:r>
              <w:rPr>
                <w:sz w:val="18"/>
              </w:rPr>
              <w:t xml:space="preserve">base</w:t>
            </w:r>
            <w:r/>
          </w:p>
        </w:tc>
        <w:tc>
          <w:tcPr>
            <w:tcBorders/>
            <w:tcW w:w="2154" w:type="dxa"/>
          </w:tcPr>
          <w:p>
            <w:pPr>
              <w:pBdr/>
              <w:spacing/>
              <w:ind/>
              <w:jc w:val="center"/>
              <w:rPr/>
            </w:pPr>
            <w:r>
              <w:rPr>
                <w:sz w:val="18"/>
              </w:rPr>
              <w:t xml:space="preserve">99.57</w:t>
            </w:r>
            <w:r/>
          </w:p>
        </w:tc>
        <w:tc>
          <w:tcPr>
            <w:tcBorders/>
            <w:tcW w:w="2154" w:type="dxa"/>
          </w:tcPr>
          <w:p>
            <w:pPr>
              <w:pBdr/>
              <w:spacing/>
              <w:ind/>
              <w:jc w:val="center"/>
              <w:rPr/>
            </w:pPr>
            <w:r>
              <w:rPr>
                <w:sz w:val="18"/>
              </w:rPr>
              <w:t xml:space="preserve"> 0.00</w:t>
            </w:r>
            <w:r/>
          </w:p>
        </w:tc>
        <w:tc>
          <w:tcPr>
            <w:tcBorders/>
            <w:tcW w:w="1814" w:type="dxa"/>
          </w:tcPr>
          <w:p>
            <w:pPr>
              <w:pBdr/>
              <w:spacing/>
              <w:ind/>
              <w:jc w:val="center"/>
              <w:rPr/>
            </w:pPr>
            <w:r>
              <w:rPr>
                <w:sz w:val="18"/>
              </w:rPr>
              <w:t xml:space="preserve">51.17</w:t>
            </w:r>
            <w:r/>
          </w:p>
        </w:tc>
        <w:tc>
          <w:tcPr>
            <w:tcBorders/>
            <w:tcW w:w="1417" w:type="dxa"/>
          </w:tcPr>
          <w:p>
            <w:pPr>
              <w:pBdr/>
              <w:spacing/>
              <w:ind/>
              <w:jc w:val="center"/>
              <w:rPr/>
            </w:pPr>
            <w:r>
              <w:rPr>
                <w:sz w:val="18"/>
              </w:rPr>
              <w:t xml:space="preserve"> 0.0</w:t>
            </w:r>
            <w:r/>
          </w:p>
        </w:tc>
      </w:tr>
      <w:tr>
        <w:trPr/>
        <w:tc>
          <w:tcPr>
            <w:shd w:val="clear" w:color="auto" w:fill="edf1f7"/>
            <w:tcBorders/>
            <w:tcW w:w="2381" w:type="dxa"/>
          </w:tcPr>
          <w:p>
            <w:pPr>
              <w:pBdr/>
              <w:spacing/>
              <w:ind/>
              <w:jc w:val="center"/>
              <w:rPr/>
            </w:pPr>
            <w:r>
              <w:rPr>
                <w:sz w:val="18"/>
              </w:rPr>
              <w:t xml:space="preserve">linear_accum ★</w:t>
            </w:r>
            <w:r/>
          </w:p>
        </w:tc>
        <w:tc>
          <w:tcPr>
            <w:shd w:val="clear" w:color="auto" w:fill="edf1f7"/>
            <w:tcBorders/>
            <w:tcW w:w="2154" w:type="dxa"/>
          </w:tcPr>
          <w:p>
            <w:pPr>
              <w:pBdr/>
              <w:spacing/>
              <w:ind/>
              <w:jc w:val="center"/>
              <w:rPr/>
            </w:pPr>
            <w:r>
              <w:rPr>
                <w:sz w:val="18"/>
              </w:rPr>
              <w:t xml:space="preserve">96.38</w:t>
            </w:r>
            <w:r/>
          </w:p>
        </w:tc>
        <w:tc>
          <w:tcPr>
            <w:shd w:val="clear" w:color="auto" w:fill="edf1f7"/>
            <w:tcBorders/>
            <w:tcW w:w="2154" w:type="dxa"/>
          </w:tcPr>
          <w:p>
            <w:pPr>
              <w:pBdr/>
              <w:spacing/>
              <w:ind/>
              <w:jc w:val="center"/>
              <w:rPr/>
            </w:pPr>
            <w:r>
              <w:rPr>
                <w:sz w:val="18"/>
              </w:rPr>
              <w:t xml:space="preserve">74.63</w:t>
            </w:r>
            <w:r/>
          </w:p>
        </w:tc>
        <w:tc>
          <w:tcPr>
            <w:shd w:val="clear" w:color="auto" w:fill="edf1f7"/>
            <w:tcBorders/>
            <w:tcW w:w="1814" w:type="dxa"/>
          </w:tcPr>
          <w:p>
            <w:pPr>
              <w:pBdr/>
              <w:spacing/>
              <w:ind/>
              <w:jc w:val="center"/>
              <w:rPr/>
            </w:pPr>
            <w:r>
              <w:rPr>
                <w:sz w:val="18"/>
              </w:rPr>
              <w:t xml:space="preserve">85.81</w:t>
            </w:r>
            <w:r/>
          </w:p>
        </w:tc>
        <w:tc>
          <w:tcPr>
            <w:shd w:val="clear" w:color="auto" w:fill="edf1f7"/>
            <w:tcBorders/>
            <w:tcW w:w="1417" w:type="dxa"/>
          </w:tcPr>
          <w:p>
            <w:pPr>
              <w:pBdr/>
              <w:spacing/>
              <w:ind/>
              <w:jc w:val="center"/>
              <w:rPr/>
            </w:pPr>
            <w:r>
              <w:rPr>
                <w:sz w:val="18"/>
              </w:rPr>
              <w:t xml:space="preserve">20.5</w:t>
            </w:r>
            <w:r/>
          </w:p>
        </w:tc>
      </w:tr>
      <w:tr>
        <w:trPr/>
        <w:tc>
          <w:tcPr>
            <w:tcBorders/>
            <w:tcW w:w="2381" w:type="dxa"/>
          </w:tcPr>
          <w:p>
            <w:pPr>
              <w:pBdr/>
              <w:spacing/>
              <w:ind/>
              <w:jc w:val="center"/>
              <w:rPr/>
            </w:pPr>
            <w:r>
              <w:rPr>
                <w:sz w:val="18"/>
              </w:rPr>
              <w:t xml:space="preserve">linear_new_only</w:t>
            </w:r>
            <w:r/>
          </w:p>
        </w:tc>
        <w:tc>
          <w:tcPr>
            <w:tcBorders/>
            <w:tcW w:w="2154" w:type="dxa"/>
          </w:tcPr>
          <w:p>
            <w:pPr>
              <w:pBdr/>
              <w:spacing/>
              <w:ind/>
              <w:jc w:val="center"/>
              <w:rPr/>
            </w:pPr>
            <w:r>
              <w:rPr>
                <w:sz w:val="18"/>
              </w:rPr>
              <w:t xml:space="preserve"> 0.00</w:t>
            </w:r>
            <w:r/>
          </w:p>
        </w:tc>
        <w:tc>
          <w:tcPr>
            <w:tcBorders/>
            <w:tcW w:w="2154" w:type="dxa"/>
          </w:tcPr>
          <w:p>
            <w:pPr>
              <w:pBdr/>
              <w:spacing/>
              <w:ind/>
              <w:jc w:val="center"/>
              <w:rPr/>
            </w:pPr>
            <w:r>
              <w:rPr>
                <w:sz w:val="18"/>
              </w:rPr>
              <w:t xml:space="preserve">80.60</w:t>
            </w:r>
            <w:r/>
          </w:p>
        </w:tc>
        <w:tc>
          <w:tcPr>
            <w:tcBorders/>
            <w:tcW w:w="1814" w:type="dxa"/>
          </w:tcPr>
          <w:p>
            <w:pPr>
              <w:pBdr/>
              <w:spacing/>
              <w:ind/>
              <w:jc w:val="center"/>
              <w:rPr/>
            </w:pPr>
            <w:r>
              <w:rPr>
                <w:sz w:val="18"/>
              </w:rPr>
              <w:t xml:space="preserve">39.18</w:t>
            </w:r>
            <w:r/>
          </w:p>
        </w:tc>
        <w:tc>
          <w:tcPr>
            <w:tcBorders/>
            <w:tcW w:w="1417" w:type="dxa"/>
          </w:tcPr>
          <w:p>
            <w:pPr>
              <w:pBdr/>
              <w:spacing/>
              <w:ind/>
              <w:jc w:val="center"/>
              <w:rPr/>
            </w:pPr>
            <w:r>
              <w:rPr>
                <w:sz w:val="18"/>
              </w:rPr>
              <w:t xml:space="preserve">20.9</w:t>
            </w:r>
            <w:r/>
          </w:p>
        </w:tc>
      </w:tr>
      <w:tr>
        <w:trPr/>
        <w:tc>
          <w:tcPr>
            <w:shd w:val="clear" w:color="auto" w:fill="edf1f7"/>
            <w:tcBorders/>
            <w:tcW w:w="2381" w:type="dxa"/>
          </w:tcPr>
          <w:p>
            <w:pPr>
              <w:pBdr/>
              <w:spacing/>
              <w:ind/>
              <w:jc w:val="center"/>
              <w:rPr/>
            </w:pPr>
            <w:r>
              <w:rPr>
                <w:sz w:val="18"/>
              </w:rPr>
              <w:t xml:space="preserve">gradient_new_only</w:t>
            </w:r>
            <w:r/>
          </w:p>
        </w:tc>
        <w:tc>
          <w:tcPr>
            <w:shd w:val="clear" w:color="auto" w:fill="edf1f7"/>
            <w:tcBorders/>
            <w:tcW w:w="2154" w:type="dxa"/>
          </w:tcPr>
          <w:p>
            <w:pPr>
              <w:pBdr/>
              <w:spacing/>
              <w:ind/>
              <w:jc w:val="center"/>
              <w:rPr/>
            </w:pPr>
            <w:r>
              <w:rPr>
                <w:sz w:val="18"/>
              </w:rPr>
              <w:t xml:space="preserve"> 0.00</w:t>
            </w:r>
            <w:r/>
          </w:p>
        </w:tc>
        <w:tc>
          <w:tcPr>
            <w:shd w:val="clear" w:color="auto" w:fill="edf1f7"/>
            <w:tcBorders/>
            <w:tcW w:w="2154" w:type="dxa"/>
          </w:tcPr>
          <w:p>
            <w:pPr>
              <w:pBdr/>
              <w:spacing/>
              <w:ind/>
              <w:jc w:val="center"/>
              <w:rPr/>
            </w:pPr>
            <w:r>
              <w:rPr>
                <w:sz w:val="18"/>
              </w:rPr>
              <w:t xml:space="preserve">78.75</w:t>
            </w:r>
            <w:r/>
          </w:p>
        </w:tc>
        <w:tc>
          <w:tcPr>
            <w:shd w:val="clear" w:color="auto" w:fill="edf1f7"/>
            <w:tcBorders/>
            <w:tcW w:w="1814" w:type="dxa"/>
          </w:tcPr>
          <w:p>
            <w:pPr>
              <w:pBdr/>
              <w:spacing/>
              <w:ind/>
              <w:jc w:val="center"/>
              <w:rPr/>
            </w:pPr>
            <w:r>
              <w:rPr>
                <w:sz w:val="18"/>
              </w:rPr>
              <w:t xml:space="preserve">38.28</w:t>
            </w:r>
            <w:r/>
          </w:p>
        </w:tc>
        <w:tc>
          <w:tcPr>
            <w:shd w:val="clear" w:color="auto" w:fill="edf1f7"/>
            <w:tcBorders/>
            <w:tcW w:w="1417" w:type="dxa"/>
          </w:tcPr>
          <w:p>
            <w:pPr>
              <w:pBdr/>
              <w:spacing/>
              <w:ind/>
              <w:jc w:val="center"/>
              <w:rPr/>
            </w:pPr>
            <w:r>
              <w:rPr>
                <w:sz w:val="18"/>
              </w:rPr>
              <w:t xml:space="preserve">29.9</w:t>
            </w:r>
            <w:r/>
          </w:p>
        </w:tc>
      </w:tr>
      <w:tr>
        <w:trPr/>
        <w:tc>
          <w:tcPr>
            <w:tcBorders/>
            <w:tcW w:w="2381" w:type="dxa"/>
          </w:tcPr>
          <w:p>
            <w:pPr>
              <w:pBdr/>
              <w:spacing/>
              <w:ind/>
              <w:jc w:val="center"/>
              <w:rPr/>
            </w:pPr>
            <w:r>
              <w:rPr>
                <w:sz w:val="18"/>
              </w:rPr>
              <w:t xml:space="preserve">finetune_new_only</w:t>
            </w:r>
            <w:r/>
          </w:p>
        </w:tc>
        <w:tc>
          <w:tcPr>
            <w:tcBorders/>
            <w:tcW w:w="2154" w:type="dxa"/>
          </w:tcPr>
          <w:p>
            <w:pPr>
              <w:pBdr/>
              <w:spacing/>
              <w:ind/>
              <w:jc w:val="center"/>
              <w:rPr/>
            </w:pPr>
            <w:r>
              <w:rPr>
                <w:sz w:val="18"/>
              </w:rPr>
              <w:t xml:space="preserve"> 0.00</w:t>
            </w:r>
            <w:r/>
          </w:p>
        </w:tc>
        <w:tc>
          <w:tcPr>
            <w:tcBorders/>
            <w:tcW w:w="2154" w:type="dxa"/>
          </w:tcPr>
          <w:p>
            <w:pPr>
              <w:pBdr/>
              <w:spacing/>
              <w:ind/>
              <w:jc w:val="center"/>
              <w:rPr/>
            </w:pPr>
            <w:r>
              <w:rPr>
                <w:sz w:val="18"/>
              </w:rPr>
              <w:t xml:space="preserve">21.15</w:t>
            </w:r>
            <w:r/>
          </w:p>
        </w:tc>
        <w:tc>
          <w:tcPr>
            <w:tcBorders/>
            <w:tcW w:w="1814" w:type="dxa"/>
          </w:tcPr>
          <w:p>
            <w:pPr>
              <w:pBdr/>
              <w:spacing/>
              <w:ind/>
              <w:jc w:val="center"/>
              <w:rPr/>
            </w:pPr>
            <w:r>
              <w:rPr>
                <w:sz w:val="18"/>
              </w:rPr>
              <w:t xml:space="preserve">10.28</w:t>
            </w:r>
            <w:r/>
          </w:p>
        </w:tc>
        <w:tc>
          <w:tcPr>
            <w:tcBorders/>
            <w:tcW w:w="1417" w:type="dxa"/>
          </w:tcPr>
          <w:p>
            <w:pPr>
              <w:pBdr/>
              <w:spacing/>
              <w:ind/>
              <w:jc w:val="center"/>
              <w:rPr/>
            </w:pPr>
            <w:r>
              <w:rPr>
                <w:sz w:val="18"/>
              </w:rPr>
              <w:t xml:space="preserve">17.6</w:t>
            </w:r>
            <w:r/>
          </w:p>
        </w:tc>
      </w:tr>
      <w:tr>
        <w:trPr/>
        <w:tc>
          <w:tcPr>
            <w:shd w:val="clear" w:color="auto" w:fill="edf1f7"/>
            <w:tcBorders/>
            <w:tcW w:w="2381" w:type="dxa"/>
          </w:tcPr>
          <w:p>
            <w:pPr>
              <w:pBdr/>
              <w:spacing/>
              <w:ind/>
              <w:jc w:val="center"/>
              <w:rPr/>
            </w:pPr>
            <w:r>
              <w:rPr>
                <w:sz w:val="18"/>
              </w:rPr>
              <w:t xml:space="preserve">cumulative (oráculo)</w:t>
            </w:r>
            <w:r/>
          </w:p>
        </w:tc>
        <w:tc>
          <w:tcPr>
            <w:shd w:val="clear" w:color="auto" w:fill="edf1f7"/>
            <w:tcBorders/>
            <w:tcW w:w="2154" w:type="dxa"/>
          </w:tcPr>
          <w:p>
            <w:pPr>
              <w:pBdr/>
              <w:spacing/>
              <w:ind/>
              <w:jc w:val="center"/>
              <w:rPr/>
            </w:pPr>
            <w:r>
              <w:rPr>
                <w:sz w:val="18"/>
              </w:rPr>
              <w:t xml:space="preserve">98.66</w:t>
            </w:r>
            <w:r/>
          </w:p>
        </w:tc>
        <w:tc>
          <w:tcPr>
            <w:shd w:val="clear" w:color="auto" w:fill="edf1f7"/>
            <w:tcBorders/>
            <w:tcW w:w="2154" w:type="dxa"/>
          </w:tcPr>
          <w:p>
            <w:pPr>
              <w:pBdr/>
              <w:spacing/>
              <w:ind/>
              <w:jc w:val="center"/>
              <w:rPr/>
            </w:pPr>
            <w:r>
              <w:rPr>
                <w:sz w:val="18"/>
              </w:rPr>
              <w:t xml:space="preserve">20.41</w:t>
            </w:r>
            <w:r/>
          </w:p>
        </w:tc>
        <w:tc>
          <w:tcPr>
            <w:shd w:val="clear" w:color="auto" w:fill="edf1f7"/>
            <w:tcBorders/>
            <w:tcW w:w="1814" w:type="dxa"/>
          </w:tcPr>
          <w:p>
            <w:pPr>
              <w:pBdr/>
              <w:spacing/>
              <w:ind/>
              <w:jc w:val="center"/>
              <w:rPr/>
            </w:pPr>
            <w:r>
              <w:rPr>
                <w:sz w:val="18"/>
              </w:rPr>
              <w:t xml:space="preserve">60.62</w:t>
            </w:r>
            <w:r/>
          </w:p>
        </w:tc>
        <w:tc>
          <w:tcPr>
            <w:shd w:val="clear" w:color="auto" w:fill="edf1f7"/>
            <w:tcBorders/>
            <w:tcW w:w="1417" w:type="dxa"/>
          </w:tcPr>
          <w:p>
            <w:pPr>
              <w:pBdr/>
              <w:spacing/>
              <w:ind/>
              <w:jc w:val="center"/>
              <w:rPr/>
            </w:pPr>
            <w:r>
              <w:rPr>
                <w:sz w:val="18"/>
              </w:rPr>
              <w:t xml:space="preserve">35.7</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El único método que preserva el conocimiento de las clas</w:t>
      </w:r>
      <w:r>
        <w:rPr>
          <w:b w:val="0"/>
          <w:i w:val="0"/>
          <w:sz w:val="20"/>
        </w:rPr>
        <w:t xml:space="preserve">es 0-4 mientras aprende las nuevas clases 5-9 es QsimovLinearSystem con acumulación (linear_accum): mantiene 96.38 % en las clases antiguas y alcanza 74.63 % en las nuevas en apenas 20.5 s, sin haber accedido a los datos de fase 1 durante la actualización.</w:t>
      </w:r>
      <w:r/>
    </w:p>
    <w:p>
      <w:pPr>
        <w:pBdr/>
        <w:spacing/>
        <w:ind/>
        <w:rPr/>
      </w:pPr>
      <w:r>
        <w:rPr>
          <w:b w:val="0"/>
          <w:i w:val="0"/>
          <w:sz w:val="20"/>
        </w:rPr>
        <w:t xml:space="preserve">Todos los métodos que sol</w:t>
      </w:r>
      <w:r>
        <w:rPr>
          <w:b w:val="0"/>
          <w:i w:val="0"/>
          <w:sz w:val="20"/>
        </w:rPr>
        <w:t xml:space="preserve">o usan datos de fase 2 (linear_new_only, gradient_new_only, finetune_new_only) olvidan completamente las clases 0-4 (0 %). El fine-tuning estándar, además, aprende mal las clases nuevas (21.15 %). El oráculo cumulative, que dispone de todos los datos histó</w:t>
      </w:r>
      <w:r>
        <w:rPr>
          <w:b w:val="0"/>
          <w:i w:val="0"/>
          <w:sz w:val="20"/>
        </w:rPr>
        <w:t xml:space="preserve">ricos, también aprende poco sobre las clases 5-9 (20.41 %) con las 5 epochs usadas, y tarda 35.7 s. linear_accum supera al oráculo en la tarea nueva (74.63 % vs 20.41 %) y es más rápido (20.5 s vs 35.7 s), lo que confirma la ventaja del enfoque algebraico.</w:t>
      </w:r>
      <w:r/>
    </w:p>
    <w:p>
      <w:pPr>
        <w:pStyle w:val="694"/>
        <w:pBdr/>
        <w:spacing/>
        <w:ind/>
        <w:rPr/>
      </w:pPr>
      <w:r>
        <w:rPr>
          <w:color w:val="1f497d"/>
        </w:rPr>
        <w:t xml:space="preserve">4.4 Generalización con pocos datos — CIFAR-10</w:t>
      </w:r>
      <w:r/>
    </w:p>
    <w:p>
      <w:pPr>
        <w:pBdr/>
        <w:spacing/>
        <w:ind/>
        <w:rPr/>
      </w:pPr>
      <w:r>
        <w:rPr>
          <w:b/>
          <w:i w:val="0"/>
          <w:sz w:val="20"/>
        </w:rPr>
        <w:t xml:space="preserve">Objetivo</w:t>
      </w:r>
      <w:r/>
    </w:p>
    <w:p>
      <w:pPr>
        <w:pBdr/>
        <w:spacing/>
        <w:ind/>
        <w:rPr/>
      </w:pPr>
      <w:r>
        <w:rPr>
          <w:b w:val="0"/>
          <w:i w:val="0"/>
          <w:sz w:val="20"/>
        </w:rPr>
        <w:t xml:space="preserve">Evaluar cómo se comporta QsimovGradient en CIFAR-10 cuando el PathSelector ha sido entrenado con un conjunto de datos reducido, simulando el escenario en que la red base es de baja calidad por falta de datos.</w:t>
      </w:r>
      <w:r/>
    </w:p>
    <w:p>
      <w:pPr>
        <w:pBdr/>
        <w:spacing/>
        <w:ind/>
        <w:rPr/>
      </w:pPr>
      <w:r>
        <w:rPr>
          <w:b/>
          <w:i w:val="0"/>
          <w:sz w:val="20"/>
        </w:rPr>
        <w:t xml:space="preserve">Configuración</w:t>
      </w:r>
      <w:r/>
    </w:p>
    <w:p>
      <w:pPr>
        <w:pBdr/>
        <w:spacing/>
        <w:ind/>
        <w:rPr/>
      </w:pPr>
      <w:r>
        <w:rPr>
          <w:b w:val="0"/>
          <w:i w:val="0"/>
          <w:sz w:val="20"/>
        </w:rPr>
        <w:t xml:space="preserve">Dataset: CIFAR-10. El PathSelector se entrena con un split pequeño (100, 1 000 o 5 000 muestra</w:t>
      </w:r>
      <w:r>
        <w:rPr>
          <w:b w:val="0"/>
          <w:i w:val="0"/>
          <w:sz w:val="20"/>
        </w:rPr>
        <w:t xml:space="preserve">s), pero QsimovGradient siempre entrena con el conjunto completo (50 000 muestras). Se compara con LeNet estándar entrenado con el mismo split pequeño, y con el PathSelector sin capa Qsimov (solo fine-tuning del top estrecho). 10 epochs en todos los casos.</w:t>
      </w:r>
      <w:r/>
    </w:p>
    <w:p>
      <w:pPr>
        <w:pBdr/>
        <w:spacing/>
        <w:ind/>
        <w:rPr/>
      </w:pPr>
      <w:r>
        <w:rPr>
          <w:b/>
          <w:i/>
          <w:sz w:val="18"/>
        </w:rPr>
        <w:t xml:space="preserve">Tabla 8. Accuracy de validación en CIFAR-10 (test set de 10 000 muestras) en función del tamaño del split usado para entrenar el PathSelector. QsimovGradient usa siempre el conjunto completo para entrenar la capa Qsimov.</w:t>
      </w:r>
      <w:r/>
    </w:p>
    <w:tbl>
      <w:tblPr>
        <w:tblStyle w:val="753"/>
        <w:tblW w:w="0" w:type="auto"/>
        <w:tblBorders/>
        <w:tblLook w:val="04A0" w:firstRow="1" w:lastRow="0" w:firstColumn="1" w:lastColumn="0" w:noHBand="0" w:noVBand="1"/>
      </w:tblPr>
      <w:tblGrid>
        <w:gridCol w:w="2266"/>
        <w:gridCol w:w="2266"/>
        <w:gridCol w:w="2266"/>
        <w:gridCol w:w="2266"/>
      </w:tblGrid>
      <w:tr>
        <w:trPr/>
        <w:tc>
          <w:tcPr>
            <w:shd w:val="clear" w:color="auto" w:fill="1f497d"/>
            <w:tcBorders/>
            <w:tcW w:w="2551" w:type="dxa"/>
          </w:tcPr>
          <w:p>
            <w:pPr>
              <w:pBdr/>
              <w:spacing/>
              <w:ind/>
              <w:jc w:val="center"/>
              <w:rPr/>
            </w:pPr>
            <w:r>
              <w:rPr>
                <w:b/>
                <w:color w:val="ffffff"/>
                <w:sz w:val="18"/>
              </w:rPr>
              <w:t xml:space="preserve">Nº muestras (split)</w:t>
            </w:r>
            <w:r/>
          </w:p>
        </w:tc>
        <w:tc>
          <w:tcPr>
            <w:shd w:val="clear" w:color="auto" w:fill="1f497d"/>
            <w:tcBorders/>
            <w:tcW w:w="2268" w:type="dxa"/>
          </w:tcPr>
          <w:p>
            <w:pPr>
              <w:pBdr/>
              <w:spacing/>
              <w:ind/>
              <w:jc w:val="center"/>
              <w:rPr/>
            </w:pPr>
            <w:r>
              <w:rPr>
                <w:b/>
                <w:color w:val="ffffff"/>
                <w:sz w:val="18"/>
              </w:rPr>
              <w:t xml:space="preserve">LeNet estándar (%)</w:t>
            </w:r>
            <w:r/>
          </w:p>
        </w:tc>
        <w:tc>
          <w:tcPr>
            <w:shd w:val="clear" w:color="auto" w:fill="1f497d"/>
            <w:tcBorders/>
            <w:tcW w:w="1984" w:type="dxa"/>
          </w:tcPr>
          <w:p>
            <w:pPr>
              <w:pBdr/>
              <w:spacing/>
              <w:ind/>
              <w:jc w:val="center"/>
              <w:rPr/>
            </w:pPr>
            <w:r>
              <w:rPr>
                <w:b/>
                <w:color w:val="ffffff"/>
                <w:sz w:val="18"/>
              </w:rPr>
              <w:t xml:space="preserve">PathSelector (%)</w:t>
            </w:r>
            <w:r/>
          </w:p>
        </w:tc>
        <w:tc>
          <w:tcPr>
            <w:shd w:val="clear" w:color="auto" w:fill="1f497d"/>
            <w:tcBorders/>
            <w:tcW w:w="2268" w:type="dxa"/>
          </w:tcPr>
          <w:p>
            <w:pPr>
              <w:pBdr/>
              <w:spacing/>
              <w:ind/>
              <w:jc w:val="center"/>
              <w:rPr/>
            </w:pPr>
            <w:r>
              <w:rPr>
                <w:b/>
                <w:color w:val="ffffff"/>
                <w:sz w:val="18"/>
              </w:rPr>
              <w:t xml:space="preserve">QsimovGradient (%)</w:t>
            </w:r>
            <w:r/>
          </w:p>
        </w:tc>
      </w:tr>
      <w:tr>
        <w:trPr/>
        <w:tc>
          <w:tcPr>
            <w:tcBorders/>
            <w:tcW w:w="2551" w:type="dxa"/>
          </w:tcPr>
          <w:p>
            <w:pPr>
              <w:pBdr/>
              <w:spacing/>
              <w:ind/>
              <w:jc w:val="center"/>
              <w:rPr/>
            </w:pPr>
            <w:r>
              <w:rPr>
                <w:sz w:val="18"/>
              </w:rPr>
              <w:t xml:space="preserve">100</w:t>
            </w:r>
            <w:r/>
          </w:p>
        </w:tc>
        <w:tc>
          <w:tcPr>
            <w:tcBorders/>
            <w:tcW w:w="2268" w:type="dxa"/>
          </w:tcPr>
          <w:p>
            <w:pPr>
              <w:pBdr/>
              <w:spacing/>
              <w:ind/>
              <w:jc w:val="center"/>
              <w:rPr/>
            </w:pPr>
            <w:r>
              <w:rPr>
                <w:sz w:val="18"/>
              </w:rPr>
              <w:t xml:space="preserve">17.06</w:t>
            </w:r>
            <w:r/>
          </w:p>
        </w:tc>
        <w:tc>
          <w:tcPr>
            <w:tcBorders/>
            <w:tcW w:w="1984" w:type="dxa"/>
          </w:tcPr>
          <w:p>
            <w:pPr>
              <w:pBdr/>
              <w:spacing/>
              <w:ind/>
              <w:jc w:val="center"/>
              <w:rPr/>
            </w:pPr>
            <w:r>
              <w:rPr>
                <w:sz w:val="18"/>
              </w:rPr>
              <w:t xml:space="preserve">14.72</w:t>
            </w:r>
            <w:r/>
          </w:p>
        </w:tc>
        <w:tc>
          <w:tcPr>
            <w:tcBorders/>
            <w:tcW w:w="2268" w:type="dxa"/>
          </w:tcPr>
          <w:p>
            <w:pPr>
              <w:pBdr/>
              <w:spacing/>
              <w:ind/>
              <w:jc w:val="center"/>
              <w:rPr/>
            </w:pPr>
            <w:r>
              <w:rPr>
                <w:sz w:val="18"/>
              </w:rPr>
              <w:t xml:space="preserve">19.81</w:t>
            </w:r>
            <w:r/>
          </w:p>
        </w:tc>
      </w:tr>
      <w:tr>
        <w:trPr/>
        <w:tc>
          <w:tcPr>
            <w:shd w:val="clear" w:color="auto" w:fill="edf1f7"/>
            <w:tcBorders/>
            <w:tcW w:w="2551" w:type="dxa"/>
          </w:tcPr>
          <w:p>
            <w:pPr>
              <w:pBdr/>
              <w:spacing/>
              <w:ind/>
              <w:jc w:val="center"/>
              <w:rPr/>
            </w:pPr>
            <w:r>
              <w:rPr>
                <w:sz w:val="18"/>
              </w:rPr>
              <w:t xml:space="preserve">1 000</w:t>
            </w:r>
            <w:r/>
          </w:p>
        </w:tc>
        <w:tc>
          <w:tcPr>
            <w:shd w:val="clear" w:color="auto" w:fill="edf1f7"/>
            <w:tcBorders/>
            <w:tcW w:w="2268" w:type="dxa"/>
          </w:tcPr>
          <w:p>
            <w:pPr>
              <w:pBdr/>
              <w:spacing/>
              <w:ind/>
              <w:jc w:val="center"/>
              <w:rPr/>
            </w:pPr>
            <w:r>
              <w:rPr>
                <w:sz w:val="18"/>
              </w:rPr>
              <w:t xml:space="preserve">33.62</w:t>
            </w:r>
            <w:r/>
          </w:p>
        </w:tc>
        <w:tc>
          <w:tcPr>
            <w:shd w:val="clear" w:color="auto" w:fill="edf1f7"/>
            <w:tcBorders/>
            <w:tcW w:w="1984" w:type="dxa"/>
          </w:tcPr>
          <w:p>
            <w:pPr>
              <w:pBdr/>
              <w:spacing/>
              <w:ind/>
              <w:jc w:val="center"/>
              <w:rPr/>
            </w:pPr>
            <w:r>
              <w:rPr>
                <w:sz w:val="18"/>
              </w:rPr>
              <w:t xml:space="preserve">27.67</w:t>
            </w:r>
            <w:r/>
          </w:p>
        </w:tc>
        <w:tc>
          <w:tcPr>
            <w:shd w:val="clear" w:color="auto" w:fill="edf1f7"/>
            <w:tcBorders/>
            <w:tcW w:w="2268" w:type="dxa"/>
          </w:tcPr>
          <w:p>
            <w:pPr>
              <w:pBdr/>
              <w:spacing/>
              <w:ind/>
              <w:jc w:val="center"/>
              <w:rPr/>
            </w:pPr>
            <w:r>
              <w:rPr>
                <w:sz w:val="18"/>
              </w:rPr>
              <w:t xml:space="preserve">27.97</w:t>
            </w:r>
            <w:r/>
          </w:p>
        </w:tc>
      </w:tr>
      <w:tr>
        <w:trPr/>
        <w:tc>
          <w:tcPr>
            <w:tcBorders/>
            <w:tcW w:w="2551" w:type="dxa"/>
          </w:tcPr>
          <w:p>
            <w:pPr>
              <w:pBdr/>
              <w:spacing/>
              <w:ind/>
              <w:jc w:val="center"/>
              <w:rPr/>
            </w:pPr>
            <w:r>
              <w:rPr>
                <w:sz w:val="18"/>
              </w:rPr>
              <w:t xml:space="preserve">5 000</w:t>
            </w:r>
            <w:r/>
          </w:p>
        </w:tc>
        <w:tc>
          <w:tcPr>
            <w:tcBorders/>
            <w:tcW w:w="2268" w:type="dxa"/>
          </w:tcPr>
          <w:p>
            <w:pPr>
              <w:pBdr/>
              <w:spacing/>
              <w:ind/>
              <w:jc w:val="center"/>
              <w:rPr/>
            </w:pPr>
            <w:r>
              <w:rPr>
                <w:sz w:val="18"/>
              </w:rPr>
              <w:t xml:space="preserve">42.37</w:t>
            </w:r>
            <w:r/>
          </w:p>
        </w:tc>
        <w:tc>
          <w:tcPr>
            <w:tcBorders/>
            <w:tcW w:w="1984" w:type="dxa"/>
          </w:tcPr>
          <w:p>
            <w:pPr>
              <w:pBdr/>
              <w:spacing/>
              <w:ind/>
              <w:jc w:val="center"/>
              <w:rPr/>
            </w:pPr>
            <w:r>
              <w:rPr>
                <w:sz w:val="18"/>
              </w:rPr>
              <w:t xml:space="preserve">42.55</w:t>
            </w:r>
            <w:r/>
          </w:p>
        </w:tc>
        <w:tc>
          <w:tcPr>
            <w:tcBorders/>
            <w:tcW w:w="2268" w:type="dxa"/>
          </w:tcPr>
          <w:p>
            <w:pPr>
              <w:pBdr/>
              <w:spacing/>
              <w:ind/>
              <w:jc w:val="center"/>
              <w:rPr/>
            </w:pPr>
            <w:r>
              <w:rPr>
                <w:sz w:val="18"/>
              </w:rPr>
              <w:t xml:space="preserve">35.07</w:t>
            </w:r>
            <w:r/>
          </w:p>
        </w:tc>
      </w:tr>
      <w:tr>
        <w:trPr/>
        <w:tc>
          <w:tcPr>
            <w:shd w:val="clear" w:color="auto" w:fill="edf1f7"/>
            <w:tcBorders/>
            <w:tcW w:w="2551" w:type="dxa"/>
          </w:tcPr>
          <w:p>
            <w:pPr>
              <w:pBdr/>
              <w:spacing/>
              <w:ind/>
              <w:jc w:val="center"/>
              <w:rPr/>
            </w:pPr>
            <w:r>
              <w:rPr>
                <w:sz w:val="18"/>
              </w:rPr>
              <w:t xml:space="preserve">Completo (50 000)</w:t>
            </w:r>
            <w:r/>
          </w:p>
        </w:tc>
        <w:tc>
          <w:tcPr>
            <w:shd w:val="clear" w:color="auto" w:fill="edf1f7"/>
            <w:tcBorders/>
            <w:tcW w:w="2268" w:type="dxa"/>
          </w:tcPr>
          <w:p>
            <w:pPr>
              <w:pBdr/>
              <w:spacing/>
              <w:ind/>
              <w:jc w:val="center"/>
              <w:rPr/>
            </w:pPr>
            <w:r>
              <w:rPr>
                <w:sz w:val="18"/>
              </w:rPr>
              <w:t xml:space="preserve">61.88</w:t>
            </w:r>
            <w:r/>
          </w:p>
        </w:tc>
        <w:tc>
          <w:tcPr>
            <w:shd w:val="clear" w:color="auto" w:fill="edf1f7"/>
            <w:tcBorders/>
            <w:tcW w:w="1984" w:type="dxa"/>
          </w:tcPr>
          <w:p>
            <w:pPr>
              <w:pBdr/>
              <w:spacing/>
              <w:ind/>
              <w:jc w:val="center"/>
              <w:rPr/>
            </w:pPr>
            <w:r>
              <w:rPr>
                <w:sz w:val="18"/>
              </w:rPr>
              <w:t xml:space="preserve">—</w:t>
            </w:r>
            <w:r/>
          </w:p>
        </w:tc>
        <w:tc>
          <w:tcPr>
            <w:shd w:val="clear" w:color="auto" w:fill="edf1f7"/>
            <w:tcBorders/>
            <w:tcW w:w="2268" w:type="dxa"/>
          </w:tcPr>
          <w:p>
            <w:pPr>
              <w:pBdr/>
              <w:spacing/>
              <w:ind/>
              <w:jc w:val="center"/>
              <w:rPr/>
            </w:pPr>
            <w:r>
              <w:rPr>
                <w:sz w:val="18"/>
              </w:rPr>
              <w:t xml:space="preserve">—</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Con el split más pequeño (100 muestras), QsimovGradi</w:t>
      </w:r>
      <w:r>
        <w:rPr>
          <w:b w:val="0"/>
          <w:i w:val="0"/>
          <w:sz w:val="20"/>
        </w:rPr>
        <w:t xml:space="preserve">ent supera a LeNet estándar (19.81 % vs 17.06 %), a pesar de que el PathSelector subyacente es de peor calidad. Esto se debe a que Qsimov aplica el gradiente solo a los pesos del path activo, lo que funciona como regularización y ayuda con muy pocos datos.</w:t>
      </w:r>
      <w:r/>
    </w:p>
    <w:p>
      <w:pPr>
        <w:pBdr/>
        <w:spacing/>
        <w:ind/>
        <w:rPr/>
      </w:pPr>
      <w:r>
        <w:rPr>
          <w:b w:val="0"/>
          <w:i w:val="0"/>
          <w:sz w:val="20"/>
        </w:rPr>
        <w:t xml:space="preserve">Sin embargo, al aumentar el tamaño del split, LeNet estándar supera a Qsimov (42.37 % vs 35.07 % con 5 000 muestras). </w:t>
      </w:r>
      <w:r>
        <w:rPr>
          <w:b w:val="0"/>
          <w:i w:val="0"/>
          <w:sz w:val="20"/>
        </w:rPr>
        <w:t xml:space="preserve">La razón principal es que el PathSelector entrenado con pocos datos produce paths de baja calidad, lo que limita la capacidad de QsimovGradient. CIFAR-10 tiene solo 33 paths disponibles con initial_layer=-1, lo que reduce la diversidad de representaciones.</w:t>
      </w:r>
      <w:r/>
    </w:p>
    <w:p>
      <w:pPr>
        <w:pStyle w:val="694"/>
        <w:pBdr/>
        <w:spacing/>
        <w:ind/>
        <w:rPr/>
      </w:pPr>
      <w:r>
        <w:rPr>
          <w:color w:val="1f497d"/>
        </w:rPr>
        <w:t xml:space="preserve">4.5 Olvido catastrófico — CIFAR-10</w:t>
      </w:r>
      <w:r/>
    </w:p>
    <w:p>
      <w:pPr>
        <w:pBdr/>
        <w:spacing/>
        <w:ind/>
        <w:rPr/>
      </w:pPr>
      <w:r>
        <w:rPr>
          <w:b/>
          <w:i w:val="0"/>
          <w:sz w:val="20"/>
        </w:rPr>
        <w:t xml:space="preserve">Objetivo</w:t>
      </w:r>
      <w:r/>
    </w:p>
    <w:p>
      <w:pPr>
        <w:pBdr/>
        <w:spacing/>
        <w:ind/>
        <w:rPr/>
      </w:pPr>
      <w:r>
        <w:rPr>
          <w:b w:val="0"/>
          <w:i w:val="0"/>
          <w:sz w:val="20"/>
        </w:rPr>
        <w:t xml:space="preserve">Replicar el experimento de olvido catastrófico de MNIST en un dataset más complejo para verificar si las conclusiones se sostienen y detectar posibles limitaciones de Qsimov con datasets más difíciles.</w:t>
      </w:r>
      <w:r/>
    </w:p>
    <w:p>
      <w:pPr>
        <w:pBdr/>
        <w:spacing/>
        <w:ind/>
        <w:rPr/>
      </w:pPr>
      <w:r>
        <w:rPr>
          <w:b/>
          <w:i w:val="0"/>
          <w:sz w:val="20"/>
        </w:rPr>
        <w:t xml:space="preserve">Configuración</w:t>
      </w:r>
      <w:r/>
    </w:p>
    <w:p>
      <w:pPr>
        <w:pBdr/>
        <w:spacing/>
        <w:ind/>
        <w:rPr/>
      </w:pPr>
      <w:r>
        <w:rPr>
          <w:b w:val="0"/>
          <w:i w:val="0"/>
          <w:sz w:val="20"/>
        </w:rPr>
        <w:t xml:space="preserve">Dataset: CIFAR-10 dividido en dos fases. </w:t>
      </w:r>
      <w:r>
        <w:rPr>
          <w:b w:val="0"/>
          <w:i w:val="0"/>
          <w:sz w:val="20"/>
        </w:rPr>
        <w:t xml:space="preserve">Fase 1: clases 0-4 (25 000 train, 5 000 test). Fase 2: clases 5-9 (25 000 train, 5 000 test). Mismos métodos comparados que en el experimento MNIST. El PathSelector en CIFAR-10 tiene 33 paths (initial_layer=-1, nodo de cuello de botella sobre 84 neuronas).</w:t>
      </w:r>
      <w:r/>
    </w:p>
    <w:p>
      <w:pPr>
        <w:pBdr/>
        <w:spacing/>
        <w:ind/>
        <w:rPr/>
      </w:pPr>
      <w:r>
        <w:rPr>
          <w:b/>
          <w:i/>
          <w:sz w:val="18"/>
        </w:rPr>
        <w:t xml:space="preserve">Tabla 9. Olvido catastrófico en CIFAR-10. Misma estructura que Tabla 7.</w:t>
      </w:r>
      <w:r/>
    </w:p>
    <w:tbl>
      <w:tblPr>
        <w:tblStyle w:val="753"/>
        <w:tblW w:w="0" w:type="auto"/>
        <w:tblBorders/>
        <w:tblLook w:val="04A0" w:firstRow="1" w:lastRow="0" w:firstColumn="1" w:lastColumn="0" w:noHBand="0" w:noVBand="1"/>
      </w:tblPr>
      <w:tblGrid>
        <w:gridCol w:w="1813"/>
        <w:gridCol w:w="1813"/>
        <w:gridCol w:w="1813"/>
        <w:gridCol w:w="1813"/>
        <w:gridCol w:w="1813"/>
      </w:tblGrid>
      <w:tr>
        <w:trPr/>
        <w:tc>
          <w:tcPr>
            <w:shd w:val="clear" w:color="auto" w:fill="1f497d"/>
            <w:tcBorders/>
            <w:tcW w:w="2381" w:type="dxa"/>
          </w:tcPr>
          <w:p>
            <w:pPr>
              <w:pBdr/>
              <w:spacing/>
              <w:ind/>
              <w:jc w:val="center"/>
              <w:rPr/>
            </w:pPr>
            <w:r>
              <w:rPr>
                <w:b/>
                <w:color w:val="ffffff"/>
                <w:sz w:val="18"/>
              </w:rPr>
              <w:t xml:space="preserve">Método</w:t>
            </w:r>
            <w:r/>
          </w:p>
        </w:tc>
        <w:tc>
          <w:tcPr>
            <w:shd w:val="clear" w:color="auto" w:fill="1f497d"/>
            <w:tcBorders/>
            <w:tcW w:w="2154" w:type="dxa"/>
          </w:tcPr>
          <w:p>
            <w:pPr>
              <w:pBdr/>
              <w:spacing/>
              <w:ind/>
              <w:jc w:val="center"/>
              <w:rPr/>
            </w:pPr>
            <w:r>
              <w:rPr>
                <w:b/>
                <w:color w:val="ffffff"/>
                <w:sz w:val="18"/>
              </w:rPr>
              <w:t xml:space="preserve">Acc. clases 0-4 (%)</w:t>
            </w:r>
            <w:r/>
          </w:p>
        </w:tc>
        <w:tc>
          <w:tcPr>
            <w:shd w:val="clear" w:color="auto" w:fill="1f497d"/>
            <w:tcBorders/>
            <w:tcW w:w="2154" w:type="dxa"/>
          </w:tcPr>
          <w:p>
            <w:pPr>
              <w:pBdr/>
              <w:spacing/>
              <w:ind/>
              <w:jc w:val="center"/>
              <w:rPr/>
            </w:pPr>
            <w:r>
              <w:rPr>
                <w:b/>
                <w:color w:val="ffffff"/>
                <w:sz w:val="18"/>
              </w:rPr>
              <w:t xml:space="preserve">Acc. clases 5-9 (%)</w:t>
            </w:r>
            <w:r/>
          </w:p>
        </w:tc>
        <w:tc>
          <w:tcPr>
            <w:shd w:val="clear" w:color="auto" w:fill="1f497d"/>
            <w:tcBorders/>
            <w:tcW w:w="1814" w:type="dxa"/>
          </w:tcPr>
          <w:p>
            <w:pPr>
              <w:pBdr/>
              <w:spacing/>
              <w:ind/>
              <w:jc w:val="center"/>
              <w:rPr/>
            </w:pPr>
            <w:r>
              <w:rPr>
                <w:b/>
                <w:color w:val="ffffff"/>
                <w:sz w:val="18"/>
              </w:rPr>
              <w:t xml:space="preserve">Acc. global (%)</w:t>
            </w:r>
            <w:r/>
          </w:p>
        </w:tc>
        <w:tc>
          <w:tcPr>
            <w:shd w:val="clear" w:color="auto" w:fill="1f497d"/>
            <w:tcBorders/>
            <w:tcW w:w="1417" w:type="dxa"/>
          </w:tcPr>
          <w:p>
            <w:pPr>
              <w:pBdr/>
              <w:spacing/>
              <w:ind/>
              <w:jc w:val="center"/>
              <w:rPr/>
            </w:pPr>
            <w:r>
              <w:rPr>
                <w:b/>
                <w:color w:val="ffffff"/>
                <w:sz w:val="18"/>
              </w:rPr>
              <w:t xml:space="preserve">Tiempo (s)</w:t>
            </w:r>
            <w:r/>
          </w:p>
        </w:tc>
      </w:tr>
      <w:tr>
        <w:trPr/>
        <w:tc>
          <w:tcPr>
            <w:tcBorders/>
            <w:tcW w:w="2381" w:type="dxa"/>
          </w:tcPr>
          <w:p>
            <w:pPr>
              <w:pBdr/>
              <w:spacing/>
              <w:ind/>
              <w:jc w:val="center"/>
              <w:rPr/>
            </w:pPr>
            <w:r>
              <w:rPr>
                <w:sz w:val="18"/>
              </w:rPr>
              <w:t xml:space="preserve">base</w:t>
            </w:r>
            <w:r/>
          </w:p>
        </w:tc>
        <w:tc>
          <w:tcPr>
            <w:tcBorders/>
            <w:tcW w:w="2154" w:type="dxa"/>
          </w:tcPr>
          <w:p>
            <w:pPr>
              <w:pBdr/>
              <w:spacing/>
              <w:ind/>
              <w:jc w:val="center"/>
              <w:rPr/>
            </w:pPr>
            <w:r>
              <w:rPr>
                <w:sz w:val="18"/>
              </w:rPr>
              <w:t xml:space="preserve">77.62</w:t>
            </w:r>
            <w:r/>
          </w:p>
        </w:tc>
        <w:tc>
          <w:tcPr>
            <w:tcBorders/>
            <w:tcW w:w="2154" w:type="dxa"/>
          </w:tcPr>
          <w:p>
            <w:pPr>
              <w:pBdr/>
              <w:spacing/>
              <w:ind/>
              <w:jc w:val="center"/>
              <w:rPr/>
            </w:pPr>
            <w:r>
              <w:rPr>
                <w:sz w:val="18"/>
              </w:rPr>
              <w:t xml:space="preserve"> 0.00</w:t>
            </w:r>
            <w:r/>
          </w:p>
        </w:tc>
        <w:tc>
          <w:tcPr>
            <w:tcBorders/>
            <w:tcW w:w="1814" w:type="dxa"/>
          </w:tcPr>
          <w:p>
            <w:pPr>
              <w:pBdr/>
              <w:spacing/>
              <w:ind/>
              <w:jc w:val="center"/>
              <w:rPr/>
            </w:pPr>
            <w:r>
              <w:rPr>
                <w:sz w:val="18"/>
              </w:rPr>
              <w:t xml:space="preserve">38.81</w:t>
            </w:r>
            <w:r/>
          </w:p>
        </w:tc>
        <w:tc>
          <w:tcPr>
            <w:tcBorders/>
            <w:tcW w:w="1417" w:type="dxa"/>
          </w:tcPr>
          <w:p>
            <w:pPr>
              <w:pBdr/>
              <w:spacing/>
              <w:ind/>
              <w:jc w:val="center"/>
              <w:rPr/>
            </w:pPr>
            <w:r>
              <w:rPr>
                <w:sz w:val="18"/>
              </w:rPr>
              <w:t xml:space="preserve">  0.0</w:t>
            </w:r>
            <w:r/>
          </w:p>
        </w:tc>
      </w:tr>
      <w:tr>
        <w:trPr/>
        <w:tc>
          <w:tcPr>
            <w:shd w:val="clear" w:color="auto" w:fill="edf1f7"/>
            <w:tcBorders/>
            <w:tcW w:w="2381" w:type="dxa"/>
          </w:tcPr>
          <w:p>
            <w:pPr>
              <w:pBdr/>
              <w:spacing/>
              <w:ind/>
              <w:jc w:val="center"/>
              <w:rPr/>
            </w:pPr>
            <w:r>
              <w:rPr>
                <w:sz w:val="18"/>
              </w:rPr>
              <w:t xml:space="preserve">linear_accum</w:t>
            </w:r>
            <w:r/>
          </w:p>
        </w:tc>
        <w:tc>
          <w:tcPr>
            <w:shd w:val="clear" w:color="auto" w:fill="edf1f7"/>
            <w:tcBorders/>
            <w:tcW w:w="2154" w:type="dxa"/>
          </w:tcPr>
          <w:p>
            <w:pPr>
              <w:pBdr/>
              <w:spacing/>
              <w:ind/>
              <w:jc w:val="center"/>
              <w:rPr/>
            </w:pPr>
            <w:r>
              <w:rPr>
                <w:sz w:val="18"/>
              </w:rPr>
              <w:t xml:space="preserve">71.78</w:t>
            </w:r>
            <w:r/>
          </w:p>
        </w:tc>
        <w:tc>
          <w:tcPr>
            <w:shd w:val="clear" w:color="auto" w:fill="edf1f7"/>
            <w:tcBorders/>
            <w:tcW w:w="2154" w:type="dxa"/>
          </w:tcPr>
          <w:p>
            <w:pPr>
              <w:pBdr/>
              <w:spacing/>
              <w:ind/>
              <w:jc w:val="center"/>
              <w:rPr/>
            </w:pPr>
            <w:r>
              <w:rPr>
                <w:sz w:val="18"/>
              </w:rPr>
              <w:t xml:space="preserve">10.12</w:t>
            </w:r>
            <w:r/>
          </w:p>
        </w:tc>
        <w:tc>
          <w:tcPr>
            <w:shd w:val="clear" w:color="auto" w:fill="edf1f7"/>
            <w:tcBorders/>
            <w:tcW w:w="1814" w:type="dxa"/>
          </w:tcPr>
          <w:p>
            <w:pPr>
              <w:pBdr/>
              <w:spacing/>
              <w:ind/>
              <w:jc w:val="center"/>
              <w:rPr/>
            </w:pPr>
            <w:r>
              <w:rPr>
                <w:sz w:val="18"/>
              </w:rPr>
              <w:t xml:space="preserve">40.95</w:t>
            </w:r>
            <w:r/>
          </w:p>
        </w:tc>
        <w:tc>
          <w:tcPr>
            <w:shd w:val="clear" w:color="auto" w:fill="edf1f7"/>
            <w:tcBorders/>
            <w:tcW w:w="1417" w:type="dxa"/>
          </w:tcPr>
          <w:p>
            <w:pPr>
              <w:pBdr/>
              <w:spacing/>
              <w:ind/>
              <w:jc w:val="center"/>
              <w:rPr/>
            </w:pPr>
            <w:r>
              <w:rPr>
                <w:sz w:val="18"/>
              </w:rPr>
              <w:t xml:space="preserve"> 20.1</w:t>
            </w:r>
            <w:r/>
          </w:p>
        </w:tc>
      </w:tr>
      <w:tr>
        <w:trPr/>
        <w:tc>
          <w:tcPr>
            <w:tcBorders/>
            <w:tcW w:w="2381" w:type="dxa"/>
          </w:tcPr>
          <w:p>
            <w:pPr>
              <w:pBdr/>
              <w:spacing/>
              <w:ind/>
              <w:jc w:val="center"/>
              <w:rPr/>
            </w:pPr>
            <w:r>
              <w:rPr>
                <w:sz w:val="18"/>
              </w:rPr>
              <w:t xml:space="preserve">linear_new_only</w:t>
            </w:r>
            <w:r/>
          </w:p>
        </w:tc>
        <w:tc>
          <w:tcPr>
            <w:tcBorders/>
            <w:tcW w:w="2154" w:type="dxa"/>
          </w:tcPr>
          <w:p>
            <w:pPr>
              <w:pBdr/>
              <w:spacing/>
              <w:ind/>
              <w:jc w:val="center"/>
              <w:rPr/>
            </w:pPr>
            <w:r>
              <w:rPr>
                <w:sz w:val="18"/>
              </w:rPr>
              <w:t xml:space="preserve"> 0.00</w:t>
            </w:r>
            <w:r/>
          </w:p>
        </w:tc>
        <w:tc>
          <w:tcPr>
            <w:tcBorders/>
            <w:tcW w:w="2154" w:type="dxa"/>
          </w:tcPr>
          <w:p>
            <w:pPr>
              <w:pBdr/>
              <w:spacing/>
              <w:ind/>
              <w:jc w:val="center"/>
              <w:rPr/>
            </w:pPr>
            <w:r>
              <w:rPr>
                <w:sz w:val="18"/>
              </w:rPr>
              <w:t xml:space="preserve">55.24</w:t>
            </w:r>
            <w:r/>
          </w:p>
        </w:tc>
        <w:tc>
          <w:tcPr>
            <w:tcBorders/>
            <w:tcW w:w="1814" w:type="dxa"/>
          </w:tcPr>
          <w:p>
            <w:pPr>
              <w:pBdr/>
              <w:spacing/>
              <w:ind/>
              <w:jc w:val="center"/>
              <w:rPr/>
            </w:pPr>
            <w:r>
              <w:rPr>
                <w:sz w:val="18"/>
              </w:rPr>
              <w:t xml:space="preserve">27.62</w:t>
            </w:r>
            <w:r/>
          </w:p>
        </w:tc>
        <w:tc>
          <w:tcPr>
            <w:tcBorders/>
            <w:tcW w:w="1417" w:type="dxa"/>
          </w:tcPr>
          <w:p>
            <w:pPr>
              <w:pBdr/>
              <w:spacing/>
              <w:ind/>
              <w:jc w:val="center"/>
              <w:rPr/>
            </w:pPr>
            <w:r>
              <w:rPr>
                <w:sz w:val="18"/>
              </w:rPr>
              <w:t xml:space="preserve"> 13.0</w:t>
            </w:r>
            <w:r/>
          </w:p>
        </w:tc>
      </w:tr>
      <w:tr>
        <w:trPr/>
        <w:tc>
          <w:tcPr>
            <w:shd w:val="clear" w:color="auto" w:fill="edf1f7"/>
            <w:tcBorders/>
            <w:tcW w:w="2381" w:type="dxa"/>
          </w:tcPr>
          <w:p>
            <w:pPr>
              <w:pBdr/>
              <w:spacing/>
              <w:ind/>
              <w:jc w:val="center"/>
              <w:rPr/>
            </w:pPr>
            <w:r>
              <w:rPr>
                <w:sz w:val="18"/>
              </w:rPr>
              <w:t xml:space="preserve">gradient_new_only</w:t>
            </w:r>
            <w:r/>
          </w:p>
        </w:tc>
        <w:tc>
          <w:tcPr>
            <w:shd w:val="clear" w:color="auto" w:fill="edf1f7"/>
            <w:tcBorders/>
            <w:tcW w:w="2154" w:type="dxa"/>
          </w:tcPr>
          <w:p>
            <w:pPr>
              <w:pBdr/>
              <w:spacing/>
              <w:ind/>
              <w:jc w:val="center"/>
              <w:rPr/>
            </w:pPr>
            <w:r>
              <w:rPr>
                <w:sz w:val="18"/>
              </w:rPr>
              <w:t xml:space="preserve"> 0.00</w:t>
            </w:r>
            <w:r/>
          </w:p>
        </w:tc>
        <w:tc>
          <w:tcPr>
            <w:shd w:val="clear" w:color="auto" w:fill="edf1f7"/>
            <w:tcBorders/>
            <w:tcW w:w="2154" w:type="dxa"/>
          </w:tcPr>
          <w:p>
            <w:pPr>
              <w:pBdr/>
              <w:spacing/>
              <w:ind/>
              <w:jc w:val="center"/>
              <w:rPr/>
            </w:pPr>
            <w:r>
              <w:rPr>
                <w:sz w:val="18"/>
              </w:rPr>
              <w:t xml:space="preserve">47.08</w:t>
            </w:r>
            <w:r/>
          </w:p>
        </w:tc>
        <w:tc>
          <w:tcPr>
            <w:shd w:val="clear" w:color="auto" w:fill="edf1f7"/>
            <w:tcBorders/>
            <w:tcW w:w="1814" w:type="dxa"/>
          </w:tcPr>
          <w:p>
            <w:pPr>
              <w:pBdr/>
              <w:spacing/>
              <w:ind/>
              <w:jc w:val="center"/>
              <w:rPr/>
            </w:pPr>
            <w:r>
              <w:rPr>
                <w:sz w:val="18"/>
              </w:rPr>
              <w:t xml:space="preserve">23.54</w:t>
            </w:r>
            <w:r/>
          </w:p>
        </w:tc>
        <w:tc>
          <w:tcPr>
            <w:shd w:val="clear" w:color="auto" w:fill="edf1f7"/>
            <w:tcBorders/>
            <w:tcW w:w="1417" w:type="dxa"/>
          </w:tcPr>
          <w:p>
            <w:pPr>
              <w:pBdr/>
              <w:spacing/>
              <w:ind/>
              <w:jc w:val="center"/>
              <w:rPr/>
            </w:pPr>
            <w:r>
              <w:rPr>
                <w:sz w:val="18"/>
              </w:rPr>
              <w:t xml:space="preserve"> 29.9</w:t>
            </w:r>
            <w:r/>
          </w:p>
        </w:tc>
      </w:tr>
      <w:tr>
        <w:trPr/>
        <w:tc>
          <w:tcPr>
            <w:tcBorders/>
            <w:tcW w:w="2381" w:type="dxa"/>
          </w:tcPr>
          <w:p>
            <w:pPr>
              <w:pBdr/>
              <w:spacing/>
              <w:ind/>
              <w:jc w:val="center"/>
              <w:rPr/>
            </w:pPr>
            <w:r>
              <w:rPr>
                <w:sz w:val="18"/>
              </w:rPr>
              <w:t xml:space="preserve">finetune_new_only</w:t>
            </w:r>
            <w:r/>
          </w:p>
        </w:tc>
        <w:tc>
          <w:tcPr>
            <w:tcBorders/>
            <w:tcW w:w="2154" w:type="dxa"/>
          </w:tcPr>
          <w:p>
            <w:pPr>
              <w:pBdr/>
              <w:spacing/>
              <w:ind/>
              <w:jc w:val="center"/>
              <w:rPr/>
            </w:pPr>
            <w:r>
              <w:rPr>
                <w:sz w:val="18"/>
              </w:rPr>
              <w:t xml:space="preserve"> 0.00</w:t>
            </w:r>
            <w:r/>
          </w:p>
        </w:tc>
        <w:tc>
          <w:tcPr>
            <w:tcBorders/>
            <w:tcW w:w="2154" w:type="dxa"/>
          </w:tcPr>
          <w:p>
            <w:pPr>
              <w:pBdr/>
              <w:spacing/>
              <w:ind/>
              <w:jc w:val="center"/>
              <w:rPr/>
            </w:pPr>
            <w:r>
              <w:rPr>
                <w:sz w:val="18"/>
              </w:rPr>
              <w:t xml:space="preserve">86.72</w:t>
            </w:r>
            <w:r/>
          </w:p>
        </w:tc>
        <w:tc>
          <w:tcPr>
            <w:tcBorders/>
            <w:tcW w:w="1814" w:type="dxa"/>
          </w:tcPr>
          <w:p>
            <w:pPr>
              <w:pBdr/>
              <w:spacing/>
              <w:ind/>
              <w:jc w:val="center"/>
              <w:rPr/>
            </w:pPr>
            <w:r>
              <w:rPr>
                <w:sz w:val="18"/>
              </w:rPr>
              <w:t xml:space="preserve">43.36</w:t>
            </w:r>
            <w:r/>
          </w:p>
        </w:tc>
        <w:tc>
          <w:tcPr>
            <w:tcBorders/>
            <w:tcW w:w="1417" w:type="dxa"/>
          </w:tcPr>
          <w:p>
            <w:pPr>
              <w:pBdr/>
              <w:spacing/>
              <w:ind/>
              <w:jc w:val="center"/>
              <w:rPr/>
            </w:pPr>
            <w:r>
              <w:rPr>
                <w:sz w:val="18"/>
              </w:rPr>
              <w:t xml:space="preserve"> 90.7</w:t>
            </w:r>
            <w:r/>
          </w:p>
        </w:tc>
      </w:tr>
      <w:tr>
        <w:trPr/>
        <w:tc>
          <w:tcPr>
            <w:shd w:val="clear" w:color="auto" w:fill="edf1f7"/>
            <w:tcBorders/>
            <w:tcW w:w="2381" w:type="dxa"/>
          </w:tcPr>
          <w:p>
            <w:pPr>
              <w:pBdr/>
              <w:spacing/>
              <w:ind/>
              <w:jc w:val="center"/>
              <w:rPr/>
            </w:pPr>
            <w:r>
              <w:rPr>
                <w:sz w:val="18"/>
              </w:rPr>
              <w:t xml:space="preserve">cumulative (oráculo)</w:t>
            </w:r>
            <w:r/>
          </w:p>
        </w:tc>
        <w:tc>
          <w:tcPr>
            <w:shd w:val="clear" w:color="auto" w:fill="edf1f7"/>
            <w:tcBorders/>
            <w:tcW w:w="2154" w:type="dxa"/>
          </w:tcPr>
          <w:p>
            <w:pPr>
              <w:pBdr/>
              <w:spacing/>
              <w:ind/>
              <w:jc w:val="center"/>
              <w:rPr/>
            </w:pPr>
            <w:r>
              <w:rPr>
                <w:sz w:val="18"/>
              </w:rPr>
              <w:t xml:space="preserve">62.54</w:t>
            </w:r>
            <w:r/>
          </w:p>
        </w:tc>
        <w:tc>
          <w:tcPr>
            <w:shd w:val="clear" w:color="auto" w:fill="edf1f7"/>
            <w:tcBorders/>
            <w:tcW w:w="2154" w:type="dxa"/>
          </w:tcPr>
          <w:p>
            <w:pPr>
              <w:pBdr/>
              <w:spacing/>
              <w:ind/>
              <w:jc w:val="center"/>
              <w:rPr/>
            </w:pPr>
            <w:r>
              <w:rPr>
                <w:sz w:val="18"/>
              </w:rPr>
              <w:t xml:space="preserve">70.88</w:t>
            </w:r>
            <w:r/>
          </w:p>
        </w:tc>
        <w:tc>
          <w:tcPr>
            <w:shd w:val="clear" w:color="auto" w:fill="edf1f7"/>
            <w:tcBorders/>
            <w:tcW w:w="1814" w:type="dxa"/>
          </w:tcPr>
          <w:p>
            <w:pPr>
              <w:pBdr/>
              <w:spacing/>
              <w:ind/>
              <w:jc w:val="center"/>
              <w:rPr/>
            </w:pPr>
            <w:r>
              <w:rPr>
                <w:sz w:val="18"/>
              </w:rPr>
              <w:t xml:space="preserve">66.71</w:t>
            </w:r>
            <w:r/>
          </w:p>
        </w:tc>
        <w:tc>
          <w:tcPr>
            <w:shd w:val="clear" w:color="auto" w:fill="edf1f7"/>
            <w:tcBorders/>
            <w:tcW w:w="1417" w:type="dxa"/>
          </w:tcPr>
          <w:p>
            <w:pPr>
              <w:pBdr/>
              <w:spacing/>
              <w:ind/>
              <w:jc w:val="center"/>
              <w:rPr/>
            </w:pPr>
            <w:r>
              <w:rPr>
                <w:sz w:val="18"/>
              </w:rPr>
              <w:t xml:space="preserve">201.2</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linear_accum es el único método que no olvida las clases 0-4 (71.78 %). Sin embargo, la accuracy en las nueva</w:t>
      </w:r>
      <w:r>
        <w:rPr>
          <w:b w:val="0"/>
          <w:i w:val="0"/>
          <w:sz w:val="20"/>
        </w:rPr>
        <w:t xml:space="preserve">s clases 5-9 es de apenas 10.12 %, lo que revela una limitación importante de Qsimov en CIFAR-10: con solo 33 paths disponibles, el sistema carece de la granularidad necesaria para aprender las nuevas clases de manera efectiva sin comprometer las antiguas.</w:t>
      </w:r>
      <w:r/>
    </w:p>
    <w:p>
      <w:pPr>
        <w:pBdr/>
        <w:spacing/>
        <w:ind/>
        <w:rPr/>
      </w:pPr>
      <w:r>
        <w:rPr>
          <w:b w:val="0"/>
          <w:i w:val="0"/>
          <w:sz w:val="20"/>
        </w:rPr>
        <w:t xml:space="preserve">El oráculo cumulative, con acceso a todos los datos y 201 s de entrenamiento, alcanza 70.88 % en las nuevas clases. El fine-tuning nuevo (86.72 % new) aprende bien pe</w:t>
      </w:r>
      <w:r>
        <w:rPr>
          <w:b w:val="0"/>
          <w:i w:val="0"/>
          <w:sz w:val="20"/>
        </w:rPr>
        <w:t xml:space="preserve">ro olvida todo lo anterior. En CIFAR-10, el bajo número de paths es la restricción principal: cuantos más paths tenga el modelo, más ecuaciones independientes acumula, y mayor es la capacidad de distinguir las nuevas clases sin interferir con las antiguas.</w:t>
      </w:r>
      <w:r/>
    </w:p>
    <w:p>
      <w:pPr>
        <w:pStyle w:val="694"/>
        <w:pBdr/>
        <w:spacing/>
        <w:ind/>
        <w:rPr/>
      </w:pPr>
      <w:r>
        <w:rPr>
          <w:color w:val="1f497d"/>
        </w:rPr>
        <w:t xml:space="preserve">4.6 Aprendizaje continuo incremental — ImageNet-100</w:t>
      </w:r>
      <w:r/>
    </w:p>
    <w:p>
      <w:pPr>
        <w:pBdr/>
        <w:spacing/>
        <w:ind/>
        <w:rPr/>
      </w:pPr>
      <w:r>
        <w:rPr>
          <w:b/>
          <w:i w:val="0"/>
          <w:sz w:val="20"/>
        </w:rPr>
        <w:t xml:space="preserve">Objetivo</w:t>
      </w:r>
      <w:r/>
    </w:p>
    <w:p>
      <w:pPr>
        <w:pBdr/>
        <w:spacing/>
        <w:ind/>
        <w:rPr/>
      </w:pPr>
      <w:r>
        <w:rPr>
          <w:b w:val="0"/>
          <w:i w:val="0"/>
          <w:sz w:val="20"/>
        </w:rPr>
        <w:t xml:space="preserve">Evaluar el comportamiento de todos los métodos en un escenario class-incremental de cuatro rondas sobre ImageNet-100. Cada ronda introduce 25 clases nuevas. Al final de la cuarta ronda se evalúa la accuracy global sobre las 100 clases.</w:t>
      </w:r>
      <w:r/>
    </w:p>
    <w:p>
      <w:pPr>
        <w:pBdr/>
        <w:spacing/>
        <w:ind/>
        <w:rPr/>
      </w:pPr>
      <w:r>
        <w:rPr>
          <w:b/>
          <w:i w:val="0"/>
          <w:sz w:val="20"/>
        </w:rPr>
        <w:t xml:space="preserve">Configuración</w:t>
      </w:r>
      <w:r/>
    </w:p>
    <w:p>
      <w:pPr>
        <w:pBdr/>
        <w:spacing/>
        <w:ind/>
        <w:rPr/>
      </w:pPr>
      <w:r>
        <w:rPr>
          <w:b w:val="0"/>
          <w:i w:val="0"/>
          <w:sz w:val="20"/>
        </w:rPr>
        <w:t xml:space="preserve">Dataset: ImageNet-100 (~40 000 train, 5 000 test). Arquitectura: VGG16 frozen conv ba</w:t>
      </w:r>
      <w:r>
        <w:rPr>
          <w:b w:val="0"/>
          <w:i w:val="0"/>
          <w:sz w:val="20"/>
        </w:rPr>
        <w:t xml:space="preserve">se + clasificador estrecho (25088→2048→ReLU→128→ReLU→100). Rondas: 4, de 25 clases cada una. Los métodos 'new_only' (linear_reset, gradient, finetune) no acceden a datos de rondas anteriores; 'cumulative' sí. QsimovGradient: 10 epochs por ronda, LR=1×10⁻⁵.</w:t>
      </w:r>
      <w:r/>
    </w:p>
    <w:p>
      <w:pPr>
        <w:pBdr/>
        <w:spacing/>
        <w:ind/>
        <w:rPr/>
      </w:pPr>
      <w:r>
        <w:rPr>
          <w:b/>
          <w:i/>
          <w:sz w:val="18"/>
        </w:rPr>
        <w:t xml:space="preserve">Tabla 10. Accuracy global sobre el test set de las 100 clases (5 000 muestras) al final de cada ronda. En la ronda 1 solo hay 25 clases activas; las 75 restantes puntúan 0 en todos los métodos.</w:t>
      </w: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2268" w:type="dxa"/>
          </w:tcPr>
          <w:p>
            <w:pPr>
              <w:pBdr/>
              <w:spacing/>
              <w:ind/>
              <w:jc w:val="center"/>
              <w:rPr/>
            </w:pPr>
            <w:r>
              <w:rPr>
                <w:b/>
                <w:color w:val="ffffff"/>
                <w:sz w:val="18"/>
              </w:rPr>
              <w:t xml:space="preserve">Método</w:t>
            </w:r>
            <w:r/>
          </w:p>
        </w:tc>
        <w:tc>
          <w:tcPr>
            <w:shd w:val="clear" w:color="auto" w:fill="1f497d"/>
            <w:tcBorders/>
            <w:tcW w:w="1587" w:type="dxa"/>
          </w:tcPr>
          <w:p>
            <w:pPr>
              <w:pBdr/>
              <w:spacing/>
              <w:ind/>
              <w:jc w:val="center"/>
              <w:rPr/>
            </w:pPr>
            <w:r>
              <w:rPr>
                <w:b/>
                <w:color w:val="ffffff"/>
                <w:sz w:val="18"/>
              </w:rPr>
              <w:t xml:space="preserve">Acc. global</w:t>
              <w:br/>
              <w:t xml:space="preserve">ronda 1 (%)</w:t>
            </w:r>
            <w:r/>
          </w:p>
        </w:tc>
        <w:tc>
          <w:tcPr>
            <w:shd w:val="clear" w:color="auto" w:fill="1f497d"/>
            <w:tcBorders/>
            <w:tcW w:w="1587" w:type="dxa"/>
          </w:tcPr>
          <w:p>
            <w:pPr>
              <w:pBdr/>
              <w:spacing/>
              <w:ind/>
              <w:jc w:val="center"/>
              <w:rPr/>
            </w:pPr>
            <w:r>
              <w:rPr>
                <w:b/>
                <w:color w:val="ffffff"/>
                <w:sz w:val="18"/>
              </w:rPr>
              <w:t xml:space="preserve">Acc. global</w:t>
              <w:br/>
              <w:t xml:space="preserve">ronda 2 (%)</w:t>
            </w:r>
            <w:r/>
          </w:p>
        </w:tc>
        <w:tc>
          <w:tcPr>
            <w:shd w:val="clear" w:color="auto" w:fill="1f497d"/>
            <w:tcBorders/>
            <w:tcW w:w="1587" w:type="dxa"/>
          </w:tcPr>
          <w:p>
            <w:pPr>
              <w:pBdr/>
              <w:spacing/>
              <w:ind/>
              <w:jc w:val="center"/>
              <w:rPr/>
            </w:pPr>
            <w:r>
              <w:rPr>
                <w:b/>
                <w:color w:val="ffffff"/>
                <w:sz w:val="18"/>
              </w:rPr>
              <w:t xml:space="preserve">Acc. global</w:t>
              <w:br/>
              <w:t xml:space="preserve">ronda 3 (%)</w:t>
            </w:r>
            <w:r/>
          </w:p>
        </w:tc>
        <w:tc>
          <w:tcPr>
            <w:shd w:val="clear" w:color="auto" w:fill="1f497d"/>
            <w:tcBorders/>
            <w:tcW w:w="1587" w:type="dxa"/>
          </w:tcPr>
          <w:p>
            <w:pPr>
              <w:pBdr/>
              <w:spacing/>
              <w:ind/>
              <w:jc w:val="center"/>
              <w:rPr/>
            </w:pPr>
            <w:r>
              <w:rPr>
                <w:b/>
                <w:color w:val="ffffff"/>
                <w:sz w:val="18"/>
              </w:rPr>
              <w:t xml:space="preserve">Acc. global</w:t>
              <w:br/>
              <w:t xml:space="preserve">ronda 4 (%)</w:t>
            </w:r>
            <w:r/>
          </w:p>
        </w:tc>
        <w:tc>
          <w:tcPr>
            <w:shd w:val="clear" w:color="auto" w:fill="1f497d"/>
            <w:tcBorders/>
            <w:tcW w:w="1587" w:type="dxa"/>
          </w:tcPr>
          <w:p>
            <w:pPr>
              <w:pBdr/>
              <w:spacing/>
              <w:ind/>
              <w:jc w:val="center"/>
              <w:rPr/>
            </w:pPr>
            <w:r>
              <w:rPr>
                <w:b/>
                <w:color w:val="ffffff"/>
                <w:sz w:val="18"/>
              </w:rPr>
              <w:t xml:space="preserve">Tiempo total (s)</w:t>
            </w:r>
            <w:r/>
          </w:p>
        </w:tc>
      </w:tr>
      <w:tr>
        <w:trPr/>
        <w:tc>
          <w:tcPr>
            <w:tcBorders/>
            <w:tcW w:w="2268" w:type="dxa"/>
          </w:tcPr>
          <w:p>
            <w:pPr>
              <w:pBdr/>
              <w:spacing/>
              <w:ind/>
              <w:jc w:val="center"/>
              <w:rPr/>
            </w:pPr>
            <w:r>
              <w:rPr>
                <w:sz w:val="18"/>
              </w:rPr>
              <w:t xml:space="preserve">Qsimov linear_accum</w:t>
            </w:r>
            <w:r/>
          </w:p>
        </w:tc>
        <w:tc>
          <w:tcPr>
            <w:tcBorders/>
            <w:tcW w:w="1587" w:type="dxa"/>
          </w:tcPr>
          <w:p>
            <w:pPr>
              <w:pBdr/>
              <w:spacing/>
              <w:ind/>
              <w:jc w:val="center"/>
              <w:rPr/>
            </w:pPr>
            <w:r>
              <w:rPr>
                <w:sz w:val="18"/>
              </w:rPr>
              <w:t xml:space="preserve">14.88</w:t>
            </w:r>
            <w:r/>
          </w:p>
        </w:tc>
        <w:tc>
          <w:tcPr>
            <w:tcBorders/>
            <w:tcW w:w="1587" w:type="dxa"/>
          </w:tcPr>
          <w:p>
            <w:pPr>
              <w:pBdr/>
              <w:spacing/>
              <w:ind/>
              <w:jc w:val="center"/>
              <w:rPr/>
            </w:pPr>
            <w:r>
              <w:rPr>
                <w:sz w:val="18"/>
              </w:rPr>
              <w:t xml:space="preserve">23.72</w:t>
            </w:r>
            <w:r/>
          </w:p>
        </w:tc>
        <w:tc>
          <w:tcPr>
            <w:tcBorders/>
            <w:tcW w:w="1587" w:type="dxa"/>
          </w:tcPr>
          <w:p>
            <w:pPr>
              <w:pBdr/>
              <w:spacing/>
              <w:ind/>
              <w:jc w:val="center"/>
              <w:rPr/>
            </w:pPr>
            <w:r>
              <w:rPr>
                <w:sz w:val="18"/>
              </w:rPr>
              <w:t xml:space="preserve">29.30</w:t>
            </w:r>
            <w:r/>
          </w:p>
        </w:tc>
        <w:tc>
          <w:tcPr>
            <w:tcBorders/>
            <w:tcW w:w="1587" w:type="dxa"/>
          </w:tcPr>
          <w:p>
            <w:pPr>
              <w:pBdr/>
              <w:spacing/>
              <w:ind/>
              <w:jc w:val="center"/>
              <w:rPr/>
            </w:pPr>
            <w:r>
              <w:rPr>
                <w:sz w:val="18"/>
              </w:rPr>
              <w:t xml:space="preserve">36.96</w:t>
            </w:r>
            <w:r/>
          </w:p>
        </w:tc>
        <w:tc>
          <w:tcPr>
            <w:tcBorders/>
            <w:tcW w:w="1587" w:type="dxa"/>
          </w:tcPr>
          <w:p>
            <w:pPr>
              <w:pBdr/>
              <w:spacing/>
              <w:ind/>
              <w:jc w:val="center"/>
              <w:rPr/>
            </w:pPr>
            <w:r>
              <w:rPr>
                <w:sz w:val="18"/>
              </w:rPr>
              <w:t xml:space="preserve">113.5</w:t>
            </w:r>
            <w:r/>
          </w:p>
        </w:tc>
      </w:tr>
      <w:tr>
        <w:trPr/>
        <w:tc>
          <w:tcPr>
            <w:shd w:val="clear" w:color="auto" w:fill="edf1f7"/>
            <w:tcBorders/>
            <w:tcW w:w="2268" w:type="dxa"/>
          </w:tcPr>
          <w:p>
            <w:pPr>
              <w:pBdr/>
              <w:spacing/>
              <w:ind/>
              <w:jc w:val="center"/>
              <w:rPr/>
            </w:pPr>
            <w:r>
              <w:rPr>
                <w:sz w:val="18"/>
              </w:rPr>
              <w:t xml:space="preserve">Qsimov linear_reset</w:t>
            </w:r>
            <w:r/>
          </w:p>
        </w:tc>
        <w:tc>
          <w:tcPr>
            <w:shd w:val="clear" w:color="auto" w:fill="edf1f7"/>
            <w:tcBorders/>
            <w:tcW w:w="1587" w:type="dxa"/>
          </w:tcPr>
          <w:p>
            <w:pPr>
              <w:pBdr/>
              <w:spacing/>
              <w:ind/>
              <w:jc w:val="center"/>
              <w:rPr/>
            </w:pPr>
            <w:r>
              <w:rPr>
                <w:sz w:val="18"/>
              </w:rPr>
              <w:t xml:space="preserve">14.88</w:t>
            </w:r>
            <w:r/>
          </w:p>
        </w:tc>
        <w:tc>
          <w:tcPr>
            <w:shd w:val="clear" w:color="auto" w:fill="edf1f7"/>
            <w:tcBorders/>
            <w:tcW w:w="1587" w:type="dxa"/>
          </w:tcPr>
          <w:p>
            <w:pPr>
              <w:pBdr/>
              <w:spacing/>
              <w:ind/>
              <w:jc w:val="center"/>
              <w:rPr/>
            </w:pPr>
            <w:r>
              <w:rPr>
                <w:sz w:val="18"/>
              </w:rPr>
              <w:t xml:space="preserve">13.86</w:t>
            </w:r>
            <w:r/>
          </w:p>
        </w:tc>
        <w:tc>
          <w:tcPr>
            <w:shd w:val="clear" w:color="auto" w:fill="edf1f7"/>
            <w:tcBorders/>
            <w:tcW w:w="1587" w:type="dxa"/>
          </w:tcPr>
          <w:p>
            <w:pPr>
              <w:pBdr/>
              <w:spacing/>
              <w:ind/>
              <w:jc w:val="center"/>
              <w:rPr/>
            </w:pPr>
            <w:r>
              <w:rPr>
                <w:sz w:val="18"/>
              </w:rPr>
              <w:t xml:space="preserve">13.78</w:t>
            </w:r>
            <w:r/>
          </w:p>
        </w:tc>
        <w:tc>
          <w:tcPr>
            <w:shd w:val="clear" w:color="auto" w:fill="edf1f7"/>
            <w:tcBorders/>
            <w:tcW w:w="1587" w:type="dxa"/>
          </w:tcPr>
          <w:p>
            <w:pPr>
              <w:pBdr/>
              <w:spacing/>
              <w:ind/>
              <w:jc w:val="center"/>
              <w:rPr/>
            </w:pPr>
            <w:r>
              <w:rPr>
                <w:sz w:val="18"/>
              </w:rPr>
              <w:t xml:space="preserve">16.18</w:t>
            </w:r>
            <w:r/>
          </w:p>
        </w:tc>
        <w:tc>
          <w:tcPr>
            <w:shd w:val="clear" w:color="auto" w:fill="edf1f7"/>
            <w:tcBorders/>
            <w:tcW w:w="1587" w:type="dxa"/>
          </w:tcPr>
          <w:p>
            <w:pPr>
              <w:pBdr/>
              <w:spacing/>
              <w:ind/>
              <w:jc w:val="center"/>
              <w:rPr/>
            </w:pPr>
            <w:r>
              <w:rPr>
                <w:sz w:val="18"/>
              </w:rPr>
              <w:t xml:space="preserve">116.6</w:t>
            </w:r>
            <w:r/>
          </w:p>
        </w:tc>
      </w:tr>
      <w:tr>
        <w:trPr/>
        <w:tc>
          <w:tcPr>
            <w:tcBorders/>
            <w:tcW w:w="2268" w:type="dxa"/>
          </w:tcPr>
          <w:p>
            <w:pPr>
              <w:pBdr/>
              <w:spacing/>
              <w:ind/>
              <w:jc w:val="center"/>
              <w:rPr/>
            </w:pPr>
            <w:r>
              <w:rPr>
                <w:sz w:val="18"/>
              </w:rPr>
              <w:t xml:space="preserve">Qsimov gradient</w:t>
            </w:r>
            <w:r/>
          </w:p>
        </w:tc>
        <w:tc>
          <w:tcPr>
            <w:tcBorders/>
            <w:tcW w:w="1587" w:type="dxa"/>
          </w:tcPr>
          <w:p>
            <w:pPr>
              <w:pBdr/>
              <w:spacing/>
              <w:ind/>
              <w:jc w:val="center"/>
              <w:rPr/>
            </w:pPr>
            <w:r>
              <w:rPr>
                <w:sz w:val="18"/>
              </w:rPr>
              <w:t xml:space="preserve"> 1.54</w:t>
            </w:r>
            <w:r/>
          </w:p>
        </w:tc>
        <w:tc>
          <w:tcPr>
            <w:tcBorders/>
            <w:tcW w:w="1587" w:type="dxa"/>
          </w:tcPr>
          <w:p>
            <w:pPr>
              <w:pBdr/>
              <w:spacing/>
              <w:ind/>
              <w:jc w:val="center"/>
              <w:rPr/>
            </w:pPr>
            <w:r>
              <w:rPr>
                <w:sz w:val="18"/>
              </w:rPr>
              <w:t xml:space="preserve"> 2.26</w:t>
            </w:r>
            <w:r/>
          </w:p>
        </w:tc>
        <w:tc>
          <w:tcPr>
            <w:tcBorders/>
            <w:tcW w:w="1587" w:type="dxa"/>
          </w:tcPr>
          <w:p>
            <w:pPr>
              <w:pBdr/>
              <w:spacing/>
              <w:ind/>
              <w:jc w:val="center"/>
              <w:rPr/>
            </w:pPr>
            <w:r>
              <w:rPr>
                <w:sz w:val="18"/>
              </w:rPr>
              <w:t xml:space="preserve"> 3.14</w:t>
            </w:r>
            <w:r/>
          </w:p>
        </w:tc>
        <w:tc>
          <w:tcPr>
            <w:tcBorders/>
            <w:tcW w:w="1587" w:type="dxa"/>
          </w:tcPr>
          <w:p>
            <w:pPr>
              <w:pBdr/>
              <w:spacing/>
              <w:ind/>
              <w:jc w:val="center"/>
              <w:rPr/>
            </w:pPr>
            <w:r>
              <w:rPr>
                <w:sz w:val="18"/>
              </w:rPr>
              <w:t xml:space="preserve"> 2.50</w:t>
            </w:r>
            <w:r/>
          </w:p>
        </w:tc>
        <w:tc>
          <w:tcPr>
            <w:tcBorders/>
            <w:tcW w:w="1587" w:type="dxa"/>
          </w:tcPr>
          <w:p>
            <w:pPr>
              <w:pBdr/>
              <w:spacing/>
              <w:ind/>
              <w:jc w:val="center"/>
              <w:rPr/>
            </w:pPr>
            <w:r>
              <w:rPr>
                <w:sz w:val="18"/>
              </w:rPr>
              <w:t xml:space="preserve">208.8</w:t>
            </w:r>
            <w:r/>
          </w:p>
        </w:tc>
      </w:tr>
      <w:tr>
        <w:trPr/>
        <w:tc>
          <w:tcPr>
            <w:shd w:val="clear" w:color="auto" w:fill="edf1f7"/>
            <w:tcBorders/>
            <w:tcW w:w="2268" w:type="dxa"/>
          </w:tcPr>
          <w:p>
            <w:pPr>
              <w:pBdr/>
              <w:spacing/>
              <w:ind/>
              <w:jc w:val="center"/>
              <w:rPr/>
            </w:pPr>
            <w:r>
              <w:rPr>
                <w:sz w:val="18"/>
              </w:rPr>
              <w:t xml:space="preserve">Fine-tuning estándar</w:t>
            </w:r>
            <w:r/>
          </w:p>
        </w:tc>
        <w:tc>
          <w:tcPr>
            <w:shd w:val="clear" w:color="auto" w:fill="edf1f7"/>
            <w:tcBorders/>
            <w:tcW w:w="1587" w:type="dxa"/>
          </w:tcPr>
          <w:p>
            <w:pPr>
              <w:pBdr/>
              <w:spacing/>
              <w:ind/>
              <w:jc w:val="center"/>
              <w:rPr/>
            </w:pPr>
            <w:r>
              <w:rPr>
                <w:sz w:val="18"/>
              </w:rPr>
              <w:t xml:space="preserve">19.74</w:t>
            </w:r>
            <w:r/>
          </w:p>
        </w:tc>
        <w:tc>
          <w:tcPr>
            <w:shd w:val="clear" w:color="auto" w:fill="edf1f7"/>
            <w:tcBorders/>
            <w:tcW w:w="1587" w:type="dxa"/>
          </w:tcPr>
          <w:p>
            <w:pPr>
              <w:pBdr/>
              <w:spacing/>
              <w:ind/>
              <w:jc w:val="center"/>
              <w:rPr/>
            </w:pPr>
            <w:r>
              <w:rPr>
                <w:sz w:val="18"/>
              </w:rPr>
              <w:t xml:space="preserve">19.80</w:t>
            </w:r>
            <w:r/>
          </w:p>
        </w:tc>
        <w:tc>
          <w:tcPr>
            <w:shd w:val="clear" w:color="auto" w:fill="edf1f7"/>
            <w:tcBorders/>
            <w:tcW w:w="1587" w:type="dxa"/>
          </w:tcPr>
          <w:p>
            <w:pPr>
              <w:pBdr/>
              <w:spacing/>
              <w:ind/>
              <w:jc w:val="center"/>
              <w:rPr/>
            </w:pPr>
            <w:r>
              <w:rPr>
                <w:sz w:val="18"/>
              </w:rPr>
              <w:t xml:space="preserve">19.98</w:t>
            </w:r>
            <w:r/>
          </w:p>
        </w:tc>
        <w:tc>
          <w:tcPr>
            <w:shd w:val="clear" w:color="auto" w:fill="edf1f7"/>
            <w:tcBorders/>
            <w:tcW w:w="1587" w:type="dxa"/>
          </w:tcPr>
          <w:p>
            <w:pPr>
              <w:pBdr/>
              <w:spacing/>
              <w:ind/>
              <w:jc w:val="center"/>
              <w:rPr/>
            </w:pPr>
            <w:r>
              <w:rPr>
                <w:sz w:val="18"/>
              </w:rPr>
              <w:t xml:space="preserve">20.80</w:t>
            </w:r>
            <w:r/>
          </w:p>
        </w:tc>
        <w:tc>
          <w:tcPr>
            <w:shd w:val="clear" w:color="auto" w:fill="edf1f7"/>
            <w:tcBorders/>
            <w:tcW w:w="1587" w:type="dxa"/>
          </w:tcPr>
          <w:p>
            <w:pPr>
              <w:pBdr/>
              <w:spacing/>
              <w:ind/>
              <w:jc w:val="center"/>
              <w:rPr/>
            </w:pPr>
            <w:r>
              <w:rPr>
                <w:sz w:val="18"/>
              </w:rPr>
              <w:t xml:space="preserve">261.6</w:t>
            </w:r>
            <w:r/>
          </w:p>
        </w:tc>
      </w:tr>
      <w:tr>
        <w:trPr/>
        <w:tc>
          <w:tcPr>
            <w:tcBorders/>
            <w:tcW w:w="2268" w:type="dxa"/>
          </w:tcPr>
          <w:p>
            <w:pPr>
              <w:pBdr/>
              <w:spacing/>
              <w:ind/>
              <w:jc w:val="center"/>
              <w:rPr/>
            </w:pPr>
            <w:r>
              <w:rPr>
                <w:sz w:val="18"/>
              </w:rPr>
              <w:t xml:space="preserve">Cumulative (oráculo)</w:t>
            </w:r>
            <w:r/>
          </w:p>
        </w:tc>
        <w:tc>
          <w:tcPr>
            <w:tcBorders/>
            <w:tcW w:w="1587" w:type="dxa"/>
          </w:tcPr>
          <w:p>
            <w:pPr>
              <w:pBdr/>
              <w:spacing/>
              <w:ind/>
              <w:jc w:val="center"/>
              <w:rPr/>
            </w:pPr>
            <w:r>
              <w:rPr>
                <w:sz w:val="18"/>
              </w:rPr>
              <w:t xml:space="preserve">19.68</w:t>
            </w:r>
            <w:r/>
          </w:p>
        </w:tc>
        <w:tc>
          <w:tcPr>
            <w:tcBorders/>
            <w:tcW w:w="1587" w:type="dxa"/>
          </w:tcPr>
          <w:p>
            <w:pPr>
              <w:pBdr/>
              <w:spacing/>
              <w:ind/>
              <w:jc w:val="center"/>
              <w:rPr/>
            </w:pPr>
            <w:r>
              <w:rPr>
                <w:sz w:val="18"/>
              </w:rPr>
              <w:t xml:space="preserve">20.92</w:t>
            </w:r>
            <w:r/>
          </w:p>
        </w:tc>
        <w:tc>
          <w:tcPr>
            <w:tcBorders/>
            <w:tcW w:w="1587" w:type="dxa"/>
          </w:tcPr>
          <w:p>
            <w:pPr>
              <w:pBdr/>
              <w:spacing/>
              <w:ind/>
              <w:jc w:val="center"/>
              <w:rPr/>
            </w:pPr>
            <w:r>
              <w:rPr>
                <w:sz w:val="18"/>
              </w:rPr>
              <w:t xml:space="preserve">21.52</w:t>
            </w:r>
            <w:r/>
          </w:p>
        </w:tc>
        <w:tc>
          <w:tcPr>
            <w:tcBorders/>
            <w:tcW w:w="1587" w:type="dxa"/>
          </w:tcPr>
          <w:p>
            <w:pPr>
              <w:pBdr/>
              <w:spacing/>
              <w:ind/>
              <w:jc w:val="center"/>
              <w:rPr/>
            </w:pPr>
            <w:r>
              <w:rPr>
                <w:sz w:val="18"/>
              </w:rPr>
              <w:t xml:space="preserve">22.96</w:t>
            </w:r>
            <w:r/>
          </w:p>
        </w:tc>
        <w:tc>
          <w:tcPr>
            <w:tcBorders/>
            <w:tcW w:w="1587" w:type="dxa"/>
          </w:tcPr>
          <w:p>
            <w:pPr>
              <w:pBdr/>
              <w:spacing/>
              <w:ind/>
              <w:jc w:val="center"/>
              <w:rPr/>
            </w:pPr>
            <w:r>
              <w:rPr>
                <w:sz w:val="18"/>
              </w:rPr>
              <w:t xml:space="preserve">654.7</w:t>
            </w:r>
            <w:r/>
          </w:p>
        </w:tc>
      </w:tr>
    </w:tbl>
    <w:p>
      <w:pPr>
        <w:pBdr/>
        <w:spacing/>
        <w:ind/>
        <w:rPr/>
      </w:pPr>
      <w:r/>
      <w:r/>
    </w:p>
    <w:p>
      <w:pPr>
        <w:pBdr/>
        <w:spacing/>
        <w:ind/>
        <w:rPr/>
      </w:pPr>
      <w:r>
        <w:rPr>
          <w:b w:val="0"/>
          <w:i w:val="0"/>
          <w:sz w:val="20"/>
        </w:rPr>
        <w:t xml:space="preserve">Para profundizar en el análisis del no-olvido, la siguiente tabla muestra la accuracy de linear_accum desglosada por ronda de origen al final del experimento (ronda 4):</w:t>
      </w:r>
      <w:r/>
    </w:p>
    <w:p>
      <w:pPr>
        <w:pBdr/>
        <w:spacing/>
        <w:ind/>
        <w:rPr/>
      </w:pPr>
      <w:r>
        <w:rPr>
          <w:b/>
          <w:i/>
          <w:sz w:val="18"/>
        </w:rPr>
        <w:t xml:space="preserve">Tabla 11. Accuracy por grupo de ronda al final del experimento (ronda 4). Cada columna indica la accuracy sobre el test set de las clases aprendidas en esa ronda. Mide directamente el grado de olvido catastrófico.</w:t>
      </w:r>
      <w:r/>
    </w:p>
    <w:tbl>
      <w:tblPr>
        <w:tblStyle w:val="753"/>
        <w:tblW w:w="0" w:type="auto"/>
        <w:tblBorders/>
        <w:tblLook w:val="04A0" w:firstRow="1" w:lastRow="0" w:firstColumn="1" w:lastColumn="0" w:noHBand="0" w:noVBand="1"/>
      </w:tblPr>
      <w:tblGrid>
        <w:gridCol w:w="1813"/>
        <w:gridCol w:w="1813"/>
        <w:gridCol w:w="1813"/>
        <w:gridCol w:w="1813"/>
        <w:gridCol w:w="1813"/>
      </w:tblGrid>
      <w:tr>
        <w:trPr/>
        <w:tc>
          <w:tcPr>
            <w:shd w:val="clear" w:color="auto" w:fill="1f497d"/>
            <w:tcBorders/>
            <w:tcW w:w="2551" w:type="dxa"/>
          </w:tcPr>
          <w:p>
            <w:pPr>
              <w:pBdr/>
              <w:spacing/>
              <w:ind/>
              <w:jc w:val="center"/>
              <w:rPr/>
            </w:pPr>
            <w:r>
              <w:rPr>
                <w:b/>
                <w:color w:val="ffffff"/>
                <w:sz w:val="18"/>
              </w:rPr>
              <w:t xml:space="preserve">Método (al final de ronda 4)</w:t>
            </w:r>
            <w:r/>
          </w:p>
        </w:tc>
        <w:tc>
          <w:tcPr>
            <w:shd w:val="clear" w:color="auto" w:fill="1f497d"/>
            <w:tcBorders/>
            <w:tcW w:w="1701" w:type="dxa"/>
          </w:tcPr>
          <w:p>
            <w:pPr>
              <w:pBdr/>
              <w:spacing/>
              <w:ind/>
              <w:jc w:val="center"/>
              <w:rPr/>
            </w:pPr>
            <w:r>
              <w:rPr>
                <w:b/>
                <w:color w:val="ffffff"/>
                <w:sz w:val="18"/>
              </w:rPr>
              <w:t xml:space="preserve">Acc. clases R1 (%)</w:t>
            </w:r>
            <w:r/>
          </w:p>
        </w:tc>
        <w:tc>
          <w:tcPr>
            <w:shd w:val="clear" w:color="auto" w:fill="1f497d"/>
            <w:tcBorders/>
            <w:tcW w:w="1701" w:type="dxa"/>
          </w:tcPr>
          <w:p>
            <w:pPr>
              <w:pBdr/>
              <w:spacing/>
              <w:ind/>
              <w:jc w:val="center"/>
              <w:rPr/>
            </w:pPr>
            <w:r>
              <w:rPr>
                <w:b/>
                <w:color w:val="ffffff"/>
                <w:sz w:val="18"/>
              </w:rPr>
              <w:t xml:space="preserve">Acc. clases R2 (%)</w:t>
            </w:r>
            <w:r/>
          </w:p>
        </w:tc>
        <w:tc>
          <w:tcPr>
            <w:shd w:val="clear" w:color="auto" w:fill="1f497d"/>
            <w:tcBorders/>
            <w:tcW w:w="1701" w:type="dxa"/>
          </w:tcPr>
          <w:p>
            <w:pPr>
              <w:pBdr/>
              <w:spacing/>
              <w:ind/>
              <w:jc w:val="center"/>
              <w:rPr/>
            </w:pPr>
            <w:r>
              <w:rPr>
                <w:b/>
                <w:color w:val="ffffff"/>
                <w:sz w:val="18"/>
              </w:rPr>
              <w:t xml:space="preserve">Acc. clases R3 (%)</w:t>
            </w:r>
            <w:r/>
          </w:p>
        </w:tc>
        <w:tc>
          <w:tcPr>
            <w:shd w:val="clear" w:color="auto" w:fill="1f497d"/>
            <w:tcBorders/>
            <w:tcW w:w="1701" w:type="dxa"/>
          </w:tcPr>
          <w:p>
            <w:pPr>
              <w:pBdr/>
              <w:spacing/>
              <w:ind/>
              <w:jc w:val="center"/>
              <w:rPr/>
            </w:pPr>
            <w:r>
              <w:rPr>
                <w:b/>
                <w:color w:val="ffffff"/>
                <w:sz w:val="18"/>
              </w:rPr>
              <w:t xml:space="preserve">Acc. clases R4 (%)</w:t>
            </w:r>
            <w:r/>
          </w:p>
        </w:tc>
      </w:tr>
      <w:tr>
        <w:trPr/>
        <w:tc>
          <w:tcPr>
            <w:tcBorders/>
            <w:tcW w:w="2551" w:type="dxa"/>
          </w:tcPr>
          <w:p>
            <w:pPr>
              <w:pBdr/>
              <w:spacing/>
              <w:ind/>
              <w:jc w:val="center"/>
              <w:rPr/>
            </w:pPr>
            <w:r>
              <w:rPr>
                <w:sz w:val="18"/>
              </w:rPr>
              <w:t xml:space="preserve">Qsimov linear_accum</w:t>
            </w:r>
            <w:r/>
          </w:p>
        </w:tc>
        <w:tc>
          <w:tcPr>
            <w:tcBorders/>
            <w:tcW w:w="1701" w:type="dxa"/>
          </w:tcPr>
          <w:p>
            <w:pPr>
              <w:pBdr/>
              <w:spacing/>
              <w:ind/>
              <w:jc w:val="center"/>
              <w:rPr/>
            </w:pPr>
            <w:r>
              <w:rPr>
                <w:sz w:val="18"/>
              </w:rPr>
              <w:t xml:space="preserve">84.1</w:t>
            </w:r>
            <w:r/>
          </w:p>
        </w:tc>
        <w:tc>
          <w:tcPr>
            <w:tcBorders/>
            <w:tcW w:w="1701" w:type="dxa"/>
          </w:tcPr>
          <w:p>
            <w:pPr>
              <w:pBdr/>
              <w:spacing/>
              <w:ind/>
              <w:jc w:val="center"/>
              <w:rPr/>
            </w:pPr>
            <w:r>
              <w:rPr>
                <w:sz w:val="18"/>
              </w:rPr>
              <w:t xml:space="preserve">82.2</w:t>
            </w:r>
            <w:r/>
          </w:p>
        </w:tc>
        <w:tc>
          <w:tcPr>
            <w:tcBorders/>
            <w:tcW w:w="1701" w:type="dxa"/>
          </w:tcPr>
          <w:p>
            <w:pPr>
              <w:pBdr/>
              <w:spacing/>
              <w:ind/>
              <w:jc w:val="center"/>
              <w:rPr/>
            </w:pPr>
            <w:r>
              <w:rPr>
                <w:sz w:val="18"/>
              </w:rPr>
              <w:t xml:space="preserve">79.4</w:t>
            </w:r>
            <w:r/>
          </w:p>
        </w:tc>
        <w:tc>
          <w:tcPr>
            <w:tcBorders/>
            <w:tcW w:w="1701" w:type="dxa"/>
          </w:tcPr>
          <w:p>
            <w:pPr>
              <w:pBdr/>
              <w:spacing/>
              <w:ind/>
              <w:jc w:val="center"/>
              <w:rPr/>
            </w:pPr>
            <w:r>
              <w:rPr>
                <w:sz w:val="18"/>
              </w:rPr>
              <w:t xml:space="preserve">83.1</w:t>
            </w:r>
            <w:r/>
          </w:p>
        </w:tc>
      </w:tr>
      <w:tr>
        <w:trPr/>
        <w:tc>
          <w:tcPr>
            <w:shd w:val="clear" w:color="auto" w:fill="edf1f7"/>
            <w:tcBorders/>
            <w:tcW w:w="2551" w:type="dxa"/>
          </w:tcPr>
          <w:p>
            <w:pPr>
              <w:pBdr/>
              <w:spacing/>
              <w:ind/>
              <w:jc w:val="center"/>
              <w:rPr/>
            </w:pPr>
            <w:r>
              <w:rPr>
                <w:sz w:val="18"/>
              </w:rPr>
              <w:t xml:space="preserve">Qsimov linear_reset</w:t>
            </w:r>
            <w:r/>
          </w:p>
        </w:tc>
        <w:tc>
          <w:tcPr>
            <w:shd w:val="clear" w:color="auto" w:fill="edf1f7"/>
            <w:tcBorders/>
            <w:tcW w:w="1701" w:type="dxa"/>
          </w:tcPr>
          <w:p>
            <w:pPr>
              <w:pBdr/>
              <w:spacing/>
              <w:ind/>
              <w:jc w:val="center"/>
              <w:rPr/>
            </w:pPr>
            <w:r>
              <w:rPr>
                <w:sz w:val="18"/>
              </w:rPr>
              <w:t xml:space="preserve"> 0.0</w:t>
            </w:r>
            <w:r/>
          </w:p>
        </w:tc>
        <w:tc>
          <w:tcPr>
            <w:shd w:val="clear" w:color="auto" w:fill="edf1f7"/>
            <w:tcBorders/>
            <w:tcW w:w="1701" w:type="dxa"/>
          </w:tcPr>
          <w:p>
            <w:pPr>
              <w:pBdr/>
              <w:spacing/>
              <w:ind/>
              <w:jc w:val="center"/>
              <w:rPr/>
            </w:pPr>
            <w:r>
              <w:rPr>
                <w:sz w:val="18"/>
              </w:rPr>
              <w:t xml:space="preserve"> 0.0</w:t>
            </w:r>
            <w:r/>
          </w:p>
        </w:tc>
        <w:tc>
          <w:tcPr>
            <w:shd w:val="clear" w:color="auto" w:fill="edf1f7"/>
            <w:tcBorders/>
            <w:tcW w:w="1701" w:type="dxa"/>
          </w:tcPr>
          <w:p>
            <w:pPr>
              <w:pBdr/>
              <w:spacing/>
              <w:ind/>
              <w:jc w:val="center"/>
              <w:rPr/>
            </w:pPr>
            <w:r>
              <w:rPr>
                <w:sz w:val="18"/>
              </w:rPr>
              <w:t xml:space="preserve"> 0.0</w:t>
            </w:r>
            <w:r/>
          </w:p>
        </w:tc>
        <w:tc>
          <w:tcPr>
            <w:shd w:val="clear" w:color="auto" w:fill="edf1f7"/>
            <w:tcBorders/>
            <w:tcW w:w="1701" w:type="dxa"/>
          </w:tcPr>
          <w:p>
            <w:pPr>
              <w:pBdr/>
              <w:spacing/>
              <w:ind/>
              <w:jc w:val="center"/>
              <w:rPr/>
            </w:pPr>
            <w:r>
              <w:rPr>
                <w:sz w:val="18"/>
              </w:rPr>
              <w:t xml:space="preserve">96.6</w:t>
            </w:r>
            <w:r/>
          </w:p>
        </w:tc>
      </w:tr>
      <w:tr>
        <w:trPr/>
        <w:tc>
          <w:tcPr>
            <w:tcBorders/>
            <w:tcW w:w="2551" w:type="dxa"/>
          </w:tcPr>
          <w:p>
            <w:pPr>
              <w:pBdr/>
              <w:spacing/>
              <w:ind/>
              <w:jc w:val="center"/>
              <w:rPr/>
            </w:pPr>
            <w:r>
              <w:rPr>
                <w:sz w:val="18"/>
              </w:rPr>
              <w:t xml:space="preserve">Qsimov gradient</w:t>
            </w:r>
            <w:r/>
          </w:p>
        </w:tc>
        <w:tc>
          <w:tcPr>
            <w:tcBorders/>
            <w:tcW w:w="1701" w:type="dxa"/>
          </w:tcPr>
          <w:p>
            <w:pPr>
              <w:pBdr/>
              <w:spacing/>
              <w:ind/>
              <w:jc w:val="center"/>
              <w:rPr/>
            </w:pPr>
            <w:r>
              <w:rPr>
                <w:sz w:val="18"/>
              </w:rPr>
              <w:t xml:space="preserve"> 0.3</w:t>
            </w:r>
            <w:r/>
          </w:p>
        </w:tc>
        <w:tc>
          <w:tcPr>
            <w:tcBorders/>
            <w:tcW w:w="1701" w:type="dxa"/>
          </w:tcPr>
          <w:p>
            <w:pPr>
              <w:pBdr/>
              <w:spacing/>
              <w:ind/>
              <w:jc w:val="center"/>
              <w:rPr/>
            </w:pPr>
            <w:r>
              <w:rPr>
                <w:sz w:val="18"/>
              </w:rPr>
              <w:t xml:space="preserve"> 0.3</w:t>
            </w:r>
            <w:r/>
          </w:p>
        </w:tc>
        <w:tc>
          <w:tcPr>
            <w:tcBorders/>
            <w:tcW w:w="1701" w:type="dxa"/>
          </w:tcPr>
          <w:p>
            <w:pPr>
              <w:pBdr/>
              <w:spacing/>
              <w:ind/>
              <w:jc w:val="center"/>
              <w:rPr/>
            </w:pPr>
            <w:r>
              <w:rPr>
                <w:sz w:val="18"/>
              </w:rPr>
              <w:t xml:space="preserve"> 2.7</w:t>
            </w:r>
            <w:r/>
          </w:p>
        </w:tc>
        <w:tc>
          <w:tcPr>
            <w:tcBorders/>
            <w:tcW w:w="1701" w:type="dxa"/>
          </w:tcPr>
          <w:p>
            <w:pPr>
              <w:pBdr/>
              <w:spacing/>
              <w:ind/>
              <w:jc w:val="center"/>
              <w:rPr/>
            </w:pPr>
            <w:r>
              <w:rPr>
                <w:sz w:val="18"/>
              </w:rPr>
              <w:t xml:space="preserve"> 7.3</w:t>
            </w:r>
            <w:r/>
          </w:p>
        </w:tc>
      </w:tr>
      <w:tr>
        <w:trPr/>
        <w:tc>
          <w:tcPr>
            <w:shd w:val="clear" w:color="auto" w:fill="edf1f7"/>
            <w:tcBorders/>
            <w:tcW w:w="2551" w:type="dxa"/>
          </w:tcPr>
          <w:p>
            <w:pPr>
              <w:pBdr/>
              <w:spacing/>
              <w:ind/>
              <w:jc w:val="center"/>
              <w:rPr/>
            </w:pPr>
            <w:r>
              <w:rPr>
                <w:sz w:val="18"/>
              </w:rPr>
              <w:t xml:space="preserve">Fine-tuning estándar</w:t>
            </w:r>
            <w:r/>
          </w:p>
        </w:tc>
        <w:tc>
          <w:tcPr>
            <w:shd w:val="clear" w:color="auto" w:fill="edf1f7"/>
            <w:tcBorders/>
            <w:tcW w:w="1701" w:type="dxa"/>
          </w:tcPr>
          <w:p>
            <w:pPr>
              <w:pBdr/>
              <w:spacing/>
              <w:ind/>
              <w:jc w:val="center"/>
              <w:rPr/>
            </w:pPr>
            <w:r>
              <w:rPr>
                <w:sz w:val="18"/>
              </w:rPr>
              <w:t xml:space="preserve">23.5</w:t>
            </w:r>
            <w:r/>
          </w:p>
        </w:tc>
        <w:tc>
          <w:tcPr>
            <w:shd w:val="clear" w:color="auto" w:fill="edf1f7"/>
            <w:tcBorders/>
            <w:tcW w:w="1701" w:type="dxa"/>
          </w:tcPr>
          <w:p>
            <w:pPr>
              <w:pBdr/>
              <w:spacing/>
              <w:ind/>
              <w:jc w:val="center"/>
              <w:rPr/>
            </w:pPr>
            <w:r>
              <w:rPr>
                <w:sz w:val="18"/>
              </w:rPr>
              <w:t xml:space="preserve">21.4</w:t>
            </w:r>
            <w:r/>
          </w:p>
        </w:tc>
        <w:tc>
          <w:tcPr>
            <w:shd w:val="clear" w:color="auto" w:fill="edf1f7"/>
            <w:tcBorders/>
            <w:tcW w:w="1701" w:type="dxa"/>
          </w:tcPr>
          <w:p>
            <w:pPr>
              <w:pBdr/>
              <w:spacing/>
              <w:ind/>
              <w:jc w:val="center"/>
              <w:rPr/>
            </w:pPr>
            <w:r>
              <w:rPr>
                <w:sz w:val="18"/>
              </w:rPr>
              <w:t xml:space="preserve">16.2</w:t>
            </w:r>
            <w:r/>
          </w:p>
        </w:tc>
        <w:tc>
          <w:tcPr>
            <w:shd w:val="clear" w:color="auto" w:fill="edf1f7"/>
            <w:tcBorders/>
            <w:tcW w:w="1701" w:type="dxa"/>
          </w:tcPr>
          <w:p>
            <w:pPr>
              <w:pBdr/>
              <w:spacing/>
              <w:ind/>
              <w:jc w:val="center"/>
              <w:rPr/>
            </w:pPr>
            <w:r>
              <w:rPr>
                <w:sz w:val="18"/>
              </w:rPr>
              <w:t xml:space="preserve">44.7</w:t>
            </w:r>
            <w:r/>
          </w:p>
        </w:tc>
      </w:tr>
      <w:tr>
        <w:trPr/>
        <w:tc>
          <w:tcPr>
            <w:tcBorders/>
            <w:tcW w:w="2551" w:type="dxa"/>
          </w:tcPr>
          <w:p>
            <w:pPr>
              <w:pBdr/>
              <w:spacing/>
              <w:ind/>
              <w:jc w:val="center"/>
              <w:rPr/>
            </w:pPr>
            <w:r>
              <w:rPr>
                <w:sz w:val="18"/>
              </w:rPr>
              <w:t xml:space="preserve">Cumulative (oráculo)</w:t>
            </w:r>
            <w:r/>
          </w:p>
        </w:tc>
        <w:tc>
          <w:tcPr>
            <w:tcBorders/>
            <w:tcW w:w="1701" w:type="dxa"/>
          </w:tcPr>
          <w:p>
            <w:pPr>
              <w:pBdr/>
              <w:spacing/>
              <w:ind/>
              <w:jc w:val="center"/>
              <w:rPr/>
            </w:pPr>
            <w:r>
              <w:rPr>
                <w:sz w:val="18"/>
              </w:rPr>
              <w:t xml:space="preserve">31.8</w:t>
            </w:r>
            <w:r/>
          </w:p>
        </w:tc>
        <w:tc>
          <w:tcPr>
            <w:tcBorders/>
            <w:tcW w:w="1701" w:type="dxa"/>
          </w:tcPr>
          <w:p>
            <w:pPr>
              <w:pBdr/>
              <w:spacing/>
              <w:ind/>
              <w:jc w:val="center"/>
              <w:rPr/>
            </w:pPr>
            <w:r>
              <w:rPr>
                <w:sz w:val="18"/>
              </w:rPr>
              <w:t xml:space="preserve">28.3</w:t>
            </w:r>
            <w:r/>
          </w:p>
        </w:tc>
        <w:tc>
          <w:tcPr>
            <w:tcBorders/>
            <w:tcW w:w="1701" w:type="dxa"/>
          </w:tcPr>
          <w:p>
            <w:pPr>
              <w:pBdr/>
              <w:spacing/>
              <w:ind/>
              <w:jc w:val="center"/>
              <w:rPr/>
            </w:pPr>
            <w:r>
              <w:rPr>
                <w:sz w:val="18"/>
              </w:rPr>
              <w:t xml:space="preserve">18.6</w:t>
            </w:r>
            <w:r/>
          </w:p>
        </w:tc>
        <w:tc>
          <w:tcPr>
            <w:tcBorders/>
            <w:tcW w:w="1701" w:type="dxa"/>
          </w:tcPr>
          <w:p>
            <w:pPr>
              <w:pBdr/>
              <w:spacing/>
              <w:ind/>
              <w:jc w:val="center"/>
              <w:rPr/>
            </w:pPr>
            <w:r>
              <w:rPr>
                <w:sz w:val="18"/>
              </w:rPr>
              <w:t xml:space="preserve">42.0</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linear</w:t>
      </w:r>
      <w:r>
        <w:rPr>
          <w:b w:val="0"/>
          <w:i w:val="0"/>
          <w:sz w:val="20"/>
        </w:rPr>
        <w:t xml:space="preserve">_accum termina con 36.96 % de accuracy global, superando al oráculo cumulative (22.96 %) y al fine-tuning estándar (20.80 %), a pesar de no tener acceso a datos anteriores. Es además el más rápido: 113.5 s frente a los 654.7 s del oráculo (5.8× más lento).</w:t>
      </w:r>
      <w:r/>
    </w:p>
    <w:p>
      <w:pPr>
        <w:pBdr/>
        <w:spacing/>
        <w:ind/>
        <w:rPr/>
      </w:pPr>
      <w:r>
        <w:rPr>
          <w:b w:val="0"/>
          <w:i w:val="0"/>
          <w:sz w:val="20"/>
        </w:rPr>
        <w:t xml:space="preserve">La Tabla 11 es la prueba directa del no-olvido: linear_accum mantiene entre 79 % y 84 % en las clases de todas las rondas. El fine-tuning estándar o</w:t>
      </w:r>
      <w:r>
        <w:rPr>
          <w:b w:val="0"/>
          <w:i w:val="0"/>
          <w:sz w:val="20"/>
        </w:rPr>
        <w:t xml:space="preserve">lvida progresivamente las rondas anteriores (baja de 44.7 % en R4 a 23.5 % en R1). El oráculo cumulative, aunque reaccede a datos históricos, también olvida porque el entrenamiento por gradiente con pocas epochs no equilibra bien el conocimiento acumulado.</w:t>
      </w:r>
      <w:r/>
    </w:p>
    <w:p>
      <w:pPr>
        <w:pBdr/>
        <w:spacing/>
        <w:ind/>
        <w:rPr/>
      </w:pPr>
      <w:r>
        <w:rPr>
          <w:b w:val="0"/>
          <w:i w:val="0"/>
          <w:sz w:val="20"/>
        </w:rPr>
        <w:t xml:space="preserve">QsimovGradient resulta ineficaz en ImageNet (2.50 % global), con la loss estancada en ~4.6 (log(100), distribución uniforme). Con LR=1×10⁻⁵ y solo 10 epochs, el gradiente no converge en la escala de complejidad de ImageNet.</w:t>
      </w:r>
      <w:r/>
    </w:p>
    <w:p>
      <w:pPr>
        <w:pStyle w:val="694"/>
        <w:pBdr/>
        <w:spacing/>
        <w:ind/>
        <w:rPr/>
      </w:pPr>
      <w:r>
        <w:rPr>
          <w:color w:val="1f497d"/>
        </w:rPr>
        <w:t xml:space="preserve">4.7 Streaming incremental — ImageNet-100</w:t>
      </w:r>
      <w:r/>
    </w:p>
    <w:p>
      <w:pPr>
        <w:pBdr/>
        <w:spacing/>
        <w:ind/>
        <w:rPr/>
      </w:pPr>
      <w:r>
        <w:rPr>
          <w:b/>
          <w:i w:val="0"/>
          <w:sz w:val="20"/>
        </w:rPr>
        <w:t xml:space="preserve">Objetivo</w:t>
      </w:r>
      <w:r/>
    </w:p>
    <w:p>
      <w:pPr>
        <w:pBdr/>
        <w:spacing/>
        <w:ind/>
        <w:rPr/>
      </w:pPr>
      <w:r>
        <w:rPr>
          <w:b w:val="0"/>
          <w:i w:val="0"/>
          <w:sz w:val="20"/>
        </w:rPr>
        <w:t xml:space="preserve">Simular el escenario más realista: las clases llegan en 20 batches continuos de 5 clases cada uno, sin posibilidad de volver a datos anteriores. El test set crece con cada batch (siempre se evalúa sobre todo lo visto hasta ese momento).</w:t>
      </w:r>
      <w:r/>
    </w:p>
    <w:p>
      <w:pPr>
        <w:pBdr/>
        <w:spacing/>
        <w:ind/>
        <w:rPr/>
      </w:pPr>
      <w:r>
        <w:rPr>
          <w:b/>
          <w:i w:val="0"/>
          <w:sz w:val="20"/>
        </w:rPr>
        <w:t xml:space="preserve">Configuración</w:t>
      </w:r>
      <w:r/>
    </w:p>
    <w:p>
      <w:pPr>
        <w:pBdr/>
        <w:spacing/>
        <w:ind/>
        <w:rPr/>
      </w:pPr>
      <w:r>
        <w:rPr>
          <w:b w:val="0"/>
          <w:i w:val="0"/>
          <w:sz w:val="20"/>
        </w:rPr>
        <w:t xml:space="preserve">Dataset: ImageNet-100. 20 batches de 5 clases. El te</w:t>
      </w:r>
      <w:r>
        <w:rPr>
          <w:b w:val="0"/>
          <w:i w:val="0"/>
          <w:sz w:val="20"/>
        </w:rPr>
        <w:t xml:space="preserve">st set del batch B incluye todos los ejemplos de test de las clases B×5 vistas. Cada método actualiza el modelo con solo los datos del nuevo batch. Qsimov linear_accum acumula ecuaciones de todos los batches; los demás métodos no retienen datos históricos.</w:t>
      </w:r>
      <w:r/>
    </w:p>
    <w:p>
      <w:pPr>
        <w:pBdr/>
        <w:spacing/>
        <w:ind/>
        <w:rPr/>
      </w:pPr>
      <w:r>
        <w:rPr>
          <w:b/>
          <w:i/>
          <w:sz w:val="18"/>
        </w:rPr>
        <w:t xml:space="preserve">Tabla 12. Accuracy de clasificación en el experimento de streaming incremental. Cada columna representa un batch específico. La métrica es accuracy sobre el test set acumulado hasta ese batch (clases vistas × 50 ejemplos de test).</w:t>
      </w:r>
      <w:r/>
    </w:p>
    <w:tbl>
      <w:tblPr>
        <w:tblStyle w:val="753"/>
        <w:tblW w:w="0" w:type="auto"/>
        <w:tblBorders/>
        <w:tblLook w:val="04A0" w:firstRow="1" w:lastRow="0" w:firstColumn="1" w:lastColumn="0" w:noHBand="0" w:noVBand="1"/>
      </w:tblPr>
      <w:tblGrid>
        <w:gridCol w:w="1295"/>
        <w:gridCol w:w="1295"/>
        <w:gridCol w:w="1295"/>
        <w:gridCol w:w="1295"/>
        <w:gridCol w:w="1295"/>
        <w:gridCol w:w="1295"/>
        <w:gridCol w:w="1295"/>
      </w:tblGrid>
      <w:tr>
        <w:trPr/>
        <w:tc>
          <w:tcPr>
            <w:shd w:val="clear" w:color="auto" w:fill="1f497d"/>
            <w:tcBorders/>
            <w:tcW w:w="2268" w:type="dxa"/>
          </w:tcPr>
          <w:p>
            <w:pPr>
              <w:pBdr/>
              <w:spacing/>
              <w:ind/>
              <w:jc w:val="center"/>
              <w:rPr/>
            </w:pPr>
            <w:r>
              <w:rPr>
                <w:b/>
                <w:color w:val="ffffff"/>
                <w:sz w:val="18"/>
              </w:rPr>
              <w:t xml:space="preserve">Método</w:t>
            </w:r>
            <w:r/>
          </w:p>
        </w:tc>
        <w:tc>
          <w:tcPr>
            <w:shd w:val="clear" w:color="auto" w:fill="1f497d"/>
            <w:tcBorders/>
            <w:tcW w:w="1361" w:type="dxa"/>
          </w:tcPr>
          <w:p>
            <w:pPr>
              <w:pBdr/>
              <w:spacing/>
              <w:ind/>
              <w:jc w:val="center"/>
              <w:rPr/>
            </w:pPr>
            <w:r>
              <w:rPr>
                <w:b/>
                <w:color w:val="ffffff"/>
                <w:sz w:val="18"/>
              </w:rPr>
              <w:t xml:space="preserve">Batch 1</w:t>
              <w:br/>
              <w:t xml:space="preserve">(5 clases)</w:t>
            </w:r>
            <w:r/>
          </w:p>
        </w:tc>
        <w:tc>
          <w:tcPr>
            <w:shd w:val="clear" w:color="auto" w:fill="1f497d"/>
            <w:tcBorders/>
            <w:tcW w:w="1361" w:type="dxa"/>
          </w:tcPr>
          <w:p>
            <w:pPr>
              <w:pBdr/>
              <w:spacing/>
              <w:ind/>
              <w:jc w:val="center"/>
              <w:rPr/>
            </w:pPr>
            <w:r>
              <w:rPr>
                <w:b/>
                <w:color w:val="ffffff"/>
                <w:sz w:val="18"/>
              </w:rPr>
              <w:t xml:space="preserve">Batch 5</w:t>
              <w:br/>
              <w:t xml:space="preserve">(25 clases)</w:t>
            </w:r>
            <w:r/>
          </w:p>
        </w:tc>
        <w:tc>
          <w:tcPr>
            <w:shd w:val="clear" w:color="auto" w:fill="1f497d"/>
            <w:tcBorders/>
            <w:tcW w:w="1474" w:type="dxa"/>
          </w:tcPr>
          <w:p>
            <w:pPr>
              <w:pBdr/>
              <w:spacing/>
              <w:ind/>
              <w:jc w:val="center"/>
              <w:rPr/>
            </w:pPr>
            <w:r>
              <w:rPr>
                <w:b/>
                <w:color w:val="ffffff"/>
                <w:sz w:val="18"/>
              </w:rPr>
              <w:t xml:space="preserve">Batch 10</w:t>
              <w:br/>
              <w:t xml:space="preserve">(50 clases)</w:t>
            </w:r>
            <w:r/>
          </w:p>
        </w:tc>
        <w:tc>
          <w:tcPr>
            <w:shd w:val="clear" w:color="auto" w:fill="1f497d"/>
            <w:tcBorders/>
            <w:tcW w:w="1474" w:type="dxa"/>
          </w:tcPr>
          <w:p>
            <w:pPr>
              <w:pBdr/>
              <w:spacing/>
              <w:ind/>
              <w:jc w:val="center"/>
              <w:rPr/>
            </w:pPr>
            <w:r>
              <w:rPr>
                <w:b/>
                <w:color w:val="ffffff"/>
                <w:sz w:val="18"/>
              </w:rPr>
              <w:t xml:space="preserve">Batch 15</w:t>
              <w:br/>
              <w:t xml:space="preserve">(75 clases)</w:t>
            </w:r>
            <w:r/>
          </w:p>
        </w:tc>
        <w:tc>
          <w:tcPr>
            <w:shd w:val="clear" w:color="auto" w:fill="1f497d"/>
            <w:tcBorders/>
            <w:tcW w:w="1474" w:type="dxa"/>
          </w:tcPr>
          <w:p>
            <w:pPr>
              <w:pBdr/>
              <w:spacing/>
              <w:ind/>
              <w:jc w:val="center"/>
              <w:rPr/>
            </w:pPr>
            <w:r>
              <w:rPr>
                <w:b/>
                <w:color w:val="ffffff"/>
                <w:sz w:val="18"/>
              </w:rPr>
              <w:t xml:space="preserve">Batch 20</w:t>
              <w:br/>
              <w:t xml:space="preserve">(100 clases)</w:t>
            </w:r>
            <w:r/>
          </w:p>
        </w:tc>
        <w:tc>
          <w:tcPr>
            <w:shd w:val="clear" w:color="auto" w:fill="1f497d"/>
            <w:tcBorders/>
            <w:tcW w:w="1361" w:type="dxa"/>
          </w:tcPr>
          <w:p>
            <w:pPr>
              <w:pBdr/>
              <w:spacing/>
              <w:ind/>
              <w:jc w:val="center"/>
              <w:rPr/>
            </w:pPr>
            <w:r>
              <w:rPr>
                <w:b/>
                <w:color w:val="ffffff"/>
                <w:sz w:val="18"/>
              </w:rPr>
              <w:t xml:space="preserve">Tiempo</w:t>
              <w:br/>
              <w:t xml:space="preserve">batch 20 (s)</w:t>
            </w:r>
            <w:r/>
          </w:p>
        </w:tc>
      </w:tr>
      <w:tr>
        <w:trPr/>
        <w:tc>
          <w:tcPr>
            <w:tcBorders/>
            <w:tcW w:w="2268" w:type="dxa"/>
          </w:tcPr>
          <w:p>
            <w:pPr>
              <w:pBdr/>
              <w:spacing/>
              <w:ind/>
              <w:jc w:val="center"/>
              <w:rPr/>
            </w:pPr>
            <w:r>
              <w:rPr>
                <w:sz w:val="18"/>
              </w:rPr>
              <w:t xml:space="preserve">Qsimov linear_accum</w:t>
            </w:r>
            <w:r/>
          </w:p>
        </w:tc>
        <w:tc>
          <w:tcPr>
            <w:tcBorders/>
            <w:tcW w:w="1361" w:type="dxa"/>
          </w:tcPr>
          <w:p>
            <w:pPr>
              <w:pBdr/>
              <w:spacing/>
              <w:ind/>
              <w:jc w:val="center"/>
              <w:rPr/>
            </w:pPr>
            <w:r>
              <w:rPr>
                <w:sz w:val="18"/>
              </w:rPr>
              <w:t xml:space="preserve">73.2 %</w:t>
            </w:r>
            <w:r/>
          </w:p>
        </w:tc>
        <w:tc>
          <w:tcPr>
            <w:tcBorders/>
            <w:tcW w:w="1361" w:type="dxa"/>
          </w:tcPr>
          <w:p>
            <w:pPr>
              <w:pBdr/>
              <w:spacing/>
              <w:ind/>
              <w:jc w:val="center"/>
              <w:rPr/>
            </w:pPr>
            <w:r>
              <w:rPr>
                <w:sz w:val="18"/>
              </w:rPr>
              <w:t xml:space="preserve">59.5 %</w:t>
            </w:r>
            <w:r/>
          </w:p>
        </w:tc>
        <w:tc>
          <w:tcPr>
            <w:tcBorders/>
            <w:tcW w:w="1474" w:type="dxa"/>
          </w:tcPr>
          <w:p>
            <w:pPr>
              <w:pBdr/>
              <w:spacing/>
              <w:ind/>
              <w:jc w:val="center"/>
              <w:rPr/>
            </w:pPr>
            <w:r>
              <w:rPr>
                <w:sz w:val="18"/>
              </w:rPr>
              <w:t xml:space="preserve">47.6 %</w:t>
            </w:r>
            <w:r/>
          </w:p>
        </w:tc>
        <w:tc>
          <w:tcPr>
            <w:tcBorders/>
            <w:tcW w:w="1474" w:type="dxa"/>
          </w:tcPr>
          <w:p>
            <w:pPr>
              <w:pBdr/>
              <w:spacing/>
              <w:ind/>
              <w:jc w:val="center"/>
              <w:rPr/>
            </w:pPr>
            <w:r>
              <w:rPr>
                <w:sz w:val="18"/>
              </w:rPr>
              <w:t xml:space="preserve">39.4 %</w:t>
            </w:r>
            <w:r/>
          </w:p>
        </w:tc>
        <w:tc>
          <w:tcPr>
            <w:tcBorders/>
            <w:tcW w:w="1474" w:type="dxa"/>
          </w:tcPr>
          <w:p>
            <w:pPr>
              <w:pBdr/>
              <w:spacing/>
              <w:ind/>
              <w:jc w:val="center"/>
              <w:rPr/>
            </w:pPr>
            <w:r>
              <w:rPr>
                <w:sz w:val="18"/>
              </w:rPr>
              <w:t xml:space="preserve">37.1 %</w:t>
            </w:r>
            <w:r/>
          </w:p>
        </w:tc>
        <w:tc>
          <w:tcPr>
            <w:tcBorders/>
            <w:tcW w:w="1361" w:type="dxa"/>
          </w:tcPr>
          <w:p>
            <w:pPr>
              <w:pBdr/>
              <w:spacing/>
              <w:ind/>
              <w:jc w:val="center"/>
              <w:rPr/>
            </w:pPr>
            <w:r>
              <w:rPr>
                <w:sz w:val="18"/>
              </w:rPr>
              <w:t xml:space="preserve"> 5.8</w:t>
            </w:r>
            <w:r/>
          </w:p>
        </w:tc>
      </w:tr>
      <w:tr>
        <w:trPr/>
        <w:tc>
          <w:tcPr>
            <w:shd w:val="clear" w:color="auto" w:fill="edf1f7"/>
            <w:tcBorders/>
            <w:tcW w:w="2268" w:type="dxa"/>
          </w:tcPr>
          <w:p>
            <w:pPr>
              <w:pBdr/>
              <w:spacing/>
              <w:ind/>
              <w:jc w:val="center"/>
              <w:rPr/>
            </w:pPr>
            <w:r>
              <w:rPr>
                <w:sz w:val="18"/>
              </w:rPr>
              <w:t xml:space="preserve">Qsimov gradient</w:t>
            </w:r>
            <w:r/>
          </w:p>
        </w:tc>
        <w:tc>
          <w:tcPr>
            <w:shd w:val="clear" w:color="auto" w:fill="edf1f7"/>
            <w:tcBorders/>
            <w:tcW w:w="1361" w:type="dxa"/>
          </w:tcPr>
          <w:p>
            <w:pPr>
              <w:pBdr/>
              <w:spacing/>
              <w:ind/>
              <w:jc w:val="center"/>
              <w:rPr/>
            </w:pPr>
            <w:r>
              <w:rPr>
                <w:sz w:val="18"/>
              </w:rPr>
              <w:t xml:space="preserve"> 0.0 %</w:t>
            </w:r>
            <w:r/>
          </w:p>
        </w:tc>
        <w:tc>
          <w:tcPr>
            <w:shd w:val="clear" w:color="auto" w:fill="edf1f7"/>
            <w:tcBorders/>
            <w:tcW w:w="1361" w:type="dxa"/>
          </w:tcPr>
          <w:p>
            <w:pPr>
              <w:pBdr/>
              <w:spacing/>
              <w:ind/>
              <w:jc w:val="center"/>
              <w:rPr/>
            </w:pPr>
            <w:r>
              <w:rPr>
                <w:sz w:val="18"/>
              </w:rPr>
              <w:t xml:space="preserve"> 2.2 %</w:t>
            </w:r>
            <w:r/>
          </w:p>
        </w:tc>
        <w:tc>
          <w:tcPr>
            <w:shd w:val="clear" w:color="auto" w:fill="edf1f7"/>
            <w:tcBorders/>
            <w:tcW w:w="1474" w:type="dxa"/>
          </w:tcPr>
          <w:p>
            <w:pPr>
              <w:pBdr/>
              <w:spacing/>
              <w:ind/>
              <w:jc w:val="center"/>
              <w:rPr/>
            </w:pPr>
            <w:r>
              <w:rPr>
                <w:sz w:val="18"/>
              </w:rPr>
              <w:t xml:space="preserve"> 0.9 %</w:t>
            </w:r>
            <w:r/>
          </w:p>
        </w:tc>
        <w:tc>
          <w:tcPr>
            <w:shd w:val="clear" w:color="auto" w:fill="edf1f7"/>
            <w:tcBorders/>
            <w:tcW w:w="1474" w:type="dxa"/>
          </w:tcPr>
          <w:p>
            <w:pPr>
              <w:pBdr/>
              <w:spacing/>
              <w:ind/>
              <w:jc w:val="center"/>
              <w:rPr/>
            </w:pPr>
            <w:r>
              <w:rPr>
                <w:sz w:val="18"/>
              </w:rPr>
              <w:t xml:space="preserve"> 1.1 %</w:t>
            </w:r>
            <w:r/>
          </w:p>
        </w:tc>
        <w:tc>
          <w:tcPr>
            <w:shd w:val="clear" w:color="auto" w:fill="edf1f7"/>
            <w:tcBorders/>
            <w:tcW w:w="1474" w:type="dxa"/>
          </w:tcPr>
          <w:p>
            <w:pPr>
              <w:pBdr/>
              <w:spacing/>
              <w:ind/>
              <w:jc w:val="center"/>
              <w:rPr/>
            </w:pPr>
            <w:r>
              <w:rPr>
                <w:sz w:val="18"/>
              </w:rPr>
              <w:t xml:space="preserve"> 1.5 %</w:t>
            </w:r>
            <w:r/>
          </w:p>
        </w:tc>
        <w:tc>
          <w:tcPr>
            <w:shd w:val="clear" w:color="auto" w:fill="edf1f7"/>
            <w:tcBorders/>
            <w:tcW w:w="1361" w:type="dxa"/>
          </w:tcPr>
          <w:p>
            <w:pPr>
              <w:pBdr/>
              <w:spacing/>
              <w:ind/>
              <w:jc w:val="center"/>
              <w:rPr/>
            </w:pPr>
            <w:r>
              <w:rPr>
                <w:sz w:val="18"/>
              </w:rPr>
              <w:t xml:space="preserve"> 6.2</w:t>
            </w:r>
            <w:r/>
          </w:p>
        </w:tc>
      </w:tr>
      <w:tr>
        <w:trPr/>
        <w:tc>
          <w:tcPr>
            <w:tcBorders/>
            <w:tcW w:w="2268" w:type="dxa"/>
          </w:tcPr>
          <w:p>
            <w:pPr>
              <w:pBdr/>
              <w:spacing/>
              <w:ind/>
              <w:jc w:val="center"/>
              <w:rPr/>
            </w:pPr>
            <w:r>
              <w:rPr>
                <w:sz w:val="18"/>
              </w:rPr>
              <w:t xml:space="preserve">Fine-tuning estándar</w:t>
            </w:r>
            <w:r/>
          </w:p>
        </w:tc>
        <w:tc>
          <w:tcPr>
            <w:tcBorders/>
            <w:tcW w:w="1361" w:type="dxa"/>
          </w:tcPr>
          <w:p>
            <w:pPr>
              <w:pBdr/>
              <w:spacing/>
              <w:ind/>
              <w:jc w:val="center"/>
              <w:rPr/>
            </w:pPr>
            <w:r>
              <w:rPr>
                <w:sz w:val="18"/>
              </w:rPr>
              <w:t xml:space="preserve">15.6 %</w:t>
            </w:r>
            <w:r/>
          </w:p>
        </w:tc>
        <w:tc>
          <w:tcPr>
            <w:tcBorders/>
            <w:tcW w:w="1361" w:type="dxa"/>
          </w:tcPr>
          <w:p>
            <w:pPr>
              <w:pBdr/>
              <w:spacing/>
              <w:ind/>
              <w:jc w:val="center"/>
              <w:rPr/>
            </w:pPr>
            <w:r>
              <w:rPr>
                <w:sz w:val="18"/>
              </w:rPr>
              <w:t xml:space="preserve">25.7 %</w:t>
            </w:r>
            <w:r/>
          </w:p>
        </w:tc>
        <w:tc>
          <w:tcPr>
            <w:tcBorders/>
            <w:tcW w:w="1474" w:type="dxa"/>
          </w:tcPr>
          <w:p>
            <w:pPr>
              <w:pBdr/>
              <w:spacing/>
              <w:ind/>
              <w:jc w:val="center"/>
              <w:rPr/>
            </w:pPr>
            <w:r>
              <w:rPr>
                <w:sz w:val="18"/>
              </w:rPr>
              <w:t xml:space="preserve">22.2 %</w:t>
            </w:r>
            <w:r/>
          </w:p>
        </w:tc>
        <w:tc>
          <w:tcPr>
            <w:tcBorders/>
            <w:tcW w:w="1474" w:type="dxa"/>
          </w:tcPr>
          <w:p>
            <w:pPr>
              <w:pBdr/>
              <w:spacing/>
              <w:ind/>
              <w:jc w:val="center"/>
              <w:rPr/>
            </w:pPr>
            <w:r>
              <w:rPr>
                <w:sz w:val="18"/>
              </w:rPr>
              <w:t xml:space="preserve">17.8 %</w:t>
            </w:r>
            <w:r/>
          </w:p>
        </w:tc>
        <w:tc>
          <w:tcPr>
            <w:tcBorders/>
            <w:tcW w:w="1474" w:type="dxa"/>
          </w:tcPr>
          <w:p>
            <w:pPr>
              <w:pBdr/>
              <w:spacing/>
              <w:ind/>
              <w:jc w:val="center"/>
              <w:rPr/>
            </w:pPr>
            <w:r>
              <w:rPr>
                <w:sz w:val="18"/>
              </w:rPr>
              <w:t xml:space="preserve">21.8 %</w:t>
            </w:r>
            <w:r/>
          </w:p>
        </w:tc>
        <w:tc>
          <w:tcPr>
            <w:tcBorders/>
            <w:tcW w:w="1361" w:type="dxa"/>
          </w:tcPr>
          <w:p>
            <w:pPr>
              <w:pBdr/>
              <w:spacing/>
              <w:ind/>
              <w:jc w:val="center"/>
              <w:rPr/>
            </w:pPr>
            <w:r>
              <w:rPr>
                <w:sz w:val="18"/>
              </w:rPr>
              <w:t xml:space="preserve"> 7.4</w:t>
            </w:r>
            <w:r/>
          </w:p>
        </w:tc>
      </w:tr>
      <w:tr>
        <w:trPr/>
        <w:tc>
          <w:tcPr>
            <w:shd w:val="clear" w:color="auto" w:fill="edf1f7"/>
            <w:tcBorders/>
            <w:tcW w:w="2268" w:type="dxa"/>
          </w:tcPr>
          <w:p>
            <w:pPr>
              <w:pBdr/>
              <w:spacing/>
              <w:ind/>
              <w:jc w:val="center"/>
              <w:rPr/>
            </w:pPr>
            <w:r>
              <w:rPr>
                <w:sz w:val="18"/>
              </w:rPr>
              <w:t xml:space="preserve">Cumulative (oráculo)</w:t>
            </w:r>
            <w:r/>
          </w:p>
        </w:tc>
        <w:tc>
          <w:tcPr>
            <w:shd w:val="clear" w:color="auto" w:fill="edf1f7"/>
            <w:tcBorders/>
            <w:tcW w:w="1361" w:type="dxa"/>
          </w:tcPr>
          <w:p>
            <w:pPr>
              <w:pBdr/>
              <w:spacing/>
              <w:ind/>
              <w:jc w:val="center"/>
              <w:rPr/>
            </w:pPr>
            <w:r>
              <w:rPr>
                <w:sz w:val="18"/>
              </w:rPr>
              <w:t xml:space="preserve">14.8 %</w:t>
            </w:r>
            <w:r/>
          </w:p>
        </w:tc>
        <w:tc>
          <w:tcPr>
            <w:shd w:val="clear" w:color="auto" w:fill="edf1f7"/>
            <w:tcBorders/>
            <w:tcW w:w="1361" w:type="dxa"/>
          </w:tcPr>
          <w:p>
            <w:pPr>
              <w:pBdr/>
              <w:spacing/>
              <w:ind/>
              <w:jc w:val="center"/>
              <w:rPr/>
            </w:pPr>
            <w:r>
              <w:rPr>
                <w:sz w:val="18"/>
              </w:rPr>
              <w:t xml:space="preserve">27.5 %</w:t>
            </w:r>
            <w:r/>
          </w:p>
        </w:tc>
        <w:tc>
          <w:tcPr>
            <w:shd w:val="clear" w:color="auto" w:fill="edf1f7"/>
            <w:tcBorders/>
            <w:tcW w:w="1474" w:type="dxa"/>
          </w:tcPr>
          <w:p>
            <w:pPr>
              <w:pBdr/>
              <w:spacing/>
              <w:ind/>
              <w:jc w:val="center"/>
              <w:rPr/>
            </w:pPr>
            <w:r>
              <w:rPr>
                <w:sz w:val="18"/>
              </w:rPr>
              <w:t xml:space="preserve">24.0 %</w:t>
            </w:r>
            <w:r/>
          </w:p>
        </w:tc>
        <w:tc>
          <w:tcPr>
            <w:shd w:val="clear" w:color="auto" w:fill="edf1f7"/>
            <w:tcBorders/>
            <w:tcW w:w="1474" w:type="dxa"/>
          </w:tcPr>
          <w:p>
            <w:pPr>
              <w:pBdr/>
              <w:spacing/>
              <w:ind/>
              <w:jc w:val="center"/>
              <w:rPr/>
            </w:pPr>
            <w:r>
              <w:rPr>
                <w:sz w:val="18"/>
              </w:rPr>
              <w:t xml:space="preserve">19.8 %</w:t>
            </w:r>
            <w:r/>
          </w:p>
        </w:tc>
        <w:tc>
          <w:tcPr>
            <w:shd w:val="clear" w:color="auto" w:fill="edf1f7"/>
            <w:tcBorders/>
            <w:tcW w:w="1474" w:type="dxa"/>
          </w:tcPr>
          <w:p>
            <w:pPr>
              <w:pBdr/>
              <w:spacing/>
              <w:ind/>
              <w:jc w:val="center"/>
              <w:rPr/>
            </w:pPr>
            <w:r>
              <w:rPr>
                <w:sz w:val="18"/>
              </w:rPr>
              <w:t xml:space="preserve">22.9 %</w:t>
            </w:r>
            <w:r/>
          </w:p>
        </w:tc>
        <w:tc>
          <w:tcPr>
            <w:shd w:val="clear" w:color="auto" w:fill="edf1f7"/>
            <w:tcBorders/>
            <w:tcW w:w="1361" w:type="dxa"/>
          </w:tcPr>
          <w:p>
            <w:pPr>
              <w:pBdr/>
              <w:spacing/>
              <w:ind/>
              <w:jc w:val="center"/>
              <w:rPr/>
            </w:pPr>
            <w:r>
              <w:rPr>
                <w:sz w:val="18"/>
              </w:rPr>
              <w:t xml:space="preserve">142.3</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linear_accum lidera en todos los puntos del experimento. Su descenso gradual de 73.2 % (batch 1) a 37.1 % (batch 20) no es un signo de olv</w:t>
      </w:r>
      <w:r>
        <w:rPr>
          <w:b w:val="0"/>
          <w:i w:val="0"/>
          <w:sz w:val="20"/>
        </w:rPr>
        <w:t xml:space="preserve">ido, sino de dificultad creciente: el test set se expande con cada batch, incorporando clases que el sistema aún no ha procesado. Las ecuaciones acumuladas garantizan que no se olvidan las clases antiguas, pero las nuevas clases puntúan 0 hasta ser vistas.</w:t>
      </w:r>
      <w:r/>
    </w:p>
    <w:p>
      <w:pPr>
        <w:pBdr/>
        <w:spacing/>
        <w:ind/>
        <w:rPr/>
      </w:pPr>
      <w:r>
        <w:rPr>
          <w:b w:val="0"/>
          <w:i w:val="0"/>
          <w:sz w:val="20"/>
        </w:rPr>
        <w:t xml:space="preserve">El cumulative, a pesar de acceder a todos los datos históricos, no supe</w:t>
      </w:r>
      <w:r>
        <w:rPr>
          <w:b w:val="0"/>
          <w:i w:val="0"/>
          <w:sz w:val="20"/>
        </w:rPr>
        <w:t xml:space="preserve">ra a linear_accum en ningún batch (22.9 % vs 37.1 % al final), y su tiempo por batch crece linealmente hasta los 142.3 s en el batch 20, frente a los constantes 5.8 s de linear_accum. Esto demuestra que linear_accum es tanto más preciso como más escalable.</w:t>
      </w:r>
      <w:r/>
    </w:p>
    <w:p>
      <w:pPr>
        <w:pStyle w:val="694"/>
        <w:pBdr/>
        <w:spacing/>
        <w:ind/>
        <w:rPr/>
      </w:pPr>
      <w:r>
        <w:rPr>
          <w:color w:val="1f497d"/>
        </w:rPr>
        <w:t xml:space="preserve">4.8 Restricciones de arquitectura: barrido de initial_layer — ImageNet-100</w:t>
      </w:r>
      <w:r/>
    </w:p>
    <w:p>
      <w:pPr>
        <w:pBdr/>
        <w:spacing/>
        <w:ind/>
        <w:rPr/>
      </w:pPr>
      <w:r>
        <w:rPr>
          <w:b/>
          <w:i w:val="0"/>
          <w:sz w:val="20"/>
        </w:rPr>
        <w:t xml:space="preserve">Objetivo</w:t>
      </w:r>
      <w:r/>
    </w:p>
    <w:p>
      <w:pPr>
        <w:pBdr/>
        <w:spacing/>
        <w:ind/>
        <w:rPr/>
      </w:pPr>
      <w:r>
        <w:rPr>
          <w:b w:val="0"/>
          <w:i w:val="0"/>
          <w:sz w:val="20"/>
        </w:rPr>
        <w:t xml:space="preserve">Determinar qué capas del modelo VGG16 con top estrecho son válidas como punto de inicio del mecanismo Qsimov, y cuál es el impacto de la elección en la accuracy.</w:t>
      </w:r>
      <w:r/>
    </w:p>
    <w:p>
      <w:pPr>
        <w:pBdr/>
        <w:spacing/>
        <w:ind/>
        <w:rPr/>
      </w:pPr>
      <w:r>
        <w:rPr>
          <w:b/>
          <w:i w:val="0"/>
          <w:sz w:val="20"/>
        </w:rPr>
        <w:t xml:space="preserve">Configuración</w:t>
      </w:r>
      <w:r/>
    </w:p>
    <w:p>
      <w:pPr>
        <w:pBdr/>
        <w:spacing/>
        <w:ind/>
        <w:rPr/>
      </w:pPr>
      <w:r>
        <w:rPr>
          <w:b w:val="0"/>
          <w:i w:val="0"/>
          <w:sz w:val="20"/>
        </w:rPr>
        <w:t xml:space="preserve">Dataset: ImageNet-100 com</w:t>
      </w:r>
      <w:r>
        <w:rPr>
          <w:b w:val="0"/>
          <w:i w:val="0"/>
          <w:sz w:val="20"/>
        </w:rPr>
        <w:t xml:space="preserve">pleto (~40 000 train). Se prueba initial_layer=-2 (Linear 2048→128) e initial_layer=-3 (capa anterior). Para cada punto, se entrena QsimovLinearSystem y QsimovGradient con la configuración estándar. El resultado es accuracy en el test set (5 000 muestras).</w:t>
      </w:r>
      <w:r/>
    </w:p>
    <w:p>
      <w:pPr>
        <w:pBdr/>
        <w:spacing/>
        <w:ind/>
        <w:rPr/>
      </w:pPr>
      <w:r>
        <w:rPr>
          <w:b/>
          <w:i/>
          <w:sz w:val="18"/>
        </w:rPr>
        <w:t xml:space="preserve">Tabla 13. Resultados del barrido de initial_layer en VGG16. El número de paths indica cuántas combinaciones de activaciones distintas genera la capa señalada. Una capa ReLU no es válida porque no determina selección de pesos.</w:t>
      </w: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1587" w:type="dxa"/>
          </w:tcPr>
          <w:p>
            <w:pPr>
              <w:pBdr/>
              <w:spacing/>
              <w:ind/>
              <w:jc w:val="center"/>
              <w:rPr/>
            </w:pPr>
            <w:r>
              <w:rPr>
                <w:b/>
                <w:color w:val="ffffff"/>
                <w:sz w:val="18"/>
              </w:rPr>
              <w:t xml:space="preserve">initial_layer</w:t>
            </w:r>
            <w:r/>
          </w:p>
        </w:tc>
        <w:tc>
          <w:tcPr>
            <w:shd w:val="clear" w:color="auto" w:fill="1f497d"/>
            <w:tcBorders/>
            <w:tcW w:w="2381" w:type="dxa"/>
          </w:tcPr>
          <w:p>
            <w:pPr>
              <w:pBdr/>
              <w:spacing/>
              <w:ind/>
              <w:jc w:val="center"/>
              <w:rPr/>
            </w:pPr>
            <w:r>
              <w:rPr>
                <w:b/>
                <w:color w:val="ffffff"/>
                <w:sz w:val="18"/>
              </w:rPr>
              <w:t xml:space="preserve">Capa correspondiente</w:t>
            </w:r>
            <w:r/>
          </w:p>
        </w:tc>
        <w:tc>
          <w:tcPr>
            <w:shd w:val="clear" w:color="auto" w:fill="1f497d"/>
            <w:tcBorders/>
            <w:tcW w:w="1417" w:type="dxa"/>
          </w:tcPr>
          <w:p>
            <w:pPr>
              <w:pBdr/>
              <w:spacing/>
              <w:ind/>
              <w:jc w:val="center"/>
              <w:rPr/>
            </w:pPr>
            <w:r>
              <w:rPr>
                <w:b/>
                <w:color w:val="ffffff"/>
                <w:sz w:val="18"/>
              </w:rPr>
              <w:t xml:space="preserve">n_paths</w:t>
            </w:r>
            <w:r/>
          </w:p>
        </w:tc>
        <w:tc>
          <w:tcPr>
            <w:shd w:val="clear" w:color="auto" w:fill="1f497d"/>
            <w:tcBorders/>
            <w:tcW w:w="1701" w:type="dxa"/>
          </w:tcPr>
          <w:p>
            <w:pPr>
              <w:pBdr/>
              <w:spacing/>
              <w:ind/>
              <w:jc w:val="center"/>
              <w:rPr/>
            </w:pPr>
            <w:r>
              <w:rPr>
                <w:b/>
                <w:color w:val="ffffff"/>
                <w:sz w:val="18"/>
              </w:rPr>
              <w:t xml:space="preserve">Linear acc (%)</w:t>
            </w:r>
            <w:r/>
          </w:p>
        </w:tc>
        <w:tc>
          <w:tcPr>
            <w:shd w:val="clear" w:color="auto" w:fill="1f497d"/>
            <w:tcBorders/>
            <w:tcW w:w="1701" w:type="dxa"/>
          </w:tcPr>
          <w:p>
            <w:pPr>
              <w:pBdr/>
              <w:spacing/>
              <w:ind/>
              <w:jc w:val="center"/>
              <w:rPr/>
            </w:pPr>
            <w:r>
              <w:rPr>
                <w:b/>
                <w:color w:val="ffffff"/>
                <w:sz w:val="18"/>
              </w:rPr>
              <w:t xml:space="preserve">Gradient acc (%)</w:t>
            </w:r>
            <w:r/>
          </w:p>
        </w:tc>
        <w:tc>
          <w:tcPr>
            <w:shd w:val="clear" w:color="auto" w:fill="1f497d"/>
            <w:tcBorders/>
            <w:tcW w:w="2551" w:type="dxa"/>
          </w:tcPr>
          <w:p>
            <w:pPr>
              <w:pBdr/>
              <w:spacing/>
              <w:ind/>
              <w:jc w:val="center"/>
              <w:rPr/>
            </w:pPr>
            <w:r>
              <w:rPr>
                <w:b/>
                <w:color w:val="ffffff"/>
                <w:sz w:val="18"/>
              </w:rPr>
              <w:t xml:space="preserve">Estado</w:t>
            </w:r>
            <w:r/>
          </w:p>
        </w:tc>
      </w:tr>
      <w:tr>
        <w:trPr/>
        <w:tc>
          <w:tcPr>
            <w:tcBorders/>
            <w:tcW w:w="1587" w:type="dxa"/>
          </w:tcPr>
          <w:p>
            <w:pPr>
              <w:pBdr/>
              <w:spacing/>
              <w:ind/>
              <w:jc w:val="center"/>
              <w:rPr/>
            </w:pPr>
            <w:r>
              <w:rPr>
                <w:sz w:val="18"/>
              </w:rPr>
              <w:t xml:space="preserve">-2</w:t>
            </w:r>
            <w:r/>
          </w:p>
        </w:tc>
        <w:tc>
          <w:tcPr>
            <w:tcBorders/>
            <w:tcW w:w="2381" w:type="dxa"/>
          </w:tcPr>
          <w:p>
            <w:pPr>
              <w:pBdr/>
              <w:spacing/>
              <w:ind/>
              <w:jc w:val="center"/>
              <w:rPr/>
            </w:pPr>
            <w:r>
              <w:rPr>
                <w:sz w:val="18"/>
              </w:rPr>
              <w:t xml:space="preserve">Linear(2048→128)</w:t>
            </w:r>
            <w:r/>
          </w:p>
        </w:tc>
        <w:tc>
          <w:tcPr>
            <w:tcBorders/>
            <w:tcW w:w="1417" w:type="dxa"/>
          </w:tcPr>
          <w:p>
            <w:pPr>
              <w:pBdr/>
              <w:spacing/>
              <w:ind/>
              <w:jc w:val="center"/>
              <w:rPr/>
            </w:pPr>
            <w:r>
              <w:rPr>
                <w:sz w:val="18"/>
              </w:rPr>
              <w:t xml:space="preserve">12 900</w:t>
            </w:r>
            <w:r/>
          </w:p>
        </w:tc>
        <w:tc>
          <w:tcPr>
            <w:tcBorders/>
            <w:tcW w:w="1701" w:type="dxa"/>
          </w:tcPr>
          <w:p>
            <w:pPr>
              <w:pBdr/>
              <w:spacing/>
              <w:ind/>
              <w:jc w:val="center"/>
              <w:rPr/>
            </w:pPr>
            <w:r>
              <w:rPr>
                <w:sz w:val="18"/>
              </w:rPr>
              <w:t xml:space="preserve">37.02</w:t>
            </w:r>
            <w:r/>
          </w:p>
        </w:tc>
        <w:tc>
          <w:tcPr>
            <w:tcBorders/>
            <w:tcW w:w="1701" w:type="dxa"/>
          </w:tcPr>
          <w:p>
            <w:pPr>
              <w:pBdr/>
              <w:spacing/>
              <w:ind/>
              <w:jc w:val="center"/>
              <w:rPr/>
            </w:pPr>
            <w:r>
              <w:rPr>
                <w:sz w:val="18"/>
              </w:rPr>
              <w:t xml:space="preserve">5.96</w:t>
            </w:r>
            <w:r/>
          </w:p>
        </w:tc>
        <w:tc>
          <w:tcPr>
            <w:tcBorders/>
            <w:tcW w:w="2551" w:type="dxa"/>
          </w:tcPr>
          <w:p>
            <w:pPr>
              <w:pBdr/>
              <w:spacing/>
              <w:ind/>
              <w:jc w:val="center"/>
              <w:rPr/>
            </w:pPr>
            <w:r>
              <w:rPr>
                <w:sz w:val="18"/>
              </w:rPr>
              <w:t xml:space="preserve">Válido</w:t>
            </w:r>
            <w:r/>
          </w:p>
        </w:tc>
      </w:tr>
      <w:tr>
        <w:trPr/>
        <w:tc>
          <w:tcPr>
            <w:shd w:val="clear" w:color="auto" w:fill="edf1f7"/>
            <w:tcBorders/>
            <w:tcW w:w="1587" w:type="dxa"/>
          </w:tcPr>
          <w:p>
            <w:pPr>
              <w:pBdr/>
              <w:spacing/>
              <w:ind/>
              <w:jc w:val="center"/>
              <w:rPr/>
            </w:pPr>
            <w:r>
              <w:rPr>
                <w:sz w:val="18"/>
              </w:rPr>
              <w:t xml:space="preserve">-3</w:t>
            </w:r>
            <w:r/>
          </w:p>
        </w:tc>
        <w:tc>
          <w:tcPr>
            <w:shd w:val="clear" w:color="auto" w:fill="edf1f7"/>
            <w:tcBorders/>
            <w:tcW w:w="2381" w:type="dxa"/>
          </w:tcPr>
          <w:p>
            <w:pPr>
              <w:pBdr/>
              <w:spacing/>
              <w:ind/>
              <w:jc w:val="center"/>
              <w:rPr/>
            </w:pPr>
            <w:r>
              <w:rPr>
                <w:sz w:val="18"/>
              </w:rPr>
              <w:t xml:space="preserve">ReLU(128)</w:t>
            </w:r>
            <w:r/>
          </w:p>
        </w:tc>
        <w:tc>
          <w:tcPr>
            <w:shd w:val="clear" w:color="auto" w:fill="edf1f7"/>
            <w:tcBorders/>
            <w:tcW w:w="1417" w:type="dxa"/>
          </w:tcPr>
          <w:p>
            <w:pPr>
              <w:pBdr/>
              <w:spacing/>
              <w:ind/>
              <w:jc w:val="center"/>
              <w:rPr/>
            </w:pPr>
            <w:r>
              <w:rPr>
                <w:sz w:val="18"/>
              </w:rPr>
              <w:t xml:space="preserve">—</w:t>
            </w:r>
            <w:r/>
          </w:p>
        </w:tc>
        <w:tc>
          <w:tcPr>
            <w:shd w:val="clear" w:color="auto" w:fill="edf1f7"/>
            <w:tcBorders/>
            <w:tcW w:w="1701" w:type="dxa"/>
          </w:tcPr>
          <w:p>
            <w:pPr>
              <w:pBdr/>
              <w:spacing/>
              <w:ind/>
              <w:jc w:val="center"/>
              <w:rPr/>
            </w:pPr>
            <w:r>
              <w:rPr>
                <w:sz w:val="18"/>
              </w:rPr>
              <w:t xml:space="preserve">—</w:t>
            </w:r>
            <w:r/>
          </w:p>
        </w:tc>
        <w:tc>
          <w:tcPr>
            <w:shd w:val="clear" w:color="auto" w:fill="edf1f7"/>
            <w:tcBorders/>
            <w:tcW w:w="1701" w:type="dxa"/>
          </w:tcPr>
          <w:p>
            <w:pPr>
              <w:pBdr/>
              <w:spacing/>
              <w:ind/>
              <w:jc w:val="center"/>
              <w:rPr/>
            </w:pPr>
            <w:r>
              <w:rPr>
                <w:sz w:val="18"/>
              </w:rPr>
              <w:t xml:space="preserve">—</w:t>
            </w:r>
            <w:r/>
          </w:p>
        </w:tc>
        <w:tc>
          <w:tcPr>
            <w:shd w:val="clear" w:color="auto" w:fill="edf1f7"/>
            <w:tcBorders/>
            <w:tcW w:w="2551" w:type="dxa"/>
          </w:tcPr>
          <w:p>
            <w:pPr>
              <w:pBdr/>
              <w:spacing/>
              <w:ind/>
              <w:jc w:val="center"/>
              <w:rPr/>
            </w:pPr>
            <w:r>
              <w:rPr>
                <w:sz w:val="18"/>
              </w:rPr>
              <w:t xml:space="preserve">Inválido: capa de activación</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Solo initial_layer=-2 es válido en el top estrecho utilizado. El valor -3 apunta a </w:t>
      </w:r>
      <w:r>
        <w:rPr>
          <w:b w:val="0"/>
          <w:i w:val="0"/>
          <w:sz w:val="20"/>
        </w:rPr>
        <w:t xml:space="preserve">una capa ReLU, que Qsimov rechaza porque las capas de activación no participan en la selección de paths (no tienen pesos propios que acotar). Esto ilustra una restricción de arquitectura concreta: initial_layer debe apuntar siempre a una capa Dense o Conv.</w:t>
      </w:r>
      <w:r/>
    </w:p>
    <w:p>
      <w:pPr>
        <w:pBdr/>
        <w:spacing/>
        <w:ind/>
        <w:rPr/>
      </w:pPr>
      <w:r>
        <w:rPr>
          <w:b w:val="0"/>
          <w:i w:val="0"/>
          <w:sz w:val="20"/>
        </w:rPr>
        <w:t xml:space="preserve">Con initial_layer=-2 se generan 12 900 paths (129 po</w:t>
      </w:r>
      <w:r>
        <w:rPr>
          <w:b w:val="0"/>
          <w:i w:val="0"/>
          <w:sz w:val="20"/>
        </w:rPr>
        <w:t xml:space="preserve">r clase de salida), lo que proporciona una capacidad alta de diferenciación. QsimovLinearSystem alcanza 37.02 % en 135 s; QsimovGradient solo llega al 5.96 % en 253 s, confirmando de nuevo su ineficacia en la escala de ImageNet con la configuración actual.</w:t>
      </w:r>
      <w:r/>
    </w:p>
    <w:p>
      <w:pPr>
        <w:pStyle w:val="694"/>
        <w:pBdr/>
        <w:spacing/>
        <w:ind/>
        <w:rPr/>
      </w:pPr>
      <w:r>
        <w:rPr>
          <w:color w:val="1f497d"/>
        </w:rPr>
        <w:t xml:space="preserve">4.9 Comparativa de splits — ImageNet-100</w:t>
      </w:r>
      <w:r/>
    </w:p>
    <w:p>
      <w:pPr>
        <w:pBdr/>
        <w:spacing/>
        <w:ind/>
        <w:rPr/>
      </w:pPr>
      <w:r>
        <w:rPr>
          <w:b/>
          <w:i w:val="0"/>
          <w:sz w:val="20"/>
        </w:rPr>
        <w:t xml:space="preserve">Objetivo</w:t>
      </w:r>
      <w:r/>
    </w:p>
    <w:p>
      <w:pPr>
        <w:pBdr/>
        <w:spacing/>
        <w:ind/>
        <w:rPr/>
      </w:pPr>
      <w:r>
        <w:rPr>
          <w:b w:val="0"/>
          <w:i w:val="0"/>
          <w:sz w:val="20"/>
        </w:rPr>
        <w:t xml:space="preserve">Comparar la capacidad de generalización del top estrecho (PathSelector) frente al clasificador estándar (top ancho) y frente a QsimovGradient en función del número de muestras disponibles para el entrenamiento del clasificador.</w:t>
      </w:r>
      <w:r/>
    </w:p>
    <w:p>
      <w:pPr>
        <w:pBdr/>
        <w:spacing/>
        <w:ind/>
        <w:rPr/>
      </w:pPr>
      <w:r>
        <w:rPr>
          <w:b/>
          <w:i w:val="0"/>
          <w:sz w:val="20"/>
        </w:rPr>
        <w:t xml:space="preserve">Configuración</w:t>
      </w:r>
      <w:r/>
    </w:p>
    <w:p>
      <w:pPr>
        <w:pBdr/>
        <w:spacing/>
        <w:ind/>
        <w:rPr/>
      </w:pPr>
      <w:r>
        <w:rPr>
          <w:b w:val="0"/>
          <w:i w:val="0"/>
          <w:sz w:val="20"/>
        </w:rPr>
        <w:t xml:space="preserve">Dataset: ImageNet-100. La base convolucional (VGG16) es la misma y permanece congelad</w:t>
      </w:r>
      <w:r>
        <w:rPr>
          <w:b w:val="0"/>
          <w:i w:val="0"/>
          <w:sz w:val="20"/>
        </w:rPr>
        <w:t xml:space="preserve">a. Se varía el split de entrenamiento del clasificador: 1 000, 5 000 y 10 000 muestras, además del dataset completo. 10 epochs en todos los casos. El top ancho (VGG16 estándar) tiene 25088→4096→4096→100; el estrecho (PathSelector) tiene 25088→2048→128→100.</w:t>
      </w:r>
      <w:r/>
    </w:p>
    <w:p>
      <w:pPr>
        <w:pBdr/>
        <w:spacing/>
        <w:ind/>
        <w:rPr/>
      </w:pPr>
      <w:r>
        <w:rPr>
          <w:b/>
          <w:i/>
          <w:sz w:val="18"/>
        </w:rPr>
        <w:t xml:space="preserve">Tabla 14. Accuracy de validación (test set de 5 000 muestras, 100 clases) en función del tamaño del split de entrenamiento. La base VGG16 está congelada; solo difiere el clasificador superior. 10 epochs de entrenamiento en todos los casos.</w:t>
      </w:r>
      <w:r/>
    </w:p>
    <w:tbl>
      <w:tblPr>
        <w:tblStyle w:val="753"/>
        <w:tblW w:w="0" w:type="auto"/>
        <w:tblBorders/>
        <w:tblLook w:val="04A0" w:firstRow="1" w:lastRow="0" w:firstColumn="1" w:lastColumn="0" w:noHBand="0" w:noVBand="1"/>
      </w:tblPr>
      <w:tblGrid>
        <w:gridCol w:w="2266"/>
        <w:gridCol w:w="2266"/>
        <w:gridCol w:w="2266"/>
        <w:gridCol w:w="2266"/>
      </w:tblGrid>
      <w:tr>
        <w:trPr/>
        <w:tc>
          <w:tcPr>
            <w:shd w:val="clear" w:color="auto" w:fill="1f497d"/>
            <w:tcBorders/>
            <w:tcW w:w="2268" w:type="dxa"/>
          </w:tcPr>
          <w:p>
            <w:pPr>
              <w:pBdr/>
              <w:spacing/>
              <w:ind/>
              <w:jc w:val="center"/>
              <w:rPr/>
            </w:pPr>
            <w:r>
              <w:rPr>
                <w:b/>
                <w:color w:val="ffffff"/>
                <w:sz w:val="18"/>
              </w:rPr>
              <w:t xml:space="preserve">Muestras (split)</w:t>
            </w:r>
            <w:r/>
          </w:p>
        </w:tc>
        <w:tc>
          <w:tcPr>
            <w:shd w:val="clear" w:color="auto" w:fill="1f497d"/>
            <w:tcBorders/>
            <w:tcW w:w="2268" w:type="dxa"/>
          </w:tcPr>
          <w:p>
            <w:pPr>
              <w:pBdr/>
              <w:spacing/>
              <w:ind/>
              <w:jc w:val="center"/>
              <w:rPr/>
            </w:pPr>
            <w:r>
              <w:rPr>
                <w:b/>
                <w:color w:val="ffffff"/>
                <w:sz w:val="18"/>
              </w:rPr>
              <w:t xml:space="preserve">VGG16 estándar (%)</w:t>
            </w:r>
            <w:r/>
          </w:p>
        </w:tc>
        <w:tc>
          <w:tcPr>
            <w:shd w:val="clear" w:color="auto" w:fill="1f497d"/>
            <w:tcBorders/>
            <w:tcW w:w="2551" w:type="dxa"/>
          </w:tcPr>
          <w:p>
            <w:pPr>
              <w:pBdr/>
              <w:spacing/>
              <w:ind/>
              <w:jc w:val="center"/>
              <w:rPr/>
            </w:pPr>
            <w:r>
              <w:rPr>
                <w:b/>
                <w:color w:val="ffffff"/>
                <w:sz w:val="18"/>
              </w:rPr>
              <w:t xml:space="preserve">PathSelector top estrecho (%)</w:t>
            </w:r>
            <w:r/>
          </w:p>
        </w:tc>
        <w:tc>
          <w:tcPr>
            <w:shd w:val="clear" w:color="auto" w:fill="1f497d"/>
            <w:tcBorders/>
            <w:tcW w:w="2268" w:type="dxa"/>
          </w:tcPr>
          <w:p>
            <w:pPr>
              <w:pBdr/>
              <w:spacing/>
              <w:ind/>
              <w:jc w:val="center"/>
              <w:rPr/>
            </w:pPr>
            <w:r>
              <w:rPr>
                <w:b/>
                <w:color w:val="ffffff"/>
                <w:sz w:val="18"/>
              </w:rPr>
              <w:t xml:space="preserve">QsimovGradient (%)</w:t>
            </w:r>
            <w:r/>
          </w:p>
        </w:tc>
      </w:tr>
      <w:tr>
        <w:trPr/>
        <w:tc>
          <w:tcPr>
            <w:tcBorders/>
            <w:tcW w:w="2268" w:type="dxa"/>
          </w:tcPr>
          <w:p>
            <w:pPr>
              <w:pBdr/>
              <w:spacing/>
              <w:ind/>
              <w:jc w:val="center"/>
              <w:rPr/>
            </w:pPr>
            <w:r>
              <w:rPr>
                <w:sz w:val="18"/>
              </w:rPr>
              <w:t xml:space="preserve">1 000</w:t>
            </w:r>
            <w:r/>
          </w:p>
        </w:tc>
        <w:tc>
          <w:tcPr>
            <w:tcBorders/>
            <w:tcW w:w="2268" w:type="dxa"/>
          </w:tcPr>
          <w:p>
            <w:pPr>
              <w:pBdr/>
              <w:spacing/>
              <w:ind/>
              <w:jc w:val="center"/>
              <w:rPr/>
            </w:pPr>
            <w:r>
              <w:rPr>
                <w:sz w:val="18"/>
              </w:rPr>
              <w:t xml:space="preserve">12.72</w:t>
            </w:r>
            <w:r/>
          </w:p>
        </w:tc>
        <w:tc>
          <w:tcPr>
            <w:tcBorders/>
            <w:tcW w:w="2551" w:type="dxa"/>
          </w:tcPr>
          <w:p>
            <w:pPr>
              <w:pBdr/>
              <w:spacing/>
              <w:ind/>
              <w:jc w:val="center"/>
              <w:rPr/>
            </w:pPr>
            <w:r>
              <w:rPr>
                <w:sz w:val="18"/>
              </w:rPr>
              <w:t xml:space="preserve">14.86</w:t>
            </w:r>
            <w:r/>
          </w:p>
        </w:tc>
        <w:tc>
          <w:tcPr>
            <w:tcBorders/>
            <w:tcW w:w="2268" w:type="dxa"/>
          </w:tcPr>
          <w:p>
            <w:pPr>
              <w:pBdr/>
              <w:spacing/>
              <w:ind/>
              <w:jc w:val="center"/>
              <w:rPr/>
            </w:pPr>
            <w:r>
              <w:rPr>
                <w:sz w:val="18"/>
              </w:rPr>
              <w:t xml:space="preserve"> 9.87</w:t>
            </w:r>
            <w:r/>
          </w:p>
        </w:tc>
      </w:tr>
      <w:tr>
        <w:trPr/>
        <w:tc>
          <w:tcPr>
            <w:shd w:val="clear" w:color="auto" w:fill="edf1f7"/>
            <w:tcBorders/>
            <w:tcW w:w="2268" w:type="dxa"/>
          </w:tcPr>
          <w:p>
            <w:pPr>
              <w:pBdr/>
              <w:spacing/>
              <w:ind/>
              <w:jc w:val="center"/>
              <w:rPr/>
            </w:pPr>
            <w:r>
              <w:rPr>
                <w:sz w:val="18"/>
              </w:rPr>
              <w:t xml:space="preserve">5 000</w:t>
            </w:r>
            <w:r/>
          </w:p>
        </w:tc>
        <w:tc>
          <w:tcPr>
            <w:shd w:val="clear" w:color="auto" w:fill="edf1f7"/>
            <w:tcBorders/>
            <w:tcW w:w="2268" w:type="dxa"/>
          </w:tcPr>
          <w:p>
            <w:pPr>
              <w:pBdr/>
              <w:spacing/>
              <w:ind/>
              <w:jc w:val="center"/>
              <w:rPr/>
            </w:pPr>
            <w:r>
              <w:rPr>
                <w:sz w:val="18"/>
              </w:rPr>
              <w:t xml:space="preserve"> 8.26</w:t>
            </w:r>
            <w:r/>
          </w:p>
        </w:tc>
        <w:tc>
          <w:tcPr>
            <w:shd w:val="clear" w:color="auto" w:fill="edf1f7"/>
            <w:tcBorders/>
            <w:tcW w:w="2551" w:type="dxa"/>
          </w:tcPr>
          <w:p>
            <w:pPr>
              <w:pBdr/>
              <w:spacing/>
              <w:ind/>
              <w:jc w:val="center"/>
              <w:rPr/>
            </w:pPr>
            <w:r>
              <w:rPr>
                <w:sz w:val="18"/>
              </w:rPr>
              <w:t xml:space="preserve">16.86</w:t>
            </w:r>
            <w:r/>
          </w:p>
        </w:tc>
        <w:tc>
          <w:tcPr>
            <w:shd w:val="clear" w:color="auto" w:fill="edf1f7"/>
            <w:tcBorders/>
            <w:tcW w:w="2268" w:type="dxa"/>
          </w:tcPr>
          <w:p>
            <w:pPr>
              <w:pBdr/>
              <w:spacing/>
              <w:ind/>
              <w:jc w:val="center"/>
              <w:rPr/>
            </w:pPr>
            <w:r>
              <w:rPr>
                <w:sz w:val="18"/>
              </w:rPr>
              <w:t xml:space="preserve"> 8.78</w:t>
            </w:r>
            <w:r/>
          </w:p>
        </w:tc>
      </w:tr>
      <w:tr>
        <w:trPr/>
        <w:tc>
          <w:tcPr>
            <w:tcBorders/>
            <w:tcW w:w="2268" w:type="dxa"/>
          </w:tcPr>
          <w:p>
            <w:pPr>
              <w:pBdr/>
              <w:spacing/>
              <w:ind/>
              <w:jc w:val="center"/>
              <w:rPr/>
            </w:pPr>
            <w:r>
              <w:rPr>
                <w:sz w:val="18"/>
              </w:rPr>
              <w:t xml:space="preserve">10 000</w:t>
            </w:r>
            <w:r/>
          </w:p>
        </w:tc>
        <w:tc>
          <w:tcPr>
            <w:tcBorders/>
            <w:tcW w:w="2268" w:type="dxa"/>
          </w:tcPr>
          <w:p>
            <w:pPr>
              <w:pBdr/>
              <w:spacing/>
              <w:ind/>
              <w:jc w:val="center"/>
              <w:rPr/>
            </w:pPr>
            <w:r>
              <w:rPr>
                <w:sz w:val="18"/>
              </w:rPr>
              <w:t xml:space="preserve"> 7.32</w:t>
            </w:r>
            <w:r/>
          </w:p>
        </w:tc>
        <w:tc>
          <w:tcPr>
            <w:tcBorders/>
            <w:tcW w:w="2551" w:type="dxa"/>
          </w:tcPr>
          <w:p>
            <w:pPr>
              <w:pBdr/>
              <w:spacing/>
              <w:ind/>
              <w:jc w:val="center"/>
              <w:rPr/>
            </w:pPr>
            <w:r>
              <w:rPr>
                <w:sz w:val="18"/>
              </w:rPr>
              <w:t xml:space="preserve">17.32</w:t>
            </w:r>
            <w:r/>
          </w:p>
        </w:tc>
        <w:tc>
          <w:tcPr>
            <w:tcBorders/>
            <w:tcW w:w="2268" w:type="dxa"/>
          </w:tcPr>
          <w:p>
            <w:pPr>
              <w:pBdr/>
              <w:spacing/>
              <w:ind/>
              <w:jc w:val="center"/>
              <w:rPr/>
            </w:pPr>
            <w:r>
              <w:rPr>
                <w:sz w:val="18"/>
              </w:rPr>
              <w:t xml:space="preserve"> 9.57</w:t>
            </w:r>
            <w:r/>
          </w:p>
        </w:tc>
      </w:tr>
      <w:tr>
        <w:trPr/>
        <w:tc>
          <w:tcPr>
            <w:shd w:val="clear" w:color="auto" w:fill="edf1f7"/>
            <w:tcBorders/>
            <w:tcW w:w="2268" w:type="dxa"/>
          </w:tcPr>
          <w:p>
            <w:pPr>
              <w:pBdr/>
              <w:spacing/>
              <w:ind/>
              <w:jc w:val="center"/>
              <w:rPr/>
            </w:pPr>
            <w:r>
              <w:rPr>
                <w:sz w:val="18"/>
              </w:rPr>
              <w:t xml:space="preserve">Completo (~40 000)</w:t>
            </w:r>
            <w:r/>
          </w:p>
        </w:tc>
        <w:tc>
          <w:tcPr>
            <w:shd w:val="clear" w:color="auto" w:fill="edf1f7"/>
            <w:tcBorders/>
            <w:tcW w:w="2268" w:type="dxa"/>
          </w:tcPr>
          <w:p>
            <w:pPr>
              <w:pBdr/>
              <w:spacing/>
              <w:ind/>
              <w:jc w:val="center"/>
              <w:rPr/>
            </w:pPr>
            <w:r>
              <w:rPr>
                <w:sz w:val="18"/>
              </w:rPr>
              <w:t xml:space="preserve"> 5.20</w:t>
            </w:r>
            <w:r/>
          </w:p>
        </w:tc>
        <w:tc>
          <w:tcPr>
            <w:shd w:val="clear" w:color="auto" w:fill="edf1f7"/>
            <w:tcBorders/>
            <w:tcW w:w="2551" w:type="dxa"/>
          </w:tcPr>
          <w:p>
            <w:pPr>
              <w:pBdr/>
              <w:spacing/>
              <w:ind/>
              <w:jc w:val="center"/>
              <w:rPr/>
            </w:pPr>
            <w:r>
              <w:rPr>
                <w:sz w:val="18"/>
              </w:rPr>
              <w:t xml:space="preserve">—</w:t>
            </w:r>
            <w:r/>
          </w:p>
        </w:tc>
        <w:tc>
          <w:tcPr>
            <w:shd w:val="clear" w:color="auto" w:fill="edf1f7"/>
            <w:tcBorders/>
            <w:tcW w:w="2268" w:type="dxa"/>
          </w:tcPr>
          <w:p>
            <w:pPr>
              <w:pBdr/>
              <w:spacing/>
              <w:ind/>
              <w:jc w:val="center"/>
              <w:rPr/>
            </w:pPr>
            <w:r>
              <w:rPr>
                <w:sz w:val="18"/>
              </w:rPr>
              <w:t xml:space="preserve">—</w:t>
            </w:r>
            <w:r/>
          </w:p>
        </w:tc>
      </w:tr>
    </w:tbl>
    <w:p>
      <w:pPr>
        <w:pBdr/>
        <w:spacing/>
        <w:ind/>
        <w:rPr/>
      </w:pPr>
      <w:r/>
      <w:r/>
    </w:p>
    <w:p>
      <w:pPr>
        <w:pBdr/>
        <w:spacing/>
        <w:ind/>
        <w:rPr/>
      </w:pPr>
      <w:r>
        <w:rPr>
          <w:b/>
          <w:i w:val="0"/>
          <w:sz w:val="20"/>
        </w:rPr>
        <w:t xml:space="preserve">Análisis</w:t>
      </w:r>
      <w:r/>
    </w:p>
    <w:p>
      <w:pPr>
        <w:pBdr/>
        <w:spacing/>
        <w:ind/>
        <w:rPr/>
      </w:pPr>
      <w:r>
        <w:rPr>
          <w:b w:val="0"/>
          <w:i w:val="0"/>
          <w:sz w:val="20"/>
        </w:rPr>
        <w:t xml:space="preserve">El PathSelector (top estrecho) supera consistentemente al VGG16 estándar, y la diferencia crece con más datos: con 10 000 muestras, el estrecho alcanza 17.32 %</w:t>
      </w:r>
      <w:r>
        <w:rPr>
          <w:b w:val="0"/>
          <w:i w:val="0"/>
          <w:sz w:val="20"/>
        </w:rPr>
        <w:t xml:space="preserve"> frente al 7.32 % del estándar. La causa es la regularización implícita: el clasificador estrecho (128 neuronas en el penúltimo layer) tiene menos parámetros que el estándar (4096×4096), por lo que generaliza mejor con el mismo número de muestras y epochs.</w:t>
      </w:r>
      <w:r/>
    </w:p>
    <w:p>
      <w:pPr>
        <w:pBdr/>
        <w:spacing/>
        <w:ind/>
        <w:rPr/>
      </w:pPr>
      <w:r>
        <w:rPr>
          <w:b w:val="0"/>
          <w:i w:val="0"/>
          <w:sz w:val="20"/>
        </w:rPr>
        <w:t xml:space="preserve">El comportamiento contraintuitivo del VGG16 e</w:t>
      </w:r>
      <w:r>
        <w:rPr>
          <w:b w:val="0"/>
          <w:i w:val="0"/>
          <w:sz w:val="20"/>
        </w:rPr>
        <w:t xml:space="preserve">stándar (la accuracy baja al aumentar los datos) se explica por el sobreajuste incipiente: con más muestras y solo 10 epochs, el modelo estándar aún no ha convergido hacia una solución bien generalizada. El PathSelector, siendo más pequeño, converge antes.</w:t>
      </w:r>
      <w:r/>
    </w:p>
    <w:p>
      <w:pPr>
        <w:pBdr/>
        <w:spacing/>
        <w:ind/>
        <w:rPr/>
      </w:pPr>
      <w:r>
        <w:rPr>
          <w:b w:val="0"/>
          <w:i w:val="0"/>
          <w:sz w:val="20"/>
        </w:rPr>
        <w:t xml:space="preserve">QsimovGradient, con LR=1×10⁻⁵ y 1</w:t>
      </w:r>
      <w:r>
        <w:rPr>
          <w:b w:val="0"/>
          <w:i w:val="0"/>
          <w:sz w:val="20"/>
        </w:rPr>
        <w:t xml:space="preserve">0 epochs sobre los splits pequeños, no logra superar al PathSelector base (~9.6 % en todos los splits), lo que confirma que el LR y el número de epochs son insuficientes para que el módulo Qsimov mejore el PathSelector sobre ImageNet-100 en este escenario.</w:t>
      </w:r>
      <w:r/>
    </w:p>
    <w:p>
      <w:pPr>
        <w:pStyle w:val="693"/>
        <w:pBdr/>
        <w:spacing/>
        <w:ind/>
        <w:rPr/>
      </w:pPr>
      <w:r>
        <w:rPr>
          <w:color w:val="1f497d"/>
        </w:rPr>
        <w:t xml:space="preserve">5. Conclusiones</w:t>
      </w:r>
      <w:r/>
    </w:p>
    <w:p>
      <w:pPr>
        <w:pBdr/>
        <w:spacing/>
        <w:ind/>
        <w:rPr/>
      </w:pPr>
      <w:r>
        <w:rPr>
          <w:b w:val="0"/>
          <w:i w:val="0"/>
          <w:sz w:val="20"/>
        </w:rPr>
        <w:t xml:space="preserve">Los experimentos permiten confirmar y mati</w:t>
      </w:r>
      <w:r>
        <w:rPr>
          <w:b w:val="0"/>
          <w:i w:val="0"/>
          <w:sz w:val="20"/>
        </w:rPr>
        <w:t xml:space="preserve">zar la afirmación central de Qsimov: el reentrenamiento con QsimovLinearSystem y acumulación de ecuaciones elimina el olvido catastrófico, es más rápido que el entrenamiento estándar y supera al oráculo cumulative en precisión cuando los datos son escasos.</w:t>
      </w:r>
      <w:r/>
    </w:p>
    <w:p>
      <w:pPr>
        <w:pBdr/>
        <w:spacing/>
        <w:ind/>
        <w:rPr/>
      </w:pPr>
      <w:r>
        <w:rPr>
          <w:b w:val="0"/>
          <w:i w:val="0"/>
          <w:sz w:val="20"/>
        </w:rPr>
        <w:t xml:space="preserve">En MNIST, linear_accum mant</w:t>
      </w:r>
      <w:r>
        <w:rPr>
          <w:b w:val="0"/>
          <w:i w:val="0"/>
          <w:sz w:val="20"/>
        </w:rPr>
        <w:t xml:space="preserve">iene 96.38 % en clases antiguas mientras aprende 74.63 % de las nuevas en 20.5 s, sin acceder a datos históricos y superando al oráculo gradiente (20.41 % en clases nuevas). En ImageNet-100, con 12 900 paths, linear_accum termina cuatro rondas incrementale</w:t>
      </w:r>
      <w:r>
        <w:rPr>
          <w:b w:val="0"/>
          <w:i w:val="0"/>
          <w:sz w:val="20"/>
        </w:rPr>
        <w:t xml:space="preserve">s con 36.96 % global frente al 22.96 % del oráculo, en 113.5 s frente a los 654.7 s del cumulative. En el experimento de streaming (20 batches), linear_accum lidera a 37.1 % con tiempos constantes de ~5.8 s por batch, mientras el cumulative necesita 142 s.</w:t>
      </w:r>
      <w:r/>
    </w:p>
    <w:p>
      <w:pPr>
        <w:pBdr/>
        <w:spacing/>
        <w:ind/>
        <w:rPr/>
      </w:pPr>
      <w:r>
        <w:rPr>
          <w:b w:val="0"/>
          <w:i w:val="0"/>
          <w:sz w:val="20"/>
        </w:rPr>
        <w:t xml:space="preserve">Las limitaciones principales son: (1) QsimovGradient no converge bien en ImageNet-100 con la configuración probada (LR=1×10⁻⁵, 10 epochs); (2) en CIFAR-10, con solo 33 paths disponibles, linear_accum a</w:t>
      </w:r>
      <w:r>
        <w:rPr>
          <w:b w:val="0"/>
          <w:i w:val="0"/>
          <w:sz w:val="20"/>
        </w:rPr>
        <w:t xml:space="preserve">prende apenas el 10.12 % de las clases nuevas, lo que revela que la capacidad del sistema depende críticamente del número de paths del PathSelector; (3) la elección de initial_layer está restringida por la arquitectura: solo capas Dense o Conv son válidas.</w:t>
      </w:r>
      <w:r/>
    </w:p>
    <w:sectPr>
      <w:footnotePr/>
      <w:endnotePr/>
      <w:type w:val="nextPage"/>
      <w:pgSz w:h="15840" w:orient="portrait" w:w="12240"/>
      <w:pgMar w:top="1417" w:right="1587" w:bottom="1417" w:left="158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2026-06-15T10:47:58Z</dcterms:modified>
  <cp:category/>
</cp:coreProperties>
</file>