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B579A"/>
          <w:sz w:val="48"/>
          <w:szCs w:val="48"/>
        </w:rPr>
        <w:t xml:space="preserve">Proposition LinCloud Souverain</w:t>
      </w:r>
    </w:p>
    <w:p>
      <w:pPr>
        <w:spacing w:after="100"/>
        <w:jc w:val="center"/>
      </w:pPr>
      <w:r>
        <w:rPr>
          <w:sz w:val="28"/>
          <w:szCs w:val="28"/>
        </w:rPr>
        <w:t xml:space="preserve">+++INS metadata.client+++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+++INS metadata.date+++</w:t>
      </w:r>
    </w:p>
    <w:p>
      <w:pPr>
        <w:pStyle w:val="Heading1"/>
      </w:pPr>
      <w:r>
        <w:rPr>
          <w:b/>
          <w:bCs/>
          <w:color w:val="2B579A"/>
        </w:rPr>
        <w:t xml:space="preserve">Contexte</w:t>
      </w:r>
    </w:p>
    <w:p>
      <w:pPr>
        <w:spacing w:after="300"/>
      </w:pPr>
      <w:r>
        <w:rPr>
          <w:sz w:val="22"/>
          <w:szCs w:val="22"/>
        </w:rPr>
        <w:t xml:space="preserve">+++INS fragments.introduction.body+++</w:t>
      </w:r>
    </w:p>
    <w:p>
      <w:pPr>
        <w:pStyle w:val="Heading1"/>
        <w:spacing w:before="300"/>
      </w:pPr>
      <w:r>
        <w:rPr>
          <w:b/>
          <w:bCs/>
          <w:color w:val="2B579A"/>
        </w:rPr>
        <w:t xml:space="preserve">Notre solution</w:t>
      </w:r>
    </w:p>
    <w:p>
      <w:r>
        <w:rPr>
          <w:color w:val="FFFFFF"/>
          <w:sz w:val="2"/>
          <w:szCs w:val="2"/>
        </w:rPr>
        <w:t xml:space="preserve">+++FOR arg IN fragments.arguments+++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+++INS $arg.title+++</w:t>
      </w:r>
    </w:p>
    <w:p>
      <w:pPr>
        <w:spacing w:after="200"/>
      </w:pPr>
      <w:r>
        <w:rPr>
          <w:sz w:val="22"/>
          <w:szCs w:val="22"/>
        </w:rPr>
        <w:t xml:space="preserve">+++INS $arg.body+++</w:t>
      </w:r>
    </w:p>
    <w:p>
      <w:r>
        <w:rPr>
          <w:color w:val="FFFFFF"/>
          <w:sz w:val="2"/>
          <w:szCs w:val="2"/>
        </w:rPr>
        <w:t xml:space="preserve">+++END-FOR arg+++</w:t>
      </w:r>
    </w:p>
    <w:p>
      <w:pPr>
        <w:pStyle w:val="Heading1"/>
        <w:spacing w:after="200" w:before="400"/>
      </w:pPr>
      <w:r>
        <w:rPr>
          <w:b/>
          <w:bCs/>
          <w:color w:val="2B579A"/>
        </w:rPr>
        <w:t xml:space="preserve">Tarification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P.U. 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 vCPU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0,025 €/h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2,50 €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Stockage objet 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5 000 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0,008 €/Go/mois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40,00 €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Stockage bloc SSD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2 000 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0,12 €/Go/mois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240,00 €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Transfert réseau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10 000 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0,05 €/Go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500,00 €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Premium 24/7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850 €/mois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10 200,00 €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8E8" w:val="solid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Total 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8E8" w:val="solid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10 982,50 €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TVA (20%)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2 196,50 €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TTC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13 179,00 €</w:t>
            </w:r>
          </w:p>
        </w:tc>
      </w:tr>
    </w:tbl>
    <w:p>
      <w:pPr>
        <w:spacing w:after="300"/>
      </w:pPr>
    </w:p>
    <w:p>
      <w:pPr>
        <w:pStyle w:val="Heading1"/>
        <w:spacing w:before="300"/>
      </w:pPr>
      <w:r>
        <w:rPr>
          <w:b/>
          <w:bCs/>
          <w:color w:val="2B579A"/>
        </w:rPr>
        <w:t xml:space="preserve">Références</w:t>
      </w:r>
    </w:p>
    <w:p>
      <w:pPr>
        <w:spacing w:after="300"/>
      </w:pPr>
      <w:r>
        <w:rPr>
          <w:sz w:val="22"/>
          <w:szCs w:val="22"/>
        </w:rPr>
        <w:t xml:space="preserve">+++INS fragments.references.body+++</w:t>
      </w:r>
    </w:p>
    <w:p>
      <w:pPr>
        <w:pStyle w:val="Heading1"/>
        <w:spacing w:before="300"/>
      </w:pPr>
      <w:r>
        <w:rPr>
          <w:b/>
          <w:bCs/>
          <w:color w:val="2B579A"/>
        </w:rPr>
        <w:t xml:space="preserve">Conclusion</w:t>
      </w:r>
    </w:p>
    <w:p>
      <w:r>
        <w:rPr>
          <w:sz w:val="22"/>
          <w:szCs w:val="22"/>
        </w:rPr>
        <w:t xml:space="preserve">+++INS fragments.conclusion.body+++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2026-03-16T15:41:25.970Z</dcterms:created>
  <dcterms:modified xsi:type="dcterms:W3CDTF">2026-03-16T15:41:25.971Z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