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100"/>
        <w:jc w:val="center"/>
      </w:pPr>
      <w:r>
        <w:rPr>
          <w:b/>
          <w:bCs/>
          <w:color w:val="2B579A"/>
          <w:sz w:val="56"/>
          <w:szCs w:val="56"/>
        </w:rPr>
        <w:t xml:space="preserve">PROPOSITION</w:t>
      </w:r>
    </w:p>
    <w:p>
      <w:pPr>
        <w:spacing w:after="400"/>
        <w:jc w:val="center"/>
      </w:pPr>
      <w:r>
        <w:rPr>
          <w:b/>
          <w:bCs/>
          <w:color w:val="2B579A"/>
          <w:sz w:val="44"/>
          <w:szCs w:val="44"/>
        </w:rPr>
        <w:t xml:space="preserve">LinCloud Souverain</w:t>
      </w:r>
    </w:p>
    <w:p>
      <w:pPr>
        <w:spacing w:after="200"/>
        <w:jc w:val="center"/>
      </w:pPr>
      <w:r>
        <w:rPr>
          <w:sz w:val="28"/>
          <w:szCs w:val="28"/>
        </w:rPr>
        <w:t xml:space="preserve">+++INS metadata.client+++</w:t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+++INS metadata.date+++</w:t>
      </w:r>
    </w:p>
    <w:p>
      <w:pPr>
        <w:spacing w:after="2000"/>
        <w:jc w:val="center"/>
      </w:pPr>
      <w:r>
        <w:rPr>
          <w:b/>
          <w:bCs/>
          <w:color w:val="666666"/>
          <w:sz w:val="22"/>
          <w:szCs w:val="22"/>
        </w:rPr>
        <w:t xml:space="preserve">LINAGORA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2B579A"/>
        </w:rPr>
        <w:t xml:space="preserve">1. Contexte</w:t>
      </w:r>
    </w:p>
    <w:p>
      <w:pPr>
        <w:spacing w:after="400"/>
      </w:pPr>
      <w:r>
        <w:rPr>
          <w:sz w:val="22"/>
          <w:szCs w:val="22"/>
        </w:rPr>
        <w:t xml:space="preserve">+++INS fragments.introduction.body+++</w:t>
      </w:r>
    </w:p>
    <w:p>
      <w:pPr>
        <w:pStyle w:val="Heading1"/>
        <w:spacing w:after="200" w:before="400"/>
      </w:pPr>
      <w:r>
        <w:rPr>
          <w:b/>
          <w:bCs/>
          <w:color w:val="2B579A"/>
        </w:rPr>
        <w:t xml:space="preserve">2. Notre solution</w:t>
      </w:r>
    </w:p>
    <w:p>
      <w:r>
        <w:rPr>
          <w:color w:val="FFFFFF"/>
          <w:sz w:val="2"/>
          <w:szCs w:val="2"/>
        </w:rPr>
        <w:t xml:space="preserve">+++FOR arg IN fragments.arguments+++</w:t>
      </w:r>
    </w:p>
    <w:p>
      <w:pPr>
        <w:pStyle w:val="Heading2"/>
      </w:pPr>
      <w:r>
        <w:rPr>
          <w:b/>
          <w:bCs/>
          <w:color w:val="2B579A"/>
          <w:sz w:val="22"/>
          <w:szCs w:val="22"/>
        </w:rPr>
        <w:t xml:space="preserve">+++INS $arg.title+++</w:t>
      </w:r>
    </w:p>
    <w:p>
      <w:pPr>
        <w:spacing w:after="300"/>
      </w:pPr>
      <w:r>
        <w:rPr>
          <w:sz w:val="22"/>
          <w:szCs w:val="22"/>
        </w:rPr>
        <w:t xml:space="preserve">+++INS $arg.body+++</w:t>
      </w:r>
    </w:p>
    <w:p>
      <w:r>
        <w:rPr>
          <w:color w:val="FFFFFF"/>
          <w:sz w:val="2"/>
          <w:szCs w:val="2"/>
        </w:rPr>
        <w:t xml:space="preserve">+++END-FOR arg+++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2B579A"/>
        </w:rPr>
        <w:t xml:space="preserve">3. Tarification</w:t>
      </w:r>
    </w:p>
    <w:p>
      <w:pPr>
        <w:spacing w:after="200"/>
      </w:pPr>
      <w:r>
        <w:rPr>
          <w:sz w:val="22"/>
          <w:szCs w:val="22"/>
        </w:rPr>
        <w:t xml:space="preserve">Modèle pay-as-you-go avec engagement annuel.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2B579A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2B579A" w:val="solid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Prix unitaire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Compute (vCPU)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0,025 €/heure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Stockage objet S3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0,008 €/Go/mois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Stockage bloc SSD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0,12 €/Go/mois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Transfert réseau sortant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0,05 €/Go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Support Premium 24/7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850 €/mois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0" w:val="solid"/>
          </w:tcPr>
          <w:p>
            <w:r>
              <w:rPr>
                <w:b/>
                <w:bCs/>
                <w:sz w:val="20"/>
                <w:szCs w:val="20"/>
              </w:rPr>
              <w:t xml:space="preserve">Remise volume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Dès 10 000 €/mois de consommation</w:t>
            </w:r>
          </w:p>
        </w:tc>
      </w:tr>
    </w:tbl>
    <w:p>
      <w:pPr>
        <w:spacing w:after="300"/>
      </w:pP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2B579A"/>
        </w:rPr>
        <w:t xml:space="preserve">4. Références</w:t>
      </w:r>
    </w:p>
    <w:p>
      <w:pPr>
        <w:spacing w:after="400"/>
      </w:pPr>
      <w:r>
        <w:rPr>
          <w:sz w:val="22"/>
          <w:szCs w:val="22"/>
        </w:rPr>
        <w:t xml:space="preserve">+++INS fragments.references.body+++</w:t>
      </w:r>
    </w:p>
    <w:p>
      <w:pPr>
        <w:pStyle w:val="Heading1"/>
        <w:spacing w:after="200" w:before="400"/>
      </w:pPr>
      <w:r>
        <w:rPr>
          <w:b/>
          <w:bCs/>
          <w:color w:val="2B579A"/>
        </w:rPr>
        <w:t xml:space="preserve">5. Conclusion</w:t>
      </w:r>
    </w:p>
    <w:p>
      <w:pPr>
        <w:spacing w:after="400"/>
      </w:pPr>
      <w:r>
        <w:rPr>
          <w:sz w:val="22"/>
          <w:szCs w:val="22"/>
        </w:rPr>
        <w:t xml:space="preserve">+++INS fragments.conclusion.body+++</w:t>
      </w:r>
    </w:p>
    <w:p>
      <w:pPr>
        <w:spacing w:before="8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LINAGORA — LinCloud Souverain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2026-03-16T15:34:30.452Z</dcterms:created>
  <dcterms:modified xsi:type="dcterms:W3CDTF">2026-03-16T15:34:30.454Z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