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sz w:val="28"/>
        </w:rPr>
        <w:t>Appendix: Technical Reference</w:t>
      </w:r>
    </w:p>
    <w:p>
      <w:r>
        <w:rPr>
          <w:rFonts w:ascii="Times New Roman" w:hAnsi="Times New Roman"/>
        </w:rPr>
        <w:t>This appendix provides formal definitions of all statistical measures, financial formulas, and evaluation metrics referenced in the thesis. It also includes supplementary tables that clarify methodological details not fully expanded in the main text.</w:t>
      </w:r>
    </w:p>
    <w:p>
      <w:pPr>
        <w:pStyle w:val="Heading2"/>
      </w:pPr>
      <w:r>
        <w:rPr>
          <w:rFonts w:ascii="Times New Roman" w:hAnsi="Times New Roman"/>
        </w:rPr>
        <w:t>A. Statistical Measures Used in Exploratory Data Analysis</w:t>
      </w:r>
    </w:p>
    <w:p>
      <w:r>
        <w:rPr>
          <w:rFonts w:ascii="Times New Roman" w:hAnsi="Times New Roman"/>
          <w:b/>
          <w:sz w:val="24"/>
        </w:rPr>
        <w:t>Pearson Correlation Coefficient (r)</w:t>
      </w:r>
    </w:p>
    <w:p>
      <w:pPr>
        <w:jc w:val="center"/>
      </w:pPr>
      <w:r>
        <w:rPr>
          <w:rFonts w:ascii="Cambria Math" w:hAnsi="Cambria Math"/>
          <w:i/>
          <w:sz w:val="24"/>
        </w:rPr>
        <w:t>r = Σ[(xᵢ - x̄)(yᵢ - ȳ)] / √[Σ(xᵢ - x̄)² · Σ(yᵢ - ȳ)²]</w:t>
      </w:r>
    </w:p>
    <w:p>
      <w:r>
        <w:rPr>
          <w:rFonts w:ascii="Times New Roman" w:hAnsi="Times New Roman"/>
          <w:sz w:val="22"/>
        </w:rPr>
        <w:t>Measures the strength and direction of the linear relationship between two continuous variables. Ranges from -1 (perfect negative) to +1 (perfect positive). A value of 0 indicates no linear relationship. Only captures linear associations; non-linear patterns (e.g., diminishing returns of extra bedrooms) are not detected.</w:t>
      </w:r>
    </w:p>
    <w:p>
      <w:r>
        <w:rPr>
          <w:rFonts w:ascii="Times New Roman" w:hAnsi="Times New Roman"/>
          <w:b/>
          <w:sz w:val="22"/>
        </w:rPr>
        <w:t xml:space="preserve">Used in thesis: </w:t>
      </w:r>
      <w:r>
        <w:rPr>
          <w:rFonts w:ascii="Times New Roman" w:hAnsi="Times New Roman"/>
          <w:sz w:val="22"/>
        </w:rPr>
        <w:t>Table 4 — correlations of numeric features (size, bedrooms, bathrooms, floor) with price per sqm.</w:t>
      </w:r>
    </w:p>
    <w:p/>
    <w:p>
      <w:r>
        <w:rPr>
          <w:rFonts w:ascii="Times New Roman" w:hAnsi="Times New Roman"/>
          <w:b/>
          <w:sz w:val="24"/>
        </w:rPr>
        <w:t>Eta-squared (η²)</w:t>
      </w:r>
    </w:p>
    <w:p>
      <w:pPr>
        <w:jc w:val="center"/>
      </w:pPr>
      <w:r>
        <w:rPr>
          <w:rFonts w:ascii="Cambria Math" w:hAnsi="Cambria Math"/>
          <w:i/>
          <w:sz w:val="24"/>
        </w:rPr>
        <w:t>η² = SS_between / SS_total</w:t>
      </w:r>
    </w:p>
    <w:p>
      <w:pPr>
        <w:jc w:val="center"/>
      </w:pPr>
      <w:r>
        <w:rPr>
          <w:rFonts w:ascii="Cambria Math" w:hAnsi="Cambria Math"/>
          <w:i/>
          <w:sz w:val="24"/>
        </w:rPr>
        <w:t>SS_between = Σ nⱼ(ȳⱼ - ȳ)²    SS_total = Σ(yᵢ - ȳ)²</w:t>
      </w:r>
    </w:p>
    <w:p>
      <w:r>
        <w:rPr>
          <w:rFonts w:ascii="Times New Roman" w:hAnsi="Times New Roman"/>
          <w:sz w:val="22"/>
        </w:rPr>
        <w:t>Measures the proportion of total variance in a continuous variable (price per sqm) explained by group membership in a categorical variable (e.g., district). An η² of 0.52 means that knowing the district alone explains 52% of the price variance. Unlike r, it does not assume linearity. However, it does not control for confounders: the η² for amenities (elevator, terrace) is inflated by correlation with district, as discussed in the EDA chapter.</w:t>
      </w:r>
    </w:p>
    <w:p>
      <w:r>
        <w:rPr>
          <w:rFonts w:ascii="Times New Roman" w:hAnsi="Times New Roman"/>
          <w:b/>
          <w:sz w:val="22"/>
        </w:rPr>
        <w:t xml:space="preserve">Used in thesis: </w:t>
      </w:r>
      <w:r>
        <w:rPr>
          <w:rFonts w:ascii="Times New Roman" w:hAnsi="Times New Roman"/>
          <w:sz w:val="22"/>
        </w:rPr>
        <w:t>Table 4 — correlations of categorical features (district η²=0.52, zone η²=0.49, condition η²=0.006) with price per sqm.</w:t>
      </w:r>
    </w:p>
    <w:p/>
    <w:p>
      <w:r>
        <w:rPr>
          <w:rFonts w:ascii="Times New Roman" w:hAnsi="Times New Roman"/>
          <w:b/>
          <w:sz w:val="24"/>
        </w:rPr>
        <w:t>Skewness</w:t>
      </w:r>
    </w:p>
    <w:p>
      <w:pPr>
        <w:jc w:val="center"/>
      </w:pPr>
      <w:r>
        <w:rPr>
          <w:rFonts w:ascii="Cambria Math" w:hAnsi="Cambria Math"/>
          <w:i/>
          <w:sz w:val="24"/>
        </w:rPr>
        <w:t>Skewness = [n / ((n-1)(n-2))] · Σ[(xᵢ - x̄) / s]³</w:t>
      </w:r>
    </w:p>
    <w:p>
      <w:r>
        <w:rPr>
          <w:rFonts w:ascii="Times New Roman" w:hAnsi="Times New Roman"/>
          <w:sz w:val="22"/>
        </w:rPr>
        <w:t>Measures the asymmetry of a distribution. Positive skewness (right tail) indicates concentration of values below the mean with extreme high outliers. The price distribution has skewness = 4.59, motivating the log transformation of the target variable.</w:t>
      </w:r>
    </w:p>
    <w:p>
      <w:r>
        <w:rPr>
          <w:rFonts w:ascii="Times New Roman" w:hAnsi="Times New Roman"/>
          <w:b/>
          <w:sz w:val="22"/>
        </w:rPr>
        <w:t xml:space="preserve">Used in thesis: </w:t>
      </w:r>
      <w:r>
        <w:rPr>
          <w:rFonts w:ascii="Times New Roman" w:hAnsi="Times New Roman"/>
          <w:sz w:val="22"/>
        </w:rPr>
        <w:t>Figure 5 — price distribution before and after log transformation.</w:t>
      </w:r>
    </w:p>
    <w:p/>
    <w:p>
      <w:r>
        <w:rPr>
          <w:rFonts w:ascii="Times New Roman" w:hAnsi="Times New Roman"/>
          <w:b/>
          <w:sz w:val="24"/>
        </w:rPr>
        <w:t>Log Transformation</w:t>
      </w:r>
    </w:p>
    <w:p>
      <w:pPr>
        <w:jc w:val="center"/>
      </w:pPr>
      <w:r>
        <w:rPr>
          <w:rFonts w:ascii="Cambria Math" w:hAnsi="Cambria Math"/>
          <w:i/>
          <w:sz w:val="24"/>
        </w:rPr>
        <w:t>y_transformed = log(1 + price)</w:t>
      </w:r>
    </w:p>
    <w:p>
      <w:pPr>
        <w:jc w:val="center"/>
      </w:pPr>
      <w:r>
        <w:rPr>
          <w:rFonts w:ascii="Cambria Math" w:hAnsi="Cambria Math"/>
          <w:i/>
          <w:sz w:val="24"/>
        </w:rPr>
        <w:t>price_predicted = exp(ŷ) - 1    [inverse: expm1]</w:t>
      </w:r>
    </w:p>
    <w:p>
      <w:r>
        <w:rPr>
          <w:rFonts w:ascii="Times New Roman" w:hAnsi="Times New Roman"/>
          <w:sz w:val="22"/>
        </w:rPr>
        <w:t>Compresses right-skewed distributions. log1p (log of 1 + x) is used instead of log(x) to handle zero values safely. The inverse expm1 (exp(x) - 1) is applied at inference time to convert predictions back to euro prices. This is a monotonic transformation: it preserves the ranking of predictions while improving training stability for tree-based models.</w:t>
      </w:r>
    </w:p>
    <w:p>
      <w:r>
        <w:rPr>
          <w:rFonts w:ascii="Times New Roman" w:hAnsi="Times New Roman"/>
          <w:b/>
          <w:sz w:val="22"/>
        </w:rPr>
        <w:t xml:space="preserve">Used in thesis: </w:t>
      </w:r>
      <w:r>
        <w:rPr>
          <w:rFonts w:ascii="Times New Roman" w:hAnsi="Times New Roman"/>
          <w:sz w:val="22"/>
        </w:rPr>
        <w:t>Preprocessing step in ML pipeline (train.py line 105). Applied to all 4 models.</w:t>
      </w:r>
    </w:p>
    <w:p/>
    <w:p>
      <w:pPr>
        <w:pStyle w:val="Heading2"/>
      </w:pPr>
      <w:r>
        <w:rPr>
          <w:rFonts w:ascii="Times New Roman" w:hAnsi="Times New Roman"/>
        </w:rPr>
        <w:t>B. Machine Learning Evaluation Metrics</w:t>
      </w:r>
    </w:p>
    <w:p>
      <w:r>
        <w:rPr>
          <w:rFonts w:ascii="Times New Roman" w:hAnsi="Times New Roman"/>
          <w:b/>
          <w:sz w:val="24"/>
        </w:rPr>
        <w:t>Coefficient of Determination (R²)</w:t>
      </w:r>
    </w:p>
    <w:p>
      <w:pPr>
        <w:jc w:val="center"/>
      </w:pPr>
      <w:r>
        <w:rPr>
          <w:rFonts w:ascii="Cambria Math" w:hAnsi="Cambria Math"/>
          <w:i/>
          <w:sz w:val="24"/>
        </w:rPr>
        <w:t>R² = 1 - SS_res / SS_tot</w:t>
      </w:r>
    </w:p>
    <w:p>
      <w:pPr>
        <w:jc w:val="center"/>
      </w:pPr>
      <w:r>
        <w:rPr>
          <w:rFonts w:ascii="Cambria Math" w:hAnsi="Cambria Math"/>
          <w:i/>
          <w:sz w:val="24"/>
        </w:rPr>
        <w:t>SS_res = Σ(yᵢ - ŷᵢ)²    SS_tot = Σ(yᵢ - ȳ)²</w:t>
      </w:r>
    </w:p>
    <w:p>
      <w:r>
        <w:rPr>
          <w:rFonts w:ascii="Times New Roman" w:hAnsi="Times New Roman"/>
          <w:sz w:val="22"/>
        </w:rPr>
        <w:t>Proportion of target variance explained by the model. R² = 1 means perfect predictions; R² = 0 means the model is no better than predicting the mean. Can be negative if the model is worse than the mean. Note: R² on training data is always higher than on test data. Cross-validated R² (CV R²) is the most reliable estimate of generalization, computed by averaging R² across 5 held-out folds.</w:t>
      </w:r>
    </w:p>
    <w:p>
      <w:r>
        <w:rPr>
          <w:rFonts w:ascii="Times New Roman" w:hAnsi="Times New Roman"/>
          <w:b/>
          <w:sz w:val="22"/>
        </w:rPr>
        <w:t xml:space="preserve">Used in thesis: </w:t>
      </w:r>
      <w:r>
        <w:rPr>
          <w:rFonts w:ascii="Times New Roman" w:hAnsi="Times New Roman"/>
          <w:sz w:val="22"/>
        </w:rPr>
        <w:t>Table 5 and Table 7. Production model: R²_test = 0.853, R²_CV = 0.883.</w:t>
      </w:r>
    </w:p>
    <w:p/>
    <w:p>
      <w:r>
        <w:rPr>
          <w:rFonts w:ascii="Times New Roman" w:hAnsi="Times New Roman"/>
          <w:b/>
          <w:sz w:val="24"/>
        </w:rPr>
        <w:t>Mean Absolute Error (MAE)</w:t>
      </w:r>
    </w:p>
    <w:p>
      <w:pPr>
        <w:jc w:val="center"/>
      </w:pPr>
      <w:r>
        <w:rPr>
          <w:rFonts w:ascii="Cambria Math" w:hAnsi="Cambria Math"/>
          <w:i/>
          <w:sz w:val="24"/>
        </w:rPr>
        <w:t>MAE = (1/n) · Σ|yᵢ - ŷᵢ|</w:t>
      </w:r>
    </w:p>
    <w:p>
      <w:r>
        <w:rPr>
          <w:rFonts w:ascii="Times New Roman" w:hAnsi="Times New Roman"/>
          <w:sz w:val="22"/>
        </w:rPr>
        <w:t>Average magnitude of prediction errors in the original units (euros). Unlike RMSE, MAE treats all errors equally regardless of magnitude. More interpretable: an MAE of €167,418 means the average prediction is off by that amount in either direction.</w:t>
      </w:r>
    </w:p>
    <w:p>
      <w:r>
        <w:rPr>
          <w:rFonts w:ascii="Times New Roman" w:hAnsi="Times New Roman"/>
          <w:b/>
          <w:sz w:val="22"/>
        </w:rPr>
        <w:t xml:space="preserve">Used in thesis: </w:t>
      </w:r>
      <w:r>
        <w:rPr>
          <w:rFonts w:ascii="Times New Roman" w:hAnsi="Times New Roman"/>
          <w:sz w:val="22"/>
        </w:rPr>
        <w:t>Table 5. Production model MAE = €167,418.</w:t>
      </w:r>
    </w:p>
    <w:p/>
    <w:p>
      <w:r>
        <w:rPr>
          <w:rFonts w:ascii="Times New Roman" w:hAnsi="Times New Roman"/>
          <w:b/>
          <w:sz w:val="24"/>
        </w:rPr>
        <w:t>Root Mean Squared Error (RMSE)</w:t>
      </w:r>
    </w:p>
    <w:p>
      <w:pPr>
        <w:jc w:val="center"/>
      </w:pPr>
      <w:r>
        <w:rPr>
          <w:rFonts w:ascii="Cambria Math" w:hAnsi="Cambria Math"/>
          <w:i/>
          <w:sz w:val="24"/>
        </w:rPr>
        <w:t>RMSE = √[(1/n) · Σ(yᵢ - ŷᵢ)²]</w:t>
      </w:r>
    </w:p>
    <w:p>
      <w:r>
        <w:rPr>
          <w:rFonts w:ascii="Times New Roman" w:hAnsi="Times New Roman"/>
          <w:sz w:val="22"/>
        </w:rPr>
        <w:t>Similar to MAE but penalizes large errors more heavily due to the squaring step. Always ≥ MAE. When RMSE is much larger than MAE, it indicates the model has some very large outlier errors. Reported in euros.</w:t>
      </w:r>
    </w:p>
    <w:p>
      <w:r>
        <w:rPr>
          <w:rFonts w:ascii="Times New Roman" w:hAnsi="Times New Roman"/>
          <w:b/>
          <w:sz w:val="22"/>
        </w:rPr>
        <w:t xml:space="preserve">Used in thesis: </w:t>
      </w:r>
      <w:r>
        <w:rPr>
          <w:rFonts w:ascii="Times New Roman" w:hAnsi="Times New Roman"/>
          <w:sz w:val="22"/>
        </w:rPr>
        <w:t>Table 5.</w:t>
      </w:r>
    </w:p>
    <w:p/>
    <w:p>
      <w:r>
        <w:rPr>
          <w:rFonts w:ascii="Times New Roman" w:hAnsi="Times New Roman"/>
          <w:b/>
          <w:sz w:val="24"/>
        </w:rPr>
        <w:t>Mean Absolute Percentage Error (MAPE)</w:t>
      </w:r>
    </w:p>
    <w:p>
      <w:pPr>
        <w:jc w:val="center"/>
      </w:pPr>
      <w:r>
        <w:rPr>
          <w:rFonts w:ascii="Cambria Math" w:hAnsi="Cambria Math"/>
          <w:i/>
          <w:sz w:val="24"/>
        </w:rPr>
        <w:t>MAPE = (100/n) · Σ|( yᵢ - ŷᵢ) / yᵢ|</w:t>
      </w:r>
    </w:p>
    <w:p>
      <w:r>
        <w:rPr>
          <w:rFonts w:ascii="Times New Roman" w:hAnsi="Times New Roman"/>
          <w:sz w:val="22"/>
        </w:rPr>
        <w:t>Normalizes error by the actual value, making it comparable across price ranges. A MAPE of 21.7% means the model's predictions are off by ~22% on average relative to the actual price. Limitation: MAPE is undefined when y = 0 and is biased toward under-predictions (predicting €80K for a €100K property gives 20% error, but predicting €120K gives only 17%).</w:t>
      </w:r>
    </w:p>
    <w:p>
      <w:r>
        <w:rPr>
          <w:rFonts w:ascii="Times New Roman" w:hAnsi="Times New Roman"/>
          <w:b/>
          <w:sz w:val="22"/>
        </w:rPr>
        <w:t xml:space="preserve">Used in thesis: </w:t>
      </w:r>
      <w:r>
        <w:rPr>
          <w:rFonts w:ascii="Times New Roman" w:hAnsi="Times New Roman"/>
          <w:sz w:val="22"/>
        </w:rPr>
        <w:t>Table 5. Production model MAPE = 21.7%.</w:t>
      </w:r>
    </w:p>
    <w:p/>
    <w:p>
      <w:r>
        <w:rPr>
          <w:rFonts w:ascii="Times New Roman" w:hAnsi="Times New Roman"/>
          <w:b/>
          <w:sz w:val="24"/>
        </w:rPr>
        <w:t>K-Fold Cross-Validation (K=5)</w:t>
      </w:r>
    </w:p>
    <w:p>
      <w:pPr>
        <w:jc w:val="center"/>
      </w:pPr>
      <w:r>
        <w:rPr>
          <w:rFonts w:ascii="Cambria Math" w:hAnsi="Cambria Math"/>
          <w:i/>
          <w:sz w:val="24"/>
        </w:rPr>
        <w:t>CV_R² = (1/K) · Σ R²_fold_k,   k = 1, ..., K</w:t>
      </w:r>
    </w:p>
    <w:p>
      <w:r>
        <w:rPr>
          <w:rFonts w:ascii="Times New Roman" w:hAnsi="Times New Roman"/>
          <w:sz w:val="22"/>
        </w:rPr>
        <w:t>The dataset is split into K=5 equal parts. The model trains on 4 parts and tests on the 5th, rotating 5 times. The final CV score is the average of all 5 test scores. This estimates how the model would perform on truly unseen data, averaging out the randomness of any single train/test split. The standard deviation (±0.019 for GB) indicates how stable the model is across different data subsets.</w:t>
      </w:r>
    </w:p>
    <w:p>
      <w:r>
        <w:rPr>
          <w:rFonts w:ascii="Times New Roman" w:hAnsi="Times New Roman"/>
          <w:b/>
          <w:sz w:val="22"/>
        </w:rPr>
        <w:t xml:space="preserve">Used in thesis: </w:t>
      </w:r>
      <w:r>
        <w:rPr>
          <w:rFonts w:ascii="Times New Roman" w:hAnsi="Times New Roman"/>
          <w:sz w:val="22"/>
        </w:rPr>
        <w:t>All model comparisons in Tables 5-7. Standard split: 85% train / 15% test with random_state=42.</w:t>
      </w:r>
    </w:p>
    <w:p/>
    <w:p>
      <w:pPr>
        <w:pStyle w:val="Heading2"/>
      </w:pPr>
      <w:r>
        <w:rPr>
          <w:rFonts w:ascii="Times New Roman" w:hAnsi="Times New Roman"/>
        </w:rPr>
        <w:t>C. Financial Model Formulas</w:t>
      </w:r>
    </w:p>
    <w:p>
      <w:r>
        <w:rPr>
          <w:rFonts w:ascii="Times New Roman" w:hAnsi="Times New Roman"/>
          <w:b/>
          <w:sz w:val="24"/>
        </w:rPr>
        <w:t>Internal Rate of Return (IRR)</w:t>
      </w:r>
    </w:p>
    <w:p>
      <w:pPr>
        <w:jc w:val="center"/>
      </w:pPr>
      <w:r>
        <w:rPr>
          <w:rFonts w:ascii="Cambria Math" w:hAnsi="Cambria Math"/>
          <w:i/>
          <w:sz w:val="24"/>
        </w:rPr>
        <w:t>Σ CFₜ / (1 + IRR)ᵗ = 0,   t = 0, 1, ..., T</w:t>
      </w:r>
    </w:p>
    <w:p>
      <w:pPr>
        <w:jc w:val="center"/>
      </w:pPr>
      <w:r>
        <w:rPr>
          <w:rFonts w:ascii="Cambria Math" w:hAnsi="Cambria Math"/>
          <w:i/>
          <w:sz w:val="24"/>
        </w:rPr>
        <w:t>IRR_annual = (1 + IRR_monthly)¹² - 1</w:t>
      </w:r>
    </w:p>
    <w:p>
      <w:r>
        <w:rPr>
          <w:rFonts w:ascii="Times New Roman" w:hAnsi="Times New Roman"/>
          <w:sz w:val="22"/>
        </w:rPr>
        <w:t>The discount rate that makes the net present value of all cash flows equal to zero. Computed numerically from the monthly cash flow array using numpy_financial.irr(). The monthly rate is annualized by compounding. A higher IRR means the investment generates returns faster. For fix-and-flip projects, IRR is particularly sensitive to project duration: the same profit in 6 months produces a much higher annualized IRR than the same profit in 18 months.</w:t>
      </w:r>
    </w:p>
    <w:p>
      <w:r>
        <w:rPr>
          <w:rFonts w:ascii="Times New Roman" w:hAnsi="Times New Roman"/>
          <w:b/>
          <w:sz w:val="22"/>
        </w:rPr>
        <w:t xml:space="preserve">Used in thesis: </w:t>
      </w:r>
      <w:r>
        <w:rPr>
          <w:rFonts w:ascii="Times New Roman" w:hAnsi="Times New Roman"/>
          <w:sz w:val="22"/>
        </w:rPr>
        <w:t>Financial analysis module. Computed from monthly equity cash flows.</w:t>
      </w:r>
    </w:p>
    <w:p/>
    <w:p>
      <w:r>
        <w:rPr>
          <w:rFonts w:ascii="Times New Roman" w:hAnsi="Times New Roman"/>
          <w:b/>
          <w:sz w:val="24"/>
        </w:rPr>
        <w:t>Multiple on Invested Capital (MOIC / Equity Multiple)</w:t>
      </w:r>
    </w:p>
    <w:p>
      <w:pPr>
        <w:jc w:val="center"/>
      </w:pPr>
      <w:r>
        <w:rPr>
          <w:rFonts w:ascii="Cambria Math" w:hAnsi="Cambria Math"/>
          <w:i/>
          <w:sz w:val="24"/>
        </w:rPr>
        <w:t>MOIC = Total Cash Returned / Total Equity Invested</w:t>
      </w:r>
    </w:p>
    <w:p>
      <w:r>
        <w:rPr>
          <w:rFonts w:ascii="Times New Roman" w:hAnsi="Times New Roman"/>
          <w:sz w:val="22"/>
        </w:rPr>
        <w:t>How many times the investor gets their money back. A MOIC of 1.5x means €1 invested returns €1.50. Unlike IRR, MOIC does not account for the time dimension. A 1.5x return in 6 months is very different from 1.5x in 5 years, but MOIC treats them identically. In the system, the denominator is peak equity deployed (maximum cumulative negative cash flow), not just the initial investment.</w:t>
      </w:r>
    </w:p>
    <w:p>
      <w:r>
        <w:rPr>
          <w:rFonts w:ascii="Times New Roman" w:hAnsi="Times New Roman"/>
          <w:b/>
          <w:sz w:val="22"/>
        </w:rPr>
        <w:t xml:space="preserve">Used in thesis: </w:t>
      </w:r>
      <w:r>
        <w:rPr>
          <w:rFonts w:ascii="Times New Roman" w:hAnsi="Times New Roman"/>
          <w:sz w:val="22"/>
        </w:rPr>
        <w:t>Financial analysis module.</w:t>
      </w:r>
    </w:p>
    <w:p/>
    <w:p>
      <w:r>
        <w:rPr>
          <w:rFonts w:ascii="Times New Roman" w:hAnsi="Times New Roman"/>
          <w:b/>
          <w:sz w:val="24"/>
        </w:rPr>
        <w:t>Return on Equity (ROE)</w:t>
      </w:r>
    </w:p>
    <w:p>
      <w:pPr>
        <w:jc w:val="center"/>
      </w:pPr>
      <w:r>
        <w:rPr>
          <w:rFonts w:ascii="Cambria Math" w:hAnsi="Cambria Math"/>
          <w:i/>
          <w:sz w:val="24"/>
        </w:rPr>
        <w:t>ROE = Net Profit / Maximum Equity Exposure</w:t>
      </w:r>
    </w:p>
    <w:p>
      <w:pPr>
        <w:jc w:val="center"/>
      </w:pPr>
      <w:r>
        <w:rPr>
          <w:rFonts w:ascii="Cambria Math" w:hAnsi="Cambria Math"/>
          <w:i/>
          <w:sz w:val="24"/>
        </w:rPr>
        <w:t>Maximum Equity Exposure = max(|cumulative negative cash flow|)</w:t>
      </w:r>
    </w:p>
    <w:p>
      <w:r>
        <w:rPr>
          <w:rFonts w:ascii="Times New Roman" w:hAnsi="Times New Roman"/>
          <w:sz w:val="22"/>
        </w:rPr>
        <w:t>Profit as a percentage of the most capital at risk at any point. Using maximum equity exposure rather than initial equity gives a more conservative (and honest) measure, because ongoing costs during renovation keep increasing the capital at risk beyond the initial purchase payment.</w:t>
      </w:r>
    </w:p>
    <w:p>
      <w:r>
        <w:rPr>
          <w:rFonts w:ascii="Times New Roman" w:hAnsi="Times New Roman"/>
          <w:b/>
          <w:sz w:val="22"/>
        </w:rPr>
        <w:t xml:space="preserve">Used in thesis: </w:t>
      </w:r>
      <w:r>
        <w:rPr>
          <w:rFonts w:ascii="Times New Roman" w:hAnsi="Times New Roman"/>
          <w:sz w:val="22"/>
        </w:rPr>
        <w:t>Financial analysis module.</w:t>
      </w:r>
    </w:p>
    <w:p/>
    <w:p>
      <w:r>
        <w:rPr>
          <w:rFonts w:ascii="Times New Roman" w:hAnsi="Times New Roman"/>
          <w:b/>
          <w:sz w:val="24"/>
        </w:rPr>
        <w:t>Gross Margin</w:t>
      </w:r>
    </w:p>
    <w:p>
      <w:pPr>
        <w:jc w:val="center"/>
      </w:pPr>
      <w:r>
        <w:rPr>
          <w:rFonts w:ascii="Cambria Math" w:hAnsi="Cambria Math"/>
          <w:i/>
          <w:sz w:val="24"/>
        </w:rPr>
        <w:t>Gross Margin = Net Profit / Total Development Cost</w:t>
      </w:r>
    </w:p>
    <w:p>
      <w:pPr>
        <w:jc w:val="center"/>
      </w:pPr>
      <w:r>
        <w:rPr>
          <w:rFonts w:ascii="Cambria Math" w:hAnsi="Cambria Math"/>
          <w:i/>
          <w:sz w:val="24"/>
        </w:rPr>
        <w:t>Total Development Cost = Purchase Price + Capex + Closing Costs + Operating Costs + Interest</w:t>
      </w:r>
    </w:p>
    <w:p>
      <w:r>
        <w:rPr>
          <w:rFonts w:ascii="Times New Roman" w:hAnsi="Times New Roman"/>
          <w:sz w:val="22"/>
        </w:rPr>
        <w:t>Profit relative to total project cost. Indicates the spread between what the project costs in total and what it sells for, net of all expenses.</w:t>
      </w:r>
    </w:p>
    <w:p>
      <w:r>
        <w:rPr>
          <w:rFonts w:ascii="Times New Roman" w:hAnsi="Times New Roman"/>
          <w:b/>
          <w:sz w:val="22"/>
        </w:rPr>
        <w:t xml:space="preserve">Used in thesis: </w:t>
      </w:r>
      <w:r>
        <w:rPr>
          <w:rFonts w:ascii="Times New Roman" w:hAnsi="Times New Roman"/>
          <w:sz w:val="22"/>
        </w:rPr>
        <w:t>Financial analysis module.</w:t>
      </w:r>
    </w:p>
    <w:p/>
    <w:p>
      <w:r>
        <w:rPr>
          <w:rFonts w:ascii="Times New Roman" w:hAnsi="Times New Roman"/>
          <w:b/>
          <w:sz w:val="24"/>
        </w:rPr>
        <w:t>Monthly Interest (Interest-Only Debt)</w:t>
      </w:r>
    </w:p>
    <w:p>
      <w:pPr>
        <w:jc w:val="center"/>
      </w:pPr>
      <w:r>
        <w:rPr>
          <w:rFonts w:ascii="Cambria Math" w:hAnsi="Cambria Math"/>
          <w:i/>
          <w:sz w:val="24"/>
        </w:rPr>
        <w:t>Monthly Interest = Outstanding Principal × (Annual Rate / 12)</w:t>
      </w:r>
    </w:p>
    <w:p>
      <w:r>
        <w:rPr>
          <w:rFonts w:ascii="Times New Roman" w:hAnsi="Times New Roman"/>
          <w:sz w:val="22"/>
        </w:rPr>
        <w:t>The system supports two separate debt instruments: an acquisition mortgage (principal = purchase price × LTV) and capex debt (fixed amount). Both are interest-only during the hold period, with principal repaid at exit. This structure reflects real-world conditions where acquisition and renovation financing often come from different lenders.</w:t>
      </w:r>
    </w:p>
    <w:p>
      <w:r>
        <w:rPr>
          <w:rFonts w:ascii="Times New Roman" w:hAnsi="Times New Roman"/>
          <w:b/>
          <w:sz w:val="22"/>
        </w:rPr>
        <w:t xml:space="preserve">Used in thesis: </w:t>
      </w:r>
      <w:r>
        <w:rPr>
          <w:rFonts w:ascii="Times New Roman" w:hAnsi="Times New Roman"/>
          <w:sz w:val="22"/>
        </w:rPr>
        <w:t>Financial analysis module. Default: all financing inputs = 0 (unleveraged).</w:t>
      </w:r>
    </w:p>
    <w:p/>
    <w:p>
      <w:pPr>
        <w:pStyle w:val="Heading2"/>
      </w:pPr>
      <w:r>
        <w:rPr>
          <w:rFonts w:ascii="Times New Roman" w:hAnsi="Times New Roman"/>
        </w:rPr>
        <w:t>D. Feature Engineering Reference</w:t>
      </w:r>
    </w:p>
    <w:p>
      <w:r>
        <w:rPr>
          <w:rFonts w:ascii="Times New Roman" w:hAnsi="Times New Roman"/>
        </w:rPr>
        <w:t>Table A1. Complete feature specification for the ML model.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Feature</w:t>
            </w:r>
          </w:p>
        </w:tc>
        <w:tc>
          <w:tcPr>
            <w:tcW w:type="dxa" w:w="1728"/>
          </w:tcPr>
          <w:p>
            <w:r>
              <w:rPr>
                <w:rFonts w:ascii="Times New Roman" w:hAnsi="Times New Roman"/>
                <w:b/>
                <w:sz w:val="20"/>
              </w:rPr>
              <w:t>Type</w:t>
            </w:r>
          </w:p>
        </w:tc>
        <w:tc>
          <w:tcPr>
            <w:tcW w:type="dxa" w:w="1728"/>
          </w:tcPr>
          <w:p>
            <w:r>
              <w:rPr>
                <w:rFonts w:ascii="Times New Roman" w:hAnsi="Times New Roman"/>
                <w:b/>
                <w:sz w:val="20"/>
              </w:rPr>
              <w:t>Source Field</w:t>
            </w:r>
          </w:p>
        </w:tc>
        <w:tc>
          <w:tcPr>
            <w:tcW w:type="dxa" w:w="1728"/>
          </w:tcPr>
          <w:p>
            <w:r>
              <w:rPr>
                <w:rFonts w:ascii="Times New Roman" w:hAnsi="Times New Roman"/>
                <w:b/>
                <w:sz w:val="20"/>
              </w:rPr>
              <w:t>Encoding</w:t>
            </w:r>
          </w:p>
        </w:tc>
        <w:tc>
          <w:tcPr>
            <w:tcW w:type="dxa" w:w="1728"/>
          </w:tcPr>
          <w:p>
            <w:r>
              <w:rPr>
                <w:rFonts w:ascii="Times New Roman" w:hAnsi="Times New Roman"/>
                <w:b/>
                <w:sz w:val="20"/>
              </w:rPr>
              <w:t>Missing Value Handling</w:t>
            </w:r>
          </w:p>
        </w:tc>
      </w:tr>
      <w:tr>
        <w:tc>
          <w:tcPr>
            <w:tcW w:type="dxa" w:w="1728"/>
          </w:tcPr>
          <w:p>
            <w:r>
              <w:rPr>
                <w:rFonts w:ascii="Times New Roman" w:hAnsi="Times New Roman"/>
                <w:sz w:val="18"/>
              </w:rPr>
              <w:t>Size (sqm)</w:t>
            </w:r>
          </w:p>
        </w:tc>
        <w:tc>
          <w:tcPr>
            <w:tcW w:type="dxa" w:w="1728"/>
          </w:tcPr>
          <w:p>
            <w:r>
              <w:rPr>
                <w:rFonts w:ascii="Times New Roman" w:hAnsi="Times New Roman"/>
                <w:sz w:val="18"/>
              </w:rPr>
              <w:t>Numeric</w:t>
            </w:r>
          </w:p>
        </w:tc>
        <w:tc>
          <w:tcPr>
            <w:tcW w:type="dxa" w:w="1728"/>
          </w:tcPr>
          <w:p>
            <w:r>
              <w:rPr>
                <w:rFonts w:ascii="Times New Roman" w:hAnsi="Times New Roman"/>
                <w:sz w:val="18"/>
              </w:rPr>
              <w:t>size_sqm</w:t>
            </w:r>
          </w:p>
        </w:tc>
        <w:tc>
          <w:tcPr>
            <w:tcW w:type="dxa" w:w="1728"/>
          </w:tcPr>
          <w:p>
            <w:r>
              <w:rPr>
                <w:rFonts w:ascii="Times New Roman" w:hAnsi="Times New Roman"/>
                <w:sz w:val="18"/>
              </w:rPr>
              <w:t>Raw value</w:t>
            </w:r>
          </w:p>
        </w:tc>
        <w:tc>
          <w:tcPr>
            <w:tcW w:type="dxa" w:w="1728"/>
          </w:tcPr>
          <w:p>
            <w:r>
              <w:rPr>
                <w:rFonts w:ascii="Times New Roman" w:hAnsi="Times New Roman"/>
                <w:sz w:val="18"/>
              </w:rPr>
              <w:t>Default 0 (required field, always present)</w:t>
            </w:r>
          </w:p>
        </w:tc>
      </w:tr>
      <w:tr>
        <w:tc>
          <w:tcPr>
            <w:tcW w:type="dxa" w:w="1728"/>
          </w:tcPr>
          <w:p>
            <w:r>
              <w:rPr>
                <w:rFonts w:ascii="Times New Roman" w:hAnsi="Times New Roman"/>
                <w:sz w:val="18"/>
              </w:rPr>
              <w:t>Bedrooms</w:t>
            </w:r>
          </w:p>
        </w:tc>
        <w:tc>
          <w:tcPr>
            <w:tcW w:type="dxa" w:w="1728"/>
          </w:tcPr>
          <w:p>
            <w:r>
              <w:rPr>
                <w:rFonts w:ascii="Times New Roman" w:hAnsi="Times New Roman"/>
                <w:sz w:val="18"/>
              </w:rPr>
              <w:t>Numeric</w:t>
            </w:r>
          </w:p>
        </w:tc>
        <w:tc>
          <w:tcPr>
            <w:tcW w:type="dxa" w:w="1728"/>
          </w:tcPr>
          <w:p>
            <w:r>
              <w:rPr>
                <w:rFonts w:ascii="Times New Roman" w:hAnsi="Times New Roman"/>
                <w:sz w:val="18"/>
              </w:rPr>
              <w:t>bedrooms</w:t>
            </w:r>
          </w:p>
        </w:tc>
        <w:tc>
          <w:tcPr>
            <w:tcW w:type="dxa" w:w="1728"/>
          </w:tcPr>
          <w:p>
            <w:r>
              <w:rPr>
                <w:rFonts w:ascii="Times New Roman" w:hAnsi="Times New Roman"/>
                <w:sz w:val="18"/>
              </w:rPr>
              <w:t>Raw value</w:t>
            </w:r>
          </w:p>
        </w:tc>
        <w:tc>
          <w:tcPr>
            <w:tcW w:type="dxa" w:w="1728"/>
          </w:tcPr>
          <w:p>
            <w:r>
              <w:rPr>
                <w:rFonts w:ascii="Times New Roman" w:hAnsi="Times New Roman"/>
                <w:sz w:val="18"/>
              </w:rPr>
              <w:t>Default 0</w:t>
            </w:r>
          </w:p>
        </w:tc>
      </w:tr>
      <w:tr>
        <w:tc>
          <w:tcPr>
            <w:tcW w:type="dxa" w:w="1728"/>
          </w:tcPr>
          <w:p>
            <w:r>
              <w:rPr>
                <w:rFonts w:ascii="Times New Roman" w:hAnsi="Times New Roman"/>
                <w:sz w:val="18"/>
              </w:rPr>
              <w:t>Bathrooms</w:t>
            </w:r>
          </w:p>
        </w:tc>
        <w:tc>
          <w:tcPr>
            <w:tcW w:type="dxa" w:w="1728"/>
          </w:tcPr>
          <w:p>
            <w:r>
              <w:rPr>
                <w:rFonts w:ascii="Times New Roman" w:hAnsi="Times New Roman"/>
                <w:sz w:val="18"/>
              </w:rPr>
              <w:t>Numeric</w:t>
            </w:r>
          </w:p>
        </w:tc>
        <w:tc>
          <w:tcPr>
            <w:tcW w:type="dxa" w:w="1728"/>
          </w:tcPr>
          <w:p>
            <w:r>
              <w:rPr>
                <w:rFonts w:ascii="Times New Roman" w:hAnsi="Times New Roman"/>
                <w:sz w:val="18"/>
              </w:rPr>
              <w:t>bathrooms</w:t>
            </w:r>
          </w:p>
        </w:tc>
        <w:tc>
          <w:tcPr>
            <w:tcW w:type="dxa" w:w="1728"/>
          </w:tcPr>
          <w:p>
            <w:r>
              <w:rPr>
                <w:rFonts w:ascii="Times New Roman" w:hAnsi="Times New Roman"/>
                <w:sz w:val="18"/>
              </w:rPr>
              <w:t>Raw value</w:t>
            </w:r>
          </w:p>
        </w:tc>
        <w:tc>
          <w:tcPr>
            <w:tcW w:type="dxa" w:w="1728"/>
          </w:tcPr>
          <w:p>
            <w:r>
              <w:rPr>
                <w:rFonts w:ascii="Times New Roman" w:hAnsi="Times New Roman"/>
                <w:sz w:val="18"/>
              </w:rPr>
              <w:t>Default 0</w:t>
            </w:r>
          </w:p>
        </w:tc>
      </w:tr>
      <w:tr>
        <w:tc>
          <w:tcPr>
            <w:tcW w:type="dxa" w:w="1728"/>
          </w:tcPr>
          <w:p>
            <w:r>
              <w:rPr>
                <w:rFonts w:ascii="Times New Roman" w:hAnsi="Times New Roman"/>
                <w:sz w:val="18"/>
              </w:rPr>
              <w:t>Floor</w:t>
            </w:r>
          </w:p>
        </w:tc>
        <w:tc>
          <w:tcPr>
            <w:tcW w:type="dxa" w:w="1728"/>
          </w:tcPr>
          <w:p>
            <w:r>
              <w:rPr>
                <w:rFonts w:ascii="Times New Roman" w:hAnsi="Times New Roman"/>
                <w:sz w:val="18"/>
              </w:rPr>
              <w:t>Numeric</w:t>
            </w:r>
          </w:p>
        </w:tc>
        <w:tc>
          <w:tcPr>
            <w:tcW w:type="dxa" w:w="1728"/>
          </w:tcPr>
          <w:p>
            <w:r>
              <w:rPr>
                <w:rFonts w:ascii="Times New Roman" w:hAnsi="Times New Roman"/>
                <w:sz w:val="18"/>
              </w:rPr>
              <w:t>floor</w:t>
            </w:r>
          </w:p>
        </w:tc>
        <w:tc>
          <w:tcPr>
            <w:tcW w:type="dxa" w:w="1728"/>
          </w:tcPr>
          <w:p>
            <w:r>
              <w:rPr>
                <w:rFonts w:ascii="Times New Roman" w:hAnsi="Times New Roman"/>
                <w:sz w:val="18"/>
              </w:rPr>
              <w:t>Raw value</w:t>
            </w:r>
          </w:p>
        </w:tc>
        <w:tc>
          <w:tcPr>
            <w:tcW w:type="dxa" w:w="1728"/>
          </w:tcPr>
          <w:p>
            <w:r>
              <w:rPr>
                <w:rFonts w:ascii="Times New Roman" w:hAnsi="Times New Roman"/>
                <w:sz w:val="18"/>
              </w:rPr>
              <w:t>Default 0</w:t>
            </w:r>
          </w:p>
        </w:tc>
      </w:tr>
      <w:tr>
        <w:tc>
          <w:tcPr>
            <w:tcW w:type="dxa" w:w="1728"/>
          </w:tcPr>
          <w:p>
            <w:r>
              <w:rPr>
                <w:rFonts w:ascii="Times New Roman" w:hAnsi="Times New Roman"/>
                <w:sz w:val="18"/>
              </w:rPr>
              <w:t>Storage room</w:t>
            </w:r>
          </w:p>
        </w:tc>
        <w:tc>
          <w:tcPr>
            <w:tcW w:type="dxa" w:w="1728"/>
          </w:tcPr>
          <w:p>
            <w:r>
              <w:rPr>
                <w:rFonts w:ascii="Times New Roman" w:hAnsi="Times New Roman"/>
                <w:sz w:val="18"/>
              </w:rPr>
              <w:t>Binary</w:t>
            </w:r>
          </w:p>
        </w:tc>
        <w:tc>
          <w:tcPr>
            <w:tcW w:type="dxa" w:w="1728"/>
          </w:tcPr>
          <w:p>
            <w:r>
              <w:rPr>
                <w:rFonts w:ascii="Times New Roman" w:hAnsi="Times New Roman"/>
                <w:sz w:val="18"/>
              </w:rPr>
              <w:t>storage_room</w:t>
            </w:r>
          </w:p>
        </w:tc>
        <w:tc>
          <w:tcPr>
            <w:tcW w:type="dxa" w:w="1728"/>
          </w:tcPr>
          <w:p>
            <w:r>
              <w:rPr>
                <w:rFonts w:ascii="Times New Roman" w:hAnsi="Times New Roman"/>
                <w:sz w:val="18"/>
              </w:rPr>
              <w:t>1 if True, else 0</w:t>
            </w:r>
          </w:p>
        </w:tc>
        <w:tc>
          <w:tcPr>
            <w:tcW w:type="dxa" w:w="1728"/>
          </w:tcPr>
          <w:p>
            <w:r>
              <w:rPr>
                <w:rFonts w:ascii="Times New Roman" w:hAnsi="Times New Roman"/>
                <w:sz w:val="18"/>
              </w:rPr>
              <w:t>Default 0 (absent)</w:t>
            </w:r>
          </w:p>
        </w:tc>
      </w:tr>
      <w:tr>
        <w:tc>
          <w:tcPr>
            <w:tcW w:type="dxa" w:w="1728"/>
          </w:tcPr>
          <w:p>
            <w:r>
              <w:rPr>
                <w:rFonts w:ascii="Times New Roman" w:hAnsi="Times New Roman"/>
                <w:sz w:val="18"/>
              </w:rPr>
              <w:t>Terrace</w:t>
            </w:r>
          </w:p>
        </w:tc>
        <w:tc>
          <w:tcPr>
            <w:tcW w:type="dxa" w:w="1728"/>
          </w:tcPr>
          <w:p>
            <w:r>
              <w:rPr>
                <w:rFonts w:ascii="Times New Roman" w:hAnsi="Times New Roman"/>
                <w:sz w:val="18"/>
              </w:rPr>
              <w:t>Binary</w:t>
            </w:r>
          </w:p>
        </w:tc>
        <w:tc>
          <w:tcPr>
            <w:tcW w:type="dxa" w:w="1728"/>
          </w:tcPr>
          <w:p>
            <w:r>
              <w:rPr>
                <w:rFonts w:ascii="Times New Roman" w:hAnsi="Times New Roman"/>
                <w:sz w:val="18"/>
              </w:rPr>
              <w:t>terrace</w:t>
            </w:r>
          </w:p>
        </w:tc>
        <w:tc>
          <w:tcPr>
            <w:tcW w:type="dxa" w:w="1728"/>
          </w:tcPr>
          <w:p>
            <w:r>
              <w:rPr>
                <w:rFonts w:ascii="Times New Roman" w:hAnsi="Times New Roman"/>
                <w:sz w:val="18"/>
              </w:rPr>
              <w:t>1 if True, else 0</w:t>
            </w:r>
          </w:p>
        </w:tc>
        <w:tc>
          <w:tcPr>
            <w:tcW w:type="dxa" w:w="1728"/>
          </w:tcPr>
          <w:p>
            <w:r>
              <w:rPr>
                <w:rFonts w:ascii="Times New Roman" w:hAnsi="Times New Roman"/>
                <w:sz w:val="18"/>
              </w:rPr>
              <w:t>Default 0 (absent)</w:t>
            </w:r>
          </w:p>
        </w:tc>
      </w:tr>
      <w:tr>
        <w:tc>
          <w:tcPr>
            <w:tcW w:type="dxa" w:w="1728"/>
          </w:tcPr>
          <w:p>
            <w:r>
              <w:rPr>
                <w:rFonts w:ascii="Times New Roman" w:hAnsi="Times New Roman"/>
                <w:sz w:val="18"/>
              </w:rPr>
              <w:t>Balcony</w:t>
            </w:r>
          </w:p>
        </w:tc>
        <w:tc>
          <w:tcPr>
            <w:tcW w:type="dxa" w:w="1728"/>
          </w:tcPr>
          <w:p>
            <w:r>
              <w:rPr>
                <w:rFonts w:ascii="Times New Roman" w:hAnsi="Times New Roman"/>
                <w:sz w:val="18"/>
              </w:rPr>
              <w:t>Binary</w:t>
            </w:r>
          </w:p>
        </w:tc>
        <w:tc>
          <w:tcPr>
            <w:tcW w:type="dxa" w:w="1728"/>
          </w:tcPr>
          <w:p>
            <w:r>
              <w:rPr>
                <w:rFonts w:ascii="Times New Roman" w:hAnsi="Times New Roman"/>
                <w:sz w:val="18"/>
              </w:rPr>
              <w:t>balcony</w:t>
            </w:r>
          </w:p>
        </w:tc>
        <w:tc>
          <w:tcPr>
            <w:tcW w:type="dxa" w:w="1728"/>
          </w:tcPr>
          <w:p>
            <w:r>
              <w:rPr>
                <w:rFonts w:ascii="Times New Roman" w:hAnsi="Times New Roman"/>
                <w:sz w:val="18"/>
              </w:rPr>
              <w:t>1 if True, else 0</w:t>
            </w:r>
          </w:p>
        </w:tc>
        <w:tc>
          <w:tcPr>
            <w:tcW w:type="dxa" w:w="1728"/>
          </w:tcPr>
          <w:p>
            <w:r>
              <w:rPr>
                <w:rFonts w:ascii="Times New Roman" w:hAnsi="Times New Roman"/>
                <w:sz w:val="18"/>
              </w:rPr>
              <w:t>Default 0 (absent)</w:t>
            </w:r>
          </w:p>
        </w:tc>
      </w:tr>
      <w:tr>
        <w:tc>
          <w:tcPr>
            <w:tcW w:type="dxa" w:w="1728"/>
          </w:tcPr>
          <w:p>
            <w:r>
              <w:rPr>
                <w:rFonts w:ascii="Times New Roman" w:hAnsi="Times New Roman"/>
                <w:sz w:val="18"/>
              </w:rPr>
              <w:t>Elevator</w:t>
            </w:r>
          </w:p>
        </w:tc>
        <w:tc>
          <w:tcPr>
            <w:tcW w:type="dxa" w:w="1728"/>
          </w:tcPr>
          <w:p>
            <w:r>
              <w:rPr>
                <w:rFonts w:ascii="Times New Roman" w:hAnsi="Times New Roman"/>
                <w:sz w:val="18"/>
              </w:rPr>
              <w:t>Binary</w:t>
            </w:r>
          </w:p>
        </w:tc>
        <w:tc>
          <w:tcPr>
            <w:tcW w:type="dxa" w:w="1728"/>
          </w:tcPr>
          <w:p>
            <w:r>
              <w:rPr>
                <w:rFonts w:ascii="Times New Roman" w:hAnsi="Times New Roman"/>
                <w:sz w:val="18"/>
              </w:rPr>
              <w:t>elevator</w:t>
            </w:r>
          </w:p>
        </w:tc>
        <w:tc>
          <w:tcPr>
            <w:tcW w:type="dxa" w:w="1728"/>
          </w:tcPr>
          <w:p>
            <w:r>
              <w:rPr>
                <w:rFonts w:ascii="Times New Roman" w:hAnsi="Times New Roman"/>
                <w:sz w:val="18"/>
              </w:rPr>
              <w:t>1 if True, else 0</w:t>
            </w:r>
          </w:p>
        </w:tc>
        <w:tc>
          <w:tcPr>
            <w:tcW w:type="dxa" w:w="1728"/>
          </w:tcPr>
          <w:p>
            <w:r>
              <w:rPr>
                <w:rFonts w:ascii="Times New Roman" w:hAnsi="Times New Roman"/>
                <w:sz w:val="18"/>
              </w:rPr>
              <w:t>Default 0 (absent)</w:t>
            </w:r>
          </w:p>
        </w:tc>
      </w:tr>
      <w:tr>
        <w:tc>
          <w:tcPr>
            <w:tcW w:type="dxa" w:w="1728"/>
          </w:tcPr>
          <w:p>
            <w:r>
              <w:rPr>
                <w:rFonts w:ascii="Times New Roman" w:hAnsi="Times New Roman"/>
                <w:sz w:val="18"/>
              </w:rPr>
              <w:t>Garage</w:t>
            </w:r>
          </w:p>
        </w:tc>
        <w:tc>
          <w:tcPr>
            <w:tcW w:type="dxa" w:w="1728"/>
          </w:tcPr>
          <w:p>
            <w:r>
              <w:rPr>
                <w:rFonts w:ascii="Times New Roman" w:hAnsi="Times New Roman"/>
                <w:sz w:val="18"/>
              </w:rPr>
              <w:t>Binary</w:t>
            </w:r>
          </w:p>
        </w:tc>
        <w:tc>
          <w:tcPr>
            <w:tcW w:type="dxa" w:w="1728"/>
          </w:tcPr>
          <w:p>
            <w:r>
              <w:rPr>
                <w:rFonts w:ascii="Times New Roman" w:hAnsi="Times New Roman"/>
                <w:sz w:val="18"/>
              </w:rPr>
              <w:t>garage</w:t>
            </w:r>
          </w:p>
        </w:tc>
        <w:tc>
          <w:tcPr>
            <w:tcW w:type="dxa" w:w="1728"/>
          </w:tcPr>
          <w:p>
            <w:r>
              <w:rPr>
                <w:rFonts w:ascii="Times New Roman" w:hAnsi="Times New Roman"/>
                <w:sz w:val="18"/>
              </w:rPr>
              <w:t>1 if True, else 0</w:t>
            </w:r>
          </w:p>
        </w:tc>
        <w:tc>
          <w:tcPr>
            <w:tcW w:type="dxa" w:w="1728"/>
          </w:tcPr>
          <w:p>
            <w:r>
              <w:rPr>
                <w:rFonts w:ascii="Times New Roman" w:hAnsi="Times New Roman"/>
                <w:sz w:val="18"/>
              </w:rPr>
              <w:t>Default 0 (absent)</w:t>
            </w:r>
          </w:p>
        </w:tc>
      </w:tr>
      <w:tr>
        <w:tc>
          <w:tcPr>
            <w:tcW w:type="dxa" w:w="1728"/>
          </w:tcPr>
          <w:p>
            <w:r>
              <w:rPr>
                <w:rFonts w:ascii="Times New Roman" w:hAnsi="Times New Roman"/>
                <w:sz w:val="18"/>
              </w:rPr>
              <w:t>Exterior</w:t>
            </w:r>
          </w:p>
        </w:tc>
        <w:tc>
          <w:tcPr>
            <w:tcW w:type="dxa" w:w="1728"/>
          </w:tcPr>
          <w:p>
            <w:r>
              <w:rPr>
                <w:rFonts w:ascii="Times New Roman" w:hAnsi="Times New Roman"/>
                <w:sz w:val="18"/>
              </w:rPr>
              <w:t>Binary</w:t>
            </w:r>
          </w:p>
        </w:tc>
        <w:tc>
          <w:tcPr>
            <w:tcW w:type="dxa" w:w="1728"/>
          </w:tcPr>
          <w:p>
            <w:r>
              <w:rPr>
                <w:rFonts w:ascii="Times New Roman" w:hAnsi="Times New Roman"/>
                <w:sz w:val="18"/>
              </w:rPr>
              <w:t>exterior</w:t>
            </w:r>
          </w:p>
        </w:tc>
        <w:tc>
          <w:tcPr>
            <w:tcW w:type="dxa" w:w="1728"/>
          </w:tcPr>
          <w:p>
            <w:r>
              <w:rPr>
                <w:rFonts w:ascii="Times New Roman" w:hAnsi="Times New Roman"/>
                <w:sz w:val="18"/>
              </w:rPr>
              <w:t>1 if True, else 0</w:t>
            </w:r>
          </w:p>
        </w:tc>
        <w:tc>
          <w:tcPr>
            <w:tcW w:type="dxa" w:w="1728"/>
          </w:tcPr>
          <w:p>
            <w:r>
              <w:rPr>
                <w:rFonts w:ascii="Times New Roman" w:hAnsi="Times New Roman"/>
                <w:sz w:val="18"/>
              </w:rPr>
              <w:t>Default 0 (absent). Only 11% coverage.</w:t>
            </w:r>
          </w:p>
        </w:tc>
      </w:tr>
      <w:tr>
        <w:tc>
          <w:tcPr>
            <w:tcW w:type="dxa" w:w="1728"/>
          </w:tcPr>
          <w:p>
            <w:r>
              <w:rPr>
                <w:rFonts w:ascii="Times New Roman" w:hAnsi="Times New Roman"/>
                <w:sz w:val="18"/>
              </w:rPr>
              <w:t>District</w:t>
            </w:r>
          </w:p>
        </w:tc>
        <w:tc>
          <w:tcPr>
            <w:tcW w:type="dxa" w:w="1728"/>
          </w:tcPr>
          <w:p>
            <w:r>
              <w:rPr>
                <w:rFonts w:ascii="Times New Roman" w:hAnsi="Times New Roman"/>
                <w:sz w:val="18"/>
              </w:rPr>
              <w:t>Categorical</w:t>
            </w:r>
          </w:p>
        </w:tc>
        <w:tc>
          <w:tcPr>
            <w:tcW w:type="dxa" w:w="1728"/>
          </w:tcPr>
          <w:p>
            <w:r>
              <w:rPr>
                <w:rFonts w:ascii="Times New Roman" w:hAnsi="Times New Roman"/>
                <w:sz w:val="18"/>
              </w:rPr>
              <w:t>district</w:t>
            </w:r>
          </w:p>
        </w:tc>
        <w:tc>
          <w:tcPr>
            <w:tcW w:type="dxa" w:w="1728"/>
          </w:tcPr>
          <w:p>
            <w:r>
              <w:rPr>
                <w:rFonts w:ascii="Times New Roman" w:hAnsi="Times New Roman"/>
                <w:sz w:val="18"/>
              </w:rPr>
              <w:t>One-hot (21 values)</w:t>
            </w:r>
          </w:p>
        </w:tc>
        <w:tc>
          <w:tcPr>
            <w:tcW w:type="dxa" w:w="1728"/>
          </w:tcPr>
          <w:p>
            <w:r>
              <w:rPr>
                <w:rFonts w:ascii="Times New Roman" w:hAnsi="Times New Roman"/>
                <w:sz w:val="18"/>
              </w:rPr>
              <w:t>Default "" (empty). Required field.</w:t>
            </w:r>
          </w:p>
        </w:tc>
      </w:tr>
      <w:tr>
        <w:tc>
          <w:tcPr>
            <w:tcW w:type="dxa" w:w="1728"/>
          </w:tcPr>
          <w:p>
            <w:r>
              <w:rPr>
                <w:rFonts w:ascii="Times New Roman" w:hAnsi="Times New Roman"/>
                <w:sz w:val="18"/>
              </w:rPr>
              <w:t>Zone</w:t>
            </w:r>
          </w:p>
        </w:tc>
        <w:tc>
          <w:tcPr>
            <w:tcW w:type="dxa" w:w="1728"/>
          </w:tcPr>
          <w:p>
            <w:r>
              <w:rPr>
                <w:rFonts w:ascii="Times New Roman" w:hAnsi="Times New Roman"/>
                <w:sz w:val="18"/>
              </w:rPr>
              <w:t>Categorical</w:t>
            </w:r>
          </w:p>
        </w:tc>
        <w:tc>
          <w:tcPr>
            <w:tcW w:type="dxa" w:w="1728"/>
          </w:tcPr>
          <w:p>
            <w:r>
              <w:rPr>
                <w:rFonts w:ascii="Times New Roman" w:hAnsi="Times New Roman"/>
                <w:sz w:val="18"/>
              </w:rPr>
              <w:t>zone</w:t>
            </w:r>
          </w:p>
        </w:tc>
        <w:tc>
          <w:tcPr>
            <w:tcW w:type="dxa" w:w="1728"/>
          </w:tcPr>
          <w:p>
            <w:r>
              <w:rPr>
                <w:rFonts w:ascii="Times New Roman" w:hAnsi="Times New Roman"/>
                <w:sz w:val="18"/>
              </w:rPr>
              <w:t>One-hot (reduced)</w:t>
            </w:r>
          </w:p>
        </w:tc>
        <w:tc>
          <w:tcPr>
            <w:tcW w:type="dxa" w:w="1728"/>
          </w:tcPr>
          <w:p>
            <w:r>
              <w:rPr>
                <w:rFonts w:ascii="Times New Roman" w:hAnsi="Times New Roman"/>
                <w:sz w:val="18"/>
              </w:rPr>
              <w:t>Zones with &lt; 10 deals mapped to "". Reduces 327→201 columns.</w:t>
            </w:r>
          </w:p>
        </w:tc>
      </w:tr>
      <w:tr>
        <w:tc>
          <w:tcPr>
            <w:tcW w:type="dxa" w:w="1728"/>
          </w:tcPr>
          <w:p>
            <w:r>
              <w:rPr>
                <w:rFonts w:ascii="Times New Roman" w:hAnsi="Times New Roman"/>
                <w:sz w:val="18"/>
              </w:rPr>
              <w:t>Condition</w:t>
            </w:r>
          </w:p>
        </w:tc>
        <w:tc>
          <w:tcPr>
            <w:tcW w:type="dxa" w:w="1728"/>
          </w:tcPr>
          <w:p>
            <w:r>
              <w:rPr>
                <w:rFonts w:ascii="Times New Roman" w:hAnsi="Times New Roman"/>
                <w:sz w:val="18"/>
              </w:rPr>
              <w:t>Categorical</w:t>
            </w:r>
          </w:p>
        </w:tc>
        <w:tc>
          <w:tcPr>
            <w:tcW w:type="dxa" w:w="1728"/>
          </w:tcPr>
          <w:p>
            <w:r>
              <w:rPr>
                <w:rFonts w:ascii="Times New Roman" w:hAnsi="Times New Roman"/>
                <w:sz w:val="18"/>
              </w:rPr>
              <w:t>condition</w:t>
            </w:r>
          </w:p>
        </w:tc>
        <w:tc>
          <w:tcPr>
            <w:tcW w:type="dxa" w:w="1728"/>
          </w:tcPr>
          <w:p>
            <w:r>
              <w:rPr>
                <w:rFonts w:ascii="Times New Roman" w:hAnsi="Times New Roman"/>
                <w:sz w:val="18"/>
              </w:rPr>
              <w:t>One-hot (4 values)</w:t>
            </w:r>
          </w:p>
        </w:tc>
        <w:tc>
          <w:tcPr>
            <w:tcW w:type="dxa" w:w="1728"/>
          </w:tcPr>
          <w:p>
            <w:r>
              <w:rPr>
                <w:rFonts w:ascii="Times New Roman" w:hAnsi="Times New Roman"/>
                <w:sz w:val="18"/>
              </w:rPr>
              <w:t>Default "" → own one-hot column. Model learns "unknown" as distinct category.</w:t>
            </w:r>
          </w:p>
        </w:tc>
      </w:tr>
      <w:tr>
        <w:tc>
          <w:tcPr>
            <w:tcW w:type="dxa" w:w="1728"/>
          </w:tcPr>
          <w:p>
            <w:r>
              <w:rPr>
                <w:rFonts w:ascii="Times New Roman" w:hAnsi="Times New Roman"/>
                <w:sz w:val="18"/>
              </w:rPr>
              <w:t>Orientation</w:t>
            </w:r>
          </w:p>
        </w:tc>
        <w:tc>
          <w:tcPr>
            <w:tcW w:type="dxa" w:w="1728"/>
          </w:tcPr>
          <w:p>
            <w:r>
              <w:rPr>
                <w:rFonts w:ascii="Times New Roman" w:hAnsi="Times New Roman"/>
                <w:sz w:val="18"/>
              </w:rPr>
              <w:t>Categorical</w:t>
            </w:r>
          </w:p>
        </w:tc>
        <w:tc>
          <w:tcPr>
            <w:tcW w:type="dxa" w:w="1728"/>
          </w:tcPr>
          <w:p>
            <w:r>
              <w:rPr>
                <w:rFonts w:ascii="Times New Roman" w:hAnsi="Times New Roman"/>
                <w:sz w:val="18"/>
              </w:rPr>
              <w:t>orientation</w:t>
            </w:r>
          </w:p>
        </w:tc>
        <w:tc>
          <w:tcPr>
            <w:tcW w:type="dxa" w:w="1728"/>
          </w:tcPr>
          <w:p>
            <w:r>
              <w:rPr>
                <w:rFonts w:ascii="Times New Roman" w:hAnsi="Times New Roman"/>
                <w:sz w:val="18"/>
              </w:rPr>
              <w:t>One-hot</w:t>
            </w:r>
          </w:p>
        </w:tc>
        <w:tc>
          <w:tcPr>
            <w:tcW w:type="dxa" w:w="1728"/>
          </w:tcPr>
          <w:p>
            <w:r>
              <w:rPr>
                <w:rFonts w:ascii="Times New Roman" w:hAnsi="Times New Roman"/>
                <w:sz w:val="18"/>
              </w:rPr>
              <w:t>Default "" → own one-hot column. Only 14% coverage.</w:t>
            </w:r>
          </w:p>
        </w:tc>
      </w:tr>
    </w:tbl>
    <w:p/>
    <w:p>
      <w:pPr>
        <w:pStyle w:val="Heading2"/>
      </w:pPr>
      <w:r>
        <w:rPr>
          <w:rFonts w:ascii="Times New Roman" w:hAnsi="Times New Roman"/>
        </w:rPr>
        <w:t>E. Zone Cardinality Reduction</w:t>
      </w:r>
    </w:p>
    <w:p>
      <w:r>
        <w:rPr>
          <w:rFonts w:ascii="Times New Roman" w:hAnsi="Times New Roman"/>
        </w:rPr>
        <w:t>The zone (barrio) feature has high cardinality: Madrid has approximately 130 distinct barrios represented in the dataset. Many of these have very few listings. One-hot encoding all zones creates columns with only 2-3 training examples, which the model cannot learn from reliably and which increase overfitting risk. The solution: zones with fewer than 10 deals are mapped to an empty string before encoding. This does not remove any deals from the dataset — it only removes the zone label, so those deals still contribute through all other features (district, size, condition, etc.).</w:t>
      </w:r>
    </w:p>
    <w:p>
      <w:r>
        <w:rPr>
          <w:rFonts w:ascii="Times New Roman" w:hAnsi="Times New Roman"/>
        </w:rPr>
        <w:t>Table A2. Impact of zone cardinality reduction on model performance.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Configuration</w:t>
            </w:r>
          </w:p>
        </w:tc>
        <w:tc>
          <w:tcPr>
            <w:tcW w:type="dxa" w:w="2160"/>
          </w:tcPr>
          <w:p>
            <w:r>
              <w:rPr>
                <w:rFonts w:ascii="Times New Roman" w:hAnsi="Times New Roman"/>
                <w:b/>
                <w:sz w:val="20"/>
              </w:rPr>
              <w:t>One-hot columns</w:t>
            </w:r>
          </w:p>
        </w:tc>
        <w:tc>
          <w:tcPr>
            <w:tcW w:type="dxa" w:w="2160"/>
          </w:tcPr>
          <w:p>
            <w:r>
              <w:rPr>
                <w:rFonts w:ascii="Times New Roman" w:hAnsi="Times New Roman"/>
                <w:b/>
                <w:sz w:val="20"/>
              </w:rPr>
              <w:t>R² CV (GB)</w:t>
            </w:r>
          </w:p>
        </w:tc>
        <w:tc>
          <w:tcPr>
            <w:tcW w:type="dxa" w:w="2160"/>
          </w:tcPr>
          <w:p>
            <w:r>
              <w:rPr>
                <w:rFonts w:ascii="Times New Roman" w:hAnsi="Times New Roman"/>
                <w:b/>
                <w:sz w:val="20"/>
              </w:rPr>
              <w:t>MAE (GB)</w:t>
            </w:r>
          </w:p>
        </w:tc>
      </w:tr>
      <w:tr>
        <w:tc>
          <w:tcPr>
            <w:tcW w:type="dxa" w:w="2160"/>
          </w:tcPr>
          <w:p>
            <w:r>
              <w:rPr>
                <w:rFonts w:ascii="Times New Roman" w:hAnsi="Times New Roman"/>
                <w:sz w:val="20"/>
              </w:rPr>
              <w:t>All zones (no cleanup)</w:t>
            </w:r>
          </w:p>
        </w:tc>
        <w:tc>
          <w:tcPr>
            <w:tcW w:type="dxa" w:w="2160"/>
          </w:tcPr>
          <w:p>
            <w:r>
              <w:rPr>
                <w:rFonts w:ascii="Times New Roman" w:hAnsi="Times New Roman"/>
                <w:sz w:val="20"/>
              </w:rPr>
              <w:t>327</w:t>
            </w:r>
          </w:p>
        </w:tc>
        <w:tc>
          <w:tcPr>
            <w:tcW w:type="dxa" w:w="2160"/>
          </w:tcPr>
          <w:p>
            <w:r>
              <w:rPr>
                <w:rFonts w:ascii="Times New Roman" w:hAnsi="Times New Roman"/>
                <w:sz w:val="20"/>
              </w:rPr>
              <w:t>0.871</w:t>
            </w:r>
          </w:p>
        </w:tc>
        <w:tc>
          <w:tcPr>
            <w:tcW w:type="dxa" w:w="2160"/>
          </w:tcPr>
          <w:p>
            <w:r>
              <w:rPr>
                <w:rFonts w:ascii="Times New Roman" w:hAnsi="Times New Roman"/>
                <w:sz w:val="20"/>
              </w:rPr>
              <w:t>€174,500</w:t>
            </w:r>
          </w:p>
        </w:tc>
      </w:tr>
      <w:tr>
        <w:tc>
          <w:tcPr>
            <w:tcW w:type="dxa" w:w="2160"/>
          </w:tcPr>
          <w:p>
            <w:r>
              <w:rPr>
                <w:rFonts w:ascii="Times New Roman" w:hAnsi="Times New Roman"/>
                <w:sz w:val="20"/>
              </w:rPr>
              <w:t>Zones &lt; 10 deals → empty (production)</w:t>
            </w:r>
          </w:p>
        </w:tc>
        <w:tc>
          <w:tcPr>
            <w:tcW w:type="dxa" w:w="2160"/>
          </w:tcPr>
          <w:p>
            <w:r>
              <w:rPr>
                <w:rFonts w:ascii="Times New Roman" w:hAnsi="Times New Roman"/>
                <w:sz w:val="20"/>
              </w:rPr>
              <w:t>201</w:t>
            </w:r>
          </w:p>
        </w:tc>
        <w:tc>
          <w:tcPr>
            <w:tcW w:type="dxa" w:w="2160"/>
          </w:tcPr>
          <w:p>
            <w:r>
              <w:rPr>
                <w:rFonts w:ascii="Times New Roman" w:hAnsi="Times New Roman"/>
                <w:sz w:val="20"/>
              </w:rPr>
              <w:t>0.883</w:t>
            </w:r>
          </w:p>
        </w:tc>
        <w:tc>
          <w:tcPr>
            <w:tcW w:type="dxa" w:w="2160"/>
          </w:tcPr>
          <w:p>
            <w:r>
              <w:rPr>
                <w:rFonts w:ascii="Times New Roman" w:hAnsi="Times New Roman"/>
                <w:sz w:val="20"/>
              </w:rPr>
              <w:t>€167,418</w:t>
            </w:r>
          </w:p>
        </w:tc>
      </w:tr>
      <w:tr>
        <w:tc>
          <w:tcPr>
            <w:tcW w:type="dxa" w:w="2160"/>
          </w:tcPr>
          <w:p>
            <w:r>
              <w:rPr>
                <w:rFonts w:ascii="Times New Roman" w:hAnsi="Times New Roman"/>
                <w:sz w:val="20"/>
              </w:rPr>
              <w:t>Drop zone entirely</w:t>
            </w:r>
          </w:p>
        </w:tc>
        <w:tc>
          <w:tcPr>
            <w:tcW w:type="dxa" w:w="2160"/>
          </w:tcPr>
          <w:p>
            <w:r>
              <w:rPr>
                <w:rFonts w:ascii="Times New Roman" w:hAnsi="Times New Roman"/>
                <w:sz w:val="20"/>
              </w:rPr>
              <w:t>~45</w:t>
            </w:r>
          </w:p>
        </w:tc>
        <w:tc>
          <w:tcPr>
            <w:tcW w:type="dxa" w:w="2160"/>
          </w:tcPr>
          <w:p>
            <w:r>
              <w:rPr>
                <w:rFonts w:ascii="Times New Roman" w:hAnsi="Times New Roman"/>
                <w:sz w:val="20"/>
              </w:rPr>
              <w:t>0.860</w:t>
            </w:r>
          </w:p>
        </w:tc>
        <w:tc>
          <w:tcPr>
            <w:tcW w:type="dxa" w:w="2160"/>
          </w:tcPr>
          <w:p>
            <w:r>
              <w:rPr>
                <w:rFonts w:ascii="Times New Roman" w:hAnsi="Times New Roman"/>
                <w:sz w:val="20"/>
              </w:rPr>
              <w:t>€176,211</w:t>
            </w:r>
          </w:p>
        </w:tc>
      </w:tr>
    </w:tbl>
    <w:p/>
    <w:p>
      <w:pPr>
        <w:pStyle w:val="Heading2"/>
      </w:pPr>
      <w:r>
        <w:rPr>
          <w:rFonts w:ascii="Times New Roman" w:hAnsi="Times New Roman"/>
        </w:rPr>
        <w:t>F. Analytics: Opportunity Scoring</w:t>
      </w:r>
    </w:p>
    <w:p>
      <w:r>
        <w:rPr>
          <w:rFonts w:ascii="Times New Roman" w:hAnsi="Times New Roman"/>
          <w:b/>
          <w:sz w:val="24"/>
        </w:rPr>
        <w:t>Composite Opportunity Score</w:t>
      </w:r>
    </w:p>
    <w:p>
      <w:pPr>
        <w:jc w:val="center"/>
      </w:pPr>
      <w:r>
        <w:rPr>
          <w:rFonts w:ascii="Cambria Math" w:hAnsi="Cambria Math"/>
          <w:i/>
          <w:sz w:val="24"/>
        </w:rPr>
        <w:t>Score_district = (Rank_entry + Rank_upside + Rank_ml) / 3</w:t>
      </w:r>
    </w:p>
    <w:p>
      <w:pPr>
        <w:jc w:val="center"/>
      </w:pPr>
      <w:r>
        <w:rPr>
          <w:rFonts w:ascii="Cambria Math" w:hAnsi="Cambria Math"/>
          <w:i/>
          <w:sz w:val="24"/>
        </w:rPr>
        <w:t>where each Rank ∈ {1, 2, ..., N_districts}</w:t>
      </w:r>
    </w:p>
    <w:p>
      <w:r>
        <w:rPr>
          <w:rFonts w:ascii="Times New Roman" w:hAnsi="Times New Roman"/>
          <w:sz w:val="22"/>
        </w:rPr>
        <w:t>Each district is ranked on three dimensions independently:</w:t>
        <w:br/>
        <w:t>• Entry price rank: average asking price per sqm for "a reformar" deals (lower is better, rank 1 = cheapest).</w:t>
        <w:br/>
        <w:t>• Renovation upside rank: gap between "a reformar" asking and "buen estado" asking prices (larger gap = higher rank).</w:t>
        <w:br/>
        <w:t>• ML spread rank: average difference between ML predicted price and asking price (more undervalued = higher rank).</w:t>
        <w:br/>
        <w:br/>
        <w:t>The composite score is the simple average of the three ranks. A lower composite score means the district combines affordability, renovation margin, and model-predicted undervaluation. This is an ordinal ranking, not a cardinal measure — a score of 3.0 vs 6.0 does not mean one district is twice as good as another.</w:t>
      </w:r>
    </w:p>
    <w:p>
      <w:r>
        <w:rPr>
          <w:rFonts w:ascii="Times New Roman" w:hAnsi="Times New Roman"/>
          <w:b/>
          <w:sz w:val="22"/>
        </w:rPr>
        <w:t xml:space="preserve">Used in thesis: </w:t>
      </w:r>
      <w:r>
        <w:rPr>
          <w:rFonts w:ascii="Times New Roman" w:hAnsi="Times New Roman"/>
          <w:sz w:val="22"/>
        </w:rPr>
        <w:t>Analytics dashboard, Opportunity Scoring section.</w:t>
      </w:r>
    </w:p>
    <w:p/>
    <w:p>
      <w:pPr>
        <w:pStyle w:val="Heading2"/>
      </w:pPr>
      <w:r>
        <w:rPr>
          <w:rFonts w:ascii="Times New Roman" w:hAnsi="Times New Roman"/>
        </w:rPr>
        <w:t>G. Data Quality and Coverage by Portal</w:t>
      </w:r>
    </w:p>
    <w:p>
      <w:r>
        <w:rPr>
          <w:rFonts w:ascii="Times New Roman" w:hAnsi="Times New Roman"/>
        </w:rPr>
        <w:t>Table A3. Field availability by source portal (percentage of listings with non-null values).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18"/>
              </w:rPr>
              <w:t>Field</w:t>
            </w:r>
          </w:p>
        </w:tc>
        <w:tc>
          <w:tcPr>
            <w:tcW w:type="dxa" w:w="1440"/>
          </w:tcPr>
          <w:p>
            <w:r>
              <w:rPr>
                <w:rFonts w:ascii="Times New Roman" w:hAnsi="Times New Roman"/>
                <w:b/>
                <w:sz w:val="18"/>
              </w:rPr>
              <w:t>Idealista API</w:t>
            </w:r>
          </w:p>
        </w:tc>
        <w:tc>
          <w:tcPr>
            <w:tcW w:type="dxa" w:w="1440"/>
          </w:tcPr>
          <w:p>
            <w:r>
              <w:rPr>
                <w:rFonts w:ascii="Times New Roman" w:hAnsi="Times New Roman"/>
                <w:b/>
                <w:sz w:val="18"/>
              </w:rPr>
              <w:t>Idealista HTML</w:t>
            </w:r>
          </w:p>
        </w:tc>
        <w:tc>
          <w:tcPr>
            <w:tcW w:type="dxa" w:w="1440"/>
          </w:tcPr>
          <w:p>
            <w:r>
              <w:rPr>
                <w:rFonts w:ascii="Times New Roman" w:hAnsi="Times New Roman"/>
                <w:b/>
                <w:sz w:val="18"/>
              </w:rPr>
              <w:t>Redpiso</w:t>
            </w:r>
          </w:p>
        </w:tc>
        <w:tc>
          <w:tcPr>
            <w:tcW w:type="dxa" w:w="1440"/>
          </w:tcPr>
          <w:p>
            <w:r>
              <w:rPr>
                <w:rFonts w:ascii="Times New Roman" w:hAnsi="Times New Roman"/>
                <w:b/>
                <w:sz w:val="18"/>
              </w:rPr>
              <w:t>Fotocasa</w:t>
            </w:r>
          </w:p>
        </w:tc>
        <w:tc>
          <w:tcPr>
            <w:tcW w:type="dxa" w:w="1440"/>
          </w:tcPr>
          <w:p>
            <w:r>
              <w:rPr>
                <w:rFonts w:ascii="Times New Roman" w:hAnsi="Times New Roman"/>
                <w:b/>
                <w:sz w:val="18"/>
              </w:rPr>
              <w:t>Pisos.com</w:t>
            </w:r>
          </w:p>
        </w:tc>
      </w:tr>
      <w:tr>
        <w:tc>
          <w:tcPr>
            <w:tcW w:type="dxa" w:w="1440"/>
          </w:tcPr>
          <w:p>
            <w:r>
              <w:rPr>
                <w:rFonts w:ascii="Times New Roman" w:hAnsi="Times New Roman"/>
                <w:sz w:val="18"/>
              </w:rPr>
              <w:t>Price</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r>
      <w:tr>
        <w:tc>
          <w:tcPr>
            <w:tcW w:type="dxa" w:w="1440"/>
          </w:tcPr>
          <w:p>
            <w:r>
              <w:rPr>
                <w:rFonts w:ascii="Times New Roman" w:hAnsi="Times New Roman"/>
                <w:sz w:val="18"/>
              </w:rPr>
              <w:t>Size (sqm)</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r>
      <w:tr>
        <w:tc>
          <w:tcPr>
            <w:tcW w:type="dxa" w:w="1440"/>
          </w:tcPr>
          <w:p>
            <w:r>
              <w:rPr>
                <w:rFonts w:ascii="Times New Roman" w:hAnsi="Times New Roman"/>
                <w:sz w:val="18"/>
              </w:rPr>
              <w:t>District</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c>
          <w:tcPr>
            <w:tcW w:type="dxa" w:w="1440"/>
          </w:tcPr>
          <w:p>
            <w:r>
              <w:rPr>
                <w:rFonts w:ascii="Times New Roman" w:hAnsi="Times New Roman"/>
                <w:sz w:val="18"/>
              </w:rPr>
              <w:t>100%</w:t>
            </w:r>
          </w:p>
        </w:tc>
      </w:tr>
      <w:tr>
        <w:tc>
          <w:tcPr>
            <w:tcW w:type="dxa" w:w="1440"/>
          </w:tcPr>
          <w:p>
            <w:r>
              <w:rPr>
                <w:rFonts w:ascii="Times New Roman" w:hAnsi="Times New Roman"/>
                <w:sz w:val="18"/>
              </w:rPr>
              <w:t>Bedrooms</w:t>
            </w:r>
          </w:p>
        </w:tc>
        <w:tc>
          <w:tcPr>
            <w:tcW w:type="dxa" w:w="1440"/>
          </w:tcPr>
          <w:p>
            <w:r>
              <w:rPr>
                <w:rFonts w:ascii="Times New Roman" w:hAnsi="Times New Roman"/>
                <w:sz w:val="18"/>
              </w:rPr>
              <w:t>100%</w:t>
            </w:r>
          </w:p>
        </w:tc>
        <w:tc>
          <w:tcPr>
            <w:tcW w:type="dxa" w:w="1440"/>
          </w:tcPr>
          <w:p>
            <w:r>
              <w:rPr>
                <w:rFonts w:ascii="Times New Roman" w:hAnsi="Times New Roman"/>
                <w:sz w:val="18"/>
              </w:rPr>
              <w:t>~95%</w:t>
            </w:r>
          </w:p>
        </w:tc>
        <w:tc>
          <w:tcPr>
            <w:tcW w:type="dxa" w:w="1440"/>
          </w:tcPr>
          <w:p>
            <w:r>
              <w:rPr>
                <w:rFonts w:ascii="Times New Roman" w:hAnsi="Times New Roman"/>
                <w:sz w:val="18"/>
              </w:rPr>
              <w:t>100%</w:t>
            </w:r>
          </w:p>
        </w:tc>
        <w:tc>
          <w:tcPr>
            <w:tcW w:type="dxa" w:w="1440"/>
          </w:tcPr>
          <w:p>
            <w:r>
              <w:rPr>
                <w:rFonts w:ascii="Times New Roman" w:hAnsi="Times New Roman"/>
                <w:sz w:val="18"/>
              </w:rPr>
              <w:t>~90%</w:t>
            </w:r>
          </w:p>
        </w:tc>
        <w:tc>
          <w:tcPr>
            <w:tcW w:type="dxa" w:w="1440"/>
          </w:tcPr>
          <w:p>
            <w:r>
              <w:rPr>
                <w:rFonts w:ascii="Times New Roman" w:hAnsi="Times New Roman"/>
                <w:sz w:val="18"/>
              </w:rPr>
              <w:t>~85%</w:t>
            </w:r>
          </w:p>
        </w:tc>
      </w:tr>
      <w:tr>
        <w:tc>
          <w:tcPr>
            <w:tcW w:type="dxa" w:w="1440"/>
          </w:tcPr>
          <w:p>
            <w:r>
              <w:rPr>
                <w:rFonts w:ascii="Times New Roman" w:hAnsi="Times New Roman"/>
                <w:sz w:val="18"/>
              </w:rPr>
              <w:t>Bathrooms</w:t>
            </w:r>
          </w:p>
        </w:tc>
        <w:tc>
          <w:tcPr>
            <w:tcW w:type="dxa" w:w="1440"/>
          </w:tcPr>
          <w:p>
            <w:r>
              <w:rPr>
                <w:rFonts w:ascii="Times New Roman" w:hAnsi="Times New Roman"/>
                <w:sz w:val="18"/>
              </w:rPr>
              <w:t>100%</w:t>
            </w:r>
          </w:p>
        </w:tc>
        <w:tc>
          <w:tcPr>
            <w:tcW w:type="dxa" w:w="1440"/>
          </w:tcPr>
          <w:p>
            <w:r>
              <w:rPr>
                <w:rFonts w:ascii="Times New Roman" w:hAnsi="Times New Roman"/>
                <w:sz w:val="18"/>
              </w:rPr>
              <w:t>~80%</w:t>
            </w:r>
          </w:p>
        </w:tc>
        <w:tc>
          <w:tcPr>
            <w:tcW w:type="dxa" w:w="1440"/>
          </w:tcPr>
          <w:p>
            <w:r>
              <w:rPr>
                <w:rFonts w:ascii="Times New Roman" w:hAnsi="Times New Roman"/>
                <w:sz w:val="18"/>
              </w:rPr>
              <w:t>100%</w:t>
            </w:r>
          </w:p>
        </w:tc>
        <w:tc>
          <w:tcPr>
            <w:tcW w:type="dxa" w:w="1440"/>
          </w:tcPr>
          <w:p>
            <w:r>
              <w:rPr>
                <w:rFonts w:ascii="Times New Roman" w:hAnsi="Times New Roman"/>
                <w:sz w:val="18"/>
              </w:rPr>
              <w:t>~70%</w:t>
            </w:r>
          </w:p>
        </w:tc>
        <w:tc>
          <w:tcPr>
            <w:tcW w:type="dxa" w:w="1440"/>
          </w:tcPr>
          <w:p>
            <w:r>
              <w:rPr>
                <w:rFonts w:ascii="Times New Roman" w:hAnsi="Times New Roman"/>
                <w:sz w:val="18"/>
              </w:rPr>
              <w:t>~60%</w:t>
            </w:r>
          </w:p>
        </w:tc>
      </w:tr>
      <w:tr>
        <w:tc>
          <w:tcPr>
            <w:tcW w:type="dxa" w:w="1440"/>
          </w:tcPr>
          <w:p>
            <w:r>
              <w:rPr>
                <w:rFonts w:ascii="Times New Roman" w:hAnsi="Times New Roman"/>
                <w:sz w:val="18"/>
              </w:rPr>
              <w:t>Floor</w:t>
            </w:r>
          </w:p>
        </w:tc>
        <w:tc>
          <w:tcPr>
            <w:tcW w:type="dxa" w:w="1440"/>
          </w:tcPr>
          <w:p>
            <w:r>
              <w:rPr>
                <w:rFonts w:ascii="Times New Roman" w:hAnsi="Times New Roman"/>
                <w:sz w:val="18"/>
              </w:rPr>
              <w:t>~90%</w:t>
            </w:r>
          </w:p>
        </w:tc>
        <w:tc>
          <w:tcPr>
            <w:tcW w:type="dxa" w:w="1440"/>
          </w:tcPr>
          <w:p>
            <w:r>
              <w:rPr>
                <w:rFonts w:ascii="Times New Roman" w:hAnsi="Times New Roman"/>
                <w:sz w:val="18"/>
              </w:rPr>
              <w:t>~60%</w:t>
            </w:r>
          </w:p>
        </w:tc>
        <w:tc>
          <w:tcPr>
            <w:tcW w:type="dxa" w:w="1440"/>
          </w:tcPr>
          <w:p>
            <w:r>
              <w:rPr>
                <w:rFonts w:ascii="Times New Roman" w:hAnsi="Times New Roman"/>
                <w:sz w:val="18"/>
              </w:rPr>
              <w:t>0%</w:t>
            </w:r>
          </w:p>
        </w:tc>
        <w:tc>
          <w:tcPr>
            <w:tcW w:type="dxa" w:w="1440"/>
          </w:tcPr>
          <w:p>
            <w:r>
              <w:rPr>
                <w:rFonts w:ascii="Times New Roman" w:hAnsi="Times New Roman"/>
                <w:sz w:val="18"/>
              </w:rPr>
              <w:t>~40%</w:t>
            </w:r>
          </w:p>
        </w:tc>
        <w:tc>
          <w:tcPr>
            <w:tcW w:type="dxa" w:w="1440"/>
          </w:tcPr>
          <w:p>
            <w:r>
              <w:rPr>
                <w:rFonts w:ascii="Times New Roman" w:hAnsi="Times New Roman"/>
                <w:sz w:val="18"/>
              </w:rPr>
              <w:t>~30%</w:t>
            </w:r>
          </w:p>
        </w:tc>
      </w:tr>
      <w:tr>
        <w:tc>
          <w:tcPr>
            <w:tcW w:type="dxa" w:w="1440"/>
          </w:tcPr>
          <w:p>
            <w:r>
              <w:rPr>
                <w:rFonts w:ascii="Times New Roman" w:hAnsi="Times New Roman"/>
                <w:sz w:val="18"/>
              </w:rPr>
              <w:t>Condition</w:t>
            </w:r>
          </w:p>
        </w:tc>
        <w:tc>
          <w:tcPr>
            <w:tcW w:type="dxa" w:w="1440"/>
          </w:tcPr>
          <w:p>
            <w:r>
              <w:rPr>
                <w:rFonts w:ascii="Times New Roman" w:hAnsi="Times New Roman"/>
                <w:sz w:val="18"/>
              </w:rPr>
              <w:t>~85%</w:t>
            </w:r>
          </w:p>
        </w:tc>
        <w:tc>
          <w:tcPr>
            <w:tcW w:type="dxa" w:w="1440"/>
          </w:tcPr>
          <w:p>
            <w:r>
              <w:rPr>
                <w:rFonts w:ascii="Times New Roman" w:hAnsi="Times New Roman"/>
                <w:sz w:val="18"/>
              </w:rPr>
              <w:t>~70%</w:t>
            </w:r>
          </w:p>
        </w:tc>
        <w:tc>
          <w:tcPr>
            <w:tcW w:type="dxa" w:w="1440"/>
          </w:tcPr>
          <w:p>
            <w:r>
              <w:rPr>
                <w:rFonts w:ascii="Times New Roman" w:hAnsi="Times New Roman"/>
                <w:sz w:val="18"/>
              </w:rPr>
              <w:t>0%</w:t>
            </w:r>
          </w:p>
        </w:tc>
        <w:tc>
          <w:tcPr>
            <w:tcW w:type="dxa" w:w="1440"/>
          </w:tcPr>
          <w:p>
            <w:r>
              <w:rPr>
                <w:rFonts w:ascii="Times New Roman" w:hAnsi="Times New Roman"/>
                <w:sz w:val="18"/>
              </w:rPr>
              <w:t>~50%</w:t>
            </w:r>
          </w:p>
        </w:tc>
        <w:tc>
          <w:tcPr>
            <w:tcW w:type="dxa" w:w="1440"/>
          </w:tcPr>
          <w:p>
            <w:r>
              <w:rPr>
                <w:rFonts w:ascii="Times New Roman" w:hAnsi="Times New Roman"/>
                <w:sz w:val="18"/>
              </w:rPr>
              <w:t>~45%</w:t>
            </w:r>
          </w:p>
        </w:tc>
      </w:tr>
      <w:tr>
        <w:tc>
          <w:tcPr>
            <w:tcW w:type="dxa" w:w="1440"/>
          </w:tcPr>
          <w:p>
            <w:r>
              <w:rPr>
                <w:rFonts w:ascii="Times New Roman" w:hAnsi="Times New Roman"/>
                <w:sz w:val="18"/>
              </w:rPr>
              <w:t>Zone</w:t>
            </w:r>
          </w:p>
        </w:tc>
        <w:tc>
          <w:tcPr>
            <w:tcW w:type="dxa" w:w="1440"/>
          </w:tcPr>
          <w:p>
            <w:r>
              <w:rPr>
                <w:rFonts w:ascii="Times New Roman" w:hAnsi="Times New Roman"/>
                <w:sz w:val="18"/>
              </w:rPr>
              <w:t>~95%</w:t>
            </w:r>
          </w:p>
        </w:tc>
        <w:tc>
          <w:tcPr>
            <w:tcW w:type="dxa" w:w="1440"/>
          </w:tcPr>
          <w:p>
            <w:r>
              <w:rPr>
                <w:rFonts w:ascii="Times New Roman" w:hAnsi="Times New Roman"/>
                <w:sz w:val="18"/>
              </w:rPr>
              <w:t>~80%</w:t>
            </w:r>
          </w:p>
        </w:tc>
        <w:tc>
          <w:tcPr>
            <w:tcW w:type="dxa" w:w="1440"/>
          </w:tcPr>
          <w:p>
            <w:r>
              <w:rPr>
                <w:rFonts w:ascii="Times New Roman" w:hAnsi="Times New Roman"/>
                <w:sz w:val="18"/>
              </w:rPr>
              <w:t>~90%</w:t>
            </w:r>
          </w:p>
        </w:tc>
        <w:tc>
          <w:tcPr>
            <w:tcW w:type="dxa" w:w="1440"/>
          </w:tcPr>
          <w:p>
            <w:r>
              <w:rPr>
                <w:rFonts w:ascii="Times New Roman" w:hAnsi="Times New Roman"/>
                <w:sz w:val="18"/>
              </w:rPr>
              <w:t>~60%</w:t>
            </w:r>
          </w:p>
        </w:tc>
        <w:tc>
          <w:tcPr>
            <w:tcW w:type="dxa" w:w="1440"/>
          </w:tcPr>
          <w:p>
            <w:r>
              <w:rPr>
                <w:rFonts w:ascii="Times New Roman" w:hAnsi="Times New Roman"/>
                <w:sz w:val="18"/>
              </w:rPr>
              <w:t>~50%</w:t>
            </w:r>
          </w:p>
        </w:tc>
      </w:tr>
      <w:tr>
        <w:tc>
          <w:tcPr>
            <w:tcW w:type="dxa" w:w="1440"/>
          </w:tcPr>
          <w:p>
            <w:r>
              <w:rPr>
                <w:rFonts w:ascii="Times New Roman" w:hAnsi="Times New Roman"/>
                <w:sz w:val="18"/>
              </w:rPr>
              <w:t>Orientation</w:t>
            </w:r>
          </w:p>
        </w:tc>
        <w:tc>
          <w:tcPr>
            <w:tcW w:type="dxa" w:w="1440"/>
          </w:tcPr>
          <w:p>
            <w:r>
              <w:rPr>
                <w:rFonts w:ascii="Times New Roman" w:hAnsi="Times New Roman"/>
                <w:sz w:val="18"/>
              </w:rPr>
              <w:t>~30%</w:t>
            </w:r>
          </w:p>
        </w:tc>
        <w:tc>
          <w:tcPr>
            <w:tcW w:type="dxa" w:w="1440"/>
          </w:tcPr>
          <w:p>
            <w:r>
              <w:rPr>
                <w:rFonts w:ascii="Times New Roman" w:hAnsi="Times New Roman"/>
                <w:sz w:val="18"/>
              </w:rPr>
              <w:t>~10%</w:t>
            </w:r>
          </w:p>
        </w:tc>
        <w:tc>
          <w:tcPr>
            <w:tcW w:type="dxa" w:w="1440"/>
          </w:tcPr>
          <w:p>
            <w:r>
              <w:rPr>
                <w:rFonts w:ascii="Times New Roman" w:hAnsi="Times New Roman"/>
                <w:sz w:val="18"/>
              </w:rPr>
              <w:t>0%</w:t>
            </w:r>
          </w:p>
        </w:tc>
        <w:tc>
          <w:tcPr>
            <w:tcW w:type="dxa" w:w="1440"/>
          </w:tcPr>
          <w:p>
            <w:r>
              <w:rPr>
                <w:rFonts w:ascii="Times New Roman" w:hAnsi="Times New Roman"/>
                <w:sz w:val="18"/>
              </w:rPr>
              <w:t>~5%</w:t>
            </w:r>
          </w:p>
        </w:tc>
        <w:tc>
          <w:tcPr>
            <w:tcW w:type="dxa" w:w="1440"/>
          </w:tcPr>
          <w:p>
            <w:r>
              <w:rPr>
                <w:rFonts w:ascii="Times New Roman" w:hAnsi="Times New Roman"/>
                <w:sz w:val="18"/>
              </w:rPr>
              <w:t>~5%</w:t>
            </w:r>
          </w:p>
        </w:tc>
      </w:tr>
      <w:tr>
        <w:tc>
          <w:tcPr>
            <w:tcW w:type="dxa" w:w="1440"/>
          </w:tcPr>
          <w:p>
            <w:r>
              <w:rPr>
                <w:rFonts w:ascii="Times New Roman" w:hAnsi="Times New Roman"/>
                <w:sz w:val="18"/>
              </w:rPr>
              <w:t>Exterior</w:t>
            </w:r>
          </w:p>
        </w:tc>
        <w:tc>
          <w:tcPr>
            <w:tcW w:type="dxa" w:w="1440"/>
          </w:tcPr>
          <w:p>
            <w:r>
              <w:rPr>
                <w:rFonts w:ascii="Times New Roman" w:hAnsi="Times New Roman"/>
                <w:sz w:val="18"/>
              </w:rPr>
              <w:t>~20%</w:t>
            </w:r>
          </w:p>
        </w:tc>
        <w:tc>
          <w:tcPr>
            <w:tcW w:type="dxa" w:w="1440"/>
          </w:tcPr>
          <w:p>
            <w:r>
              <w:rPr>
                <w:rFonts w:ascii="Times New Roman" w:hAnsi="Times New Roman"/>
                <w:sz w:val="18"/>
              </w:rPr>
              <w:t>~8%</w:t>
            </w:r>
          </w:p>
        </w:tc>
        <w:tc>
          <w:tcPr>
            <w:tcW w:type="dxa" w:w="1440"/>
          </w:tcPr>
          <w:p>
            <w:r>
              <w:rPr>
                <w:rFonts w:ascii="Times New Roman" w:hAnsi="Times New Roman"/>
                <w:sz w:val="18"/>
              </w:rPr>
              <w:t>0%</w:t>
            </w:r>
          </w:p>
        </w:tc>
        <w:tc>
          <w:tcPr>
            <w:tcW w:type="dxa" w:w="1440"/>
          </w:tcPr>
          <w:p>
            <w:r>
              <w:rPr>
                <w:rFonts w:ascii="Times New Roman" w:hAnsi="Times New Roman"/>
                <w:sz w:val="18"/>
              </w:rPr>
              <w:t>~5%</w:t>
            </w:r>
          </w:p>
        </w:tc>
        <w:tc>
          <w:tcPr>
            <w:tcW w:type="dxa" w:w="1440"/>
          </w:tcPr>
          <w:p>
            <w:r>
              <w:rPr>
                <w:rFonts w:ascii="Times New Roman" w:hAnsi="Times New Roman"/>
                <w:sz w:val="18"/>
              </w:rPr>
              <w:t>~3%</w:t>
            </w:r>
          </w:p>
        </w:tc>
      </w:tr>
    </w:tbl>
    <w:p>
      <w:r>
        <w:rPr>
          <w:rFonts w:ascii="Times New Roman" w:hAnsi="Times New Roman"/>
          <w:i/>
          <w:sz w:val="20"/>
        </w:rPr>
        <w:t>Note: Percentages marked with ~ are approximate, derived from field completeness analysis on the full dataset. Price, size, and district are at 100% because the ingestion pipeline requires all three as a quality filter. Redpiso's 0% on condition, floor, and orientation reflects limitations of their JSON API endpoint, which does not include these fields.</w:t>
      </w:r>
    </w:p>
    <w:p/>
    <w:p>
      <w:pPr>
        <w:pStyle w:val="Heading2"/>
      </w:pPr>
      <w:r>
        <w:rPr>
          <w:rFonts w:ascii="Times New Roman" w:hAnsi="Times New Roman"/>
        </w:rPr>
        <w:t>H. Analytics: Upside Calculation Definitions</w:t>
      </w:r>
    </w:p>
    <w:p>
      <w:r>
        <w:rPr>
          <w:rFonts w:ascii="Times New Roman" w:hAnsi="Times New Roman"/>
        </w:rPr>
        <w:t>Table A4. Three upside comparison layers used in the analytics dashboard.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Layer</w:t>
            </w:r>
          </w:p>
        </w:tc>
        <w:tc>
          <w:tcPr>
            <w:tcW w:type="dxa" w:w="2160"/>
          </w:tcPr>
          <w:p>
            <w:r>
              <w:rPr>
                <w:rFonts w:ascii="Times New Roman" w:hAnsi="Times New Roman"/>
                <w:b/>
                <w:sz w:val="20"/>
              </w:rPr>
              <w:t>Numerator (Buy)</w:t>
            </w:r>
          </w:p>
        </w:tc>
        <w:tc>
          <w:tcPr>
            <w:tcW w:type="dxa" w:w="2160"/>
          </w:tcPr>
          <w:p>
            <w:r>
              <w:rPr>
                <w:rFonts w:ascii="Times New Roman" w:hAnsi="Times New Roman"/>
                <w:b/>
                <w:sz w:val="20"/>
              </w:rPr>
              <w:t>Denominator (Sell)</w:t>
            </w:r>
          </w:p>
        </w:tc>
        <w:tc>
          <w:tcPr>
            <w:tcW w:type="dxa" w:w="2160"/>
          </w:tcPr>
          <w:p>
            <w:r>
              <w:rPr>
                <w:rFonts w:ascii="Times New Roman" w:hAnsi="Times New Roman"/>
                <w:b/>
                <w:sz w:val="20"/>
              </w:rPr>
              <w:t>Interpretation</w:t>
            </w:r>
          </w:p>
        </w:tc>
      </w:tr>
      <w:tr>
        <w:tc>
          <w:tcPr>
            <w:tcW w:type="dxa" w:w="2160"/>
          </w:tcPr>
          <w:p>
            <w:r>
              <w:rPr>
                <w:rFonts w:ascii="Times New Roman" w:hAnsi="Times New Roman"/>
                <w:sz w:val="18"/>
              </w:rPr>
              <w:t>Conservative upside</w:t>
            </w:r>
          </w:p>
        </w:tc>
        <w:tc>
          <w:tcPr>
            <w:tcW w:type="dxa" w:w="2160"/>
          </w:tcPr>
          <w:p>
            <w:r>
              <w:rPr>
                <w:rFonts w:ascii="Times New Roman" w:hAnsi="Times New Roman"/>
                <w:sz w:val="18"/>
              </w:rPr>
              <w:t>Portal asking price, "a reformar"</w:t>
            </w:r>
          </w:p>
        </w:tc>
        <w:tc>
          <w:tcPr>
            <w:tcW w:type="dxa" w:w="2160"/>
          </w:tcPr>
          <w:p>
            <w:r>
              <w:rPr>
                <w:rFonts w:ascii="Times New Roman" w:hAnsi="Times New Roman"/>
                <w:sz w:val="18"/>
              </w:rPr>
              <w:t>Notary closing price, "nueva"</w:t>
            </w:r>
          </w:p>
        </w:tc>
        <w:tc>
          <w:tcPr>
            <w:tcW w:type="dxa" w:w="2160"/>
          </w:tcPr>
          <w:p>
            <w:r>
              <w:rPr>
                <w:rFonts w:ascii="Times New Roman" w:hAnsi="Times New Roman"/>
                <w:sz w:val="18"/>
              </w:rPr>
              <w:t>Buy at what sellers ask for renovation candidates; sell at what the market actually pays for new-build quality. Most reliable because the exit price is a real transaction average, not an asking price.</w:t>
            </w:r>
          </w:p>
        </w:tc>
      </w:tr>
      <w:tr>
        <w:tc>
          <w:tcPr>
            <w:tcW w:type="dxa" w:w="2160"/>
          </w:tcPr>
          <w:p>
            <w:r>
              <w:rPr>
                <w:rFonts w:ascii="Times New Roman" w:hAnsi="Times New Roman"/>
                <w:sz w:val="18"/>
              </w:rPr>
              <w:t>Optimistic upside</w:t>
            </w:r>
          </w:p>
        </w:tc>
        <w:tc>
          <w:tcPr>
            <w:tcW w:type="dxa" w:w="2160"/>
          </w:tcPr>
          <w:p>
            <w:r>
              <w:rPr>
                <w:rFonts w:ascii="Times New Roman" w:hAnsi="Times New Roman"/>
                <w:sz w:val="18"/>
              </w:rPr>
              <w:t>Portal asking price, "a reformar"</w:t>
            </w:r>
          </w:p>
        </w:tc>
        <w:tc>
          <w:tcPr>
            <w:tcW w:type="dxa" w:w="2160"/>
          </w:tcPr>
          <w:p>
            <w:r>
              <w:rPr>
                <w:rFonts w:ascii="Times New Roman" w:hAnsi="Times New Roman"/>
                <w:sz w:val="18"/>
              </w:rPr>
              <w:t>Portal asking price, "buen estado"</w:t>
            </w:r>
          </w:p>
        </w:tc>
        <w:tc>
          <w:tcPr>
            <w:tcW w:type="dxa" w:w="2160"/>
          </w:tcPr>
          <w:p>
            <w:r>
              <w:rPr>
                <w:rFonts w:ascii="Times New Roman" w:hAnsi="Times New Roman"/>
                <w:sz w:val="18"/>
              </w:rPr>
              <w:t>Both are asking prices from portals, so both carry seller-side inflation. The spread is still informative because the bias is similar on both sides, but actual profits will be smaller.</w:t>
            </w:r>
          </w:p>
        </w:tc>
      </w:tr>
      <w:tr>
        <w:tc>
          <w:tcPr>
            <w:tcW w:type="dxa" w:w="2160"/>
          </w:tcPr>
          <w:p>
            <w:r>
              <w:rPr>
                <w:rFonts w:ascii="Times New Roman" w:hAnsi="Times New Roman"/>
                <w:sz w:val="18"/>
              </w:rPr>
              <w:t>Market ceiling</w:t>
            </w:r>
          </w:p>
        </w:tc>
        <w:tc>
          <w:tcPr>
            <w:tcW w:type="dxa" w:w="2160"/>
          </w:tcPr>
          <w:p>
            <w:r>
              <w:rPr>
                <w:rFonts w:ascii="Times New Roman" w:hAnsi="Times New Roman"/>
                <w:sz w:val="18"/>
              </w:rPr>
              <w:t>Notary closing price, "segunda mano"</w:t>
            </w:r>
          </w:p>
        </w:tc>
        <w:tc>
          <w:tcPr>
            <w:tcW w:type="dxa" w:w="2160"/>
          </w:tcPr>
          <w:p>
            <w:r>
              <w:rPr>
                <w:rFonts w:ascii="Times New Roman" w:hAnsi="Times New Roman"/>
                <w:sz w:val="18"/>
              </w:rPr>
              <w:t>Notary closing price, "nueva"</w:t>
            </w:r>
          </w:p>
        </w:tc>
        <w:tc>
          <w:tcPr>
            <w:tcW w:type="dxa" w:w="2160"/>
          </w:tcPr>
          <w:p>
            <w:r>
              <w:rPr>
                <w:rFonts w:ascii="Times New Roman" w:hAnsi="Times New Roman"/>
                <w:sz w:val="18"/>
              </w:rPr>
              <w:t>Both are real transaction prices from notary records. Shows the structural price gap between used and new-build properties — the theoretical maximum renovation premium if execution is perfect.</w:t>
            </w:r>
          </w:p>
        </w:tc>
      </w:tr>
    </w:tbl>
    <w:p/>
    <w:p>
      <w:pPr>
        <w:pStyle w:val="Heading2"/>
      </w:pPr>
      <w:r>
        <w:rPr>
          <w:rFonts w:ascii="Times New Roman" w:hAnsi="Times New Roman"/>
        </w:rPr>
        <w:t>I. Negotiation Margin Calculation</w:t>
      </w:r>
    </w:p>
    <w:p>
      <w:r>
        <w:rPr>
          <w:rFonts w:ascii="Times New Roman" w:hAnsi="Times New Roman"/>
          <w:b/>
          <w:sz w:val="24"/>
        </w:rPr>
        <w:t>Negotiation Margin (per district)</w:t>
      </w:r>
    </w:p>
    <w:p>
      <w:pPr>
        <w:jc w:val="center"/>
      </w:pPr>
      <w:r>
        <w:rPr>
          <w:rFonts w:ascii="Cambria Math" w:hAnsi="Cambria Math"/>
          <w:i/>
          <w:sz w:val="24"/>
        </w:rPr>
        <w:t>Margin_d = (Avg_asking_d - Avg_closing_d) / Avg_asking_d × 100%</w:t>
      </w:r>
    </w:p>
    <w:p>
      <w:r>
        <w:rPr>
          <w:rFonts w:ascii="Times New Roman" w:hAnsi="Times New Roman"/>
          <w:sz w:val="22"/>
        </w:rPr>
        <w:t>The percentage by which asking prices exceed actual closing prices in each district. Avg_asking comes from portal data (all conditions). Avg_closing comes from notary data (segunda mano construction type). A margin of 15% means sellers ask 15% more than buyers actually pay. Higher margins suggest more room for negotiation. Limitation: the comparison is approximate because portal and notary data cover different time periods and property mixes.</w:t>
      </w:r>
    </w:p>
    <w:p>
      <w:r>
        <w:rPr>
          <w:rFonts w:ascii="Times New Roman" w:hAnsi="Times New Roman"/>
          <w:b/>
          <w:sz w:val="22"/>
        </w:rPr>
        <w:t xml:space="preserve">Used in thesis: </w:t>
      </w:r>
      <w:r>
        <w:rPr>
          <w:rFonts w:ascii="Times New Roman" w:hAnsi="Times New Roman"/>
          <w:sz w:val="22"/>
        </w:rPr>
        <w:t>Analytics dashboard, Negotiation Margins section.</w:t>
      </w:r>
    </w:p>
    <w:p/>
    <w:p>
      <w:pPr>
        <w:pStyle w:val="Heading2"/>
      </w:pPr>
      <w:r>
        <w:rPr>
          <w:rFonts w:ascii="Times New Roman" w:hAnsi="Times New Roman"/>
        </w:rPr>
        <w:t>J. Dataset Size Reconciliation</w:t>
      </w:r>
    </w:p>
    <w:p>
      <w:r>
        <w:rPr>
          <w:rFonts w:ascii="Times New Roman" w:hAnsi="Times New Roman"/>
        </w:rPr>
        <w:t>Table A5. Reconciliation of dataset sizes mentioned in the thesis.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Count</w:t>
            </w:r>
          </w:p>
        </w:tc>
        <w:tc>
          <w:tcPr>
            <w:tcW w:type="dxa" w:w="2880"/>
          </w:tcPr>
          <w:p>
            <w:r>
              <w:rPr>
                <w:rFonts w:ascii="Times New Roman" w:hAnsi="Times New Roman"/>
                <w:b/>
                <w:sz w:val="20"/>
              </w:rPr>
              <w:t>Where used</w:t>
            </w:r>
          </w:p>
        </w:tc>
        <w:tc>
          <w:tcPr>
            <w:tcW w:type="dxa" w:w="2880"/>
          </w:tcPr>
          <w:p>
            <w:r>
              <w:rPr>
                <w:rFonts w:ascii="Times New Roman" w:hAnsi="Times New Roman"/>
                <w:b/>
                <w:sz w:val="20"/>
              </w:rPr>
              <w:t>Explanation</w:t>
            </w:r>
          </w:p>
        </w:tc>
      </w:tr>
      <w:tr>
        <w:tc>
          <w:tcPr>
            <w:tcW w:type="dxa" w:w="2880"/>
          </w:tcPr>
          <w:p>
            <w:r>
              <w:rPr>
                <w:rFonts w:ascii="Times New Roman" w:hAnsi="Times New Roman"/>
                <w:sz w:val="20"/>
              </w:rPr>
              <w:t>4,432</w:t>
            </w:r>
          </w:p>
        </w:tc>
        <w:tc>
          <w:tcPr>
            <w:tcW w:type="dxa" w:w="2880"/>
          </w:tcPr>
          <w:p>
            <w:r>
              <w:rPr>
                <w:rFonts w:ascii="Times New Roman" w:hAnsi="Times New Roman"/>
                <w:sz w:val="20"/>
              </w:rPr>
              <w:t>EDA chapter ("The system collected 4,432 property listings")</w:t>
            </w:r>
          </w:p>
        </w:tc>
        <w:tc>
          <w:tcPr>
            <w:tcW w:type="dxa" w:w="2880"/>
          </w:tcPr>
          <w:p>
            <w:r>
              <w:rPr>
                <w:rFonts w:ascii="Times New Roman" w:hAnsi="Times New Roman"/>
                <w:sz w:val="20"/>
              </w:rPr>
              <w:t>Total deals in database after all scraping cycles. This is the full dataset before any ML filtering.</w:t>
            </w:r>
          </w:p>
        </w:tc>
      </w:tr>
      <w:tr>
        <w:tc>
          <w:tcPr>
            <w:tcW w:type="dxa" w:w="2880"/>
          </w:tcPr>
          <w:p>
            <w:r>
              <w:rPr>
                <w:rFonts w:ascii="Times New Roman" w:hAnsi="Times New Roman"/>
                <w:sz w:val="20"/>
              </w:rPr>
              <w:t>4,425</w:t>
            </w:r>
          </w:p>
        </w:tc>
        <w:tc>
          <w:tcPr>
            <w:tcW w:type="dxa" w:w="2880"/>
          </w:tcPr>
          <w:p>
            <w:r>
              <w:rPr>
                <w:rFonts w:ascii="Times New Roman" w:hAnsi="Times New Roman"/>
                <w:sz w:val="20"/>
              </w:rPr>
              <w:t>ML chapter, Abstract, model metrics</w:t>
            </w:r>
          </w:p>
        </w:tc>
        <w:tc>
          <w:tcPr>
            <w:tcW w:type="dxa" w:w="2880"/>
          </w:tcPr>
          <w:p>
            <w:r>
              <w:rPr>
                <w:rFonts w:ascii="Times New Roman" w:hAnsi="Times New Roman"/>
                <w:sz w:val="20"/>
              </w:rPr>
              <w:t>Deals remaining after removing 7 outliers with price/sqm &lt; 500 or &gt; 25,000 EUR. This is the ML training set.</w:t>
            </w:r>
          </w:p>
        </w:tc>
      </w:tr>
      <w:tr>
        <w:tc>
          <w:tcPr>
            <w:tcW w:type="dxa" w:w="2880"/>
          </w:tcPr>
          <w:p>
            <w:r>
              <w:rPr>
                <w:rFonts w:ascii="Times New Roman" w:hAnsi="Times New Roman"/>
                <w:sz w:val="20"/>
              </w:rPr>
              <w:t>~4,400</w:t>
            </w:r>
          </w:p>
        </w:tc>
        <w:tc>
          <w:tcPr>
            <w:tcW w:type="dxa" w:w="2880"/>
          </w:tcPr>
          <w:p>
            <w:r>
              <w:rPr>
                <w:rFonts w:ascii="Times New Roman" w:hAnsi="Times New Roman"/>
                <w:sz w:val="20"/>
              </w:rPr>
              <w:t>Conclusions</w:t>
            </w:r>
          </w:p>
        </w:tc>
        <w:tc>
          <w:tcPr>
            <w:tcW w:type="dxa" w:w="2880"/>
          </w:tcPr>
          <w:p>
            <w:r>
              <w:rPr>
                <w:rFonts w:ascii="Times New Roman" w:hAnsi="Times New Roman"/>
                <w:sz w:val="20"/>
              </w:rPr>
              <w:t>Rounded figure referencing the approximate dataset size. Should say "over 4,400" for clarity.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