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References</w:t>
      </w:r>
    </w:p>
    <w:p>
      <w:pPr>
        <w:spacing w:after="120"/>
        <w:ind w:left="720" w:hanging="720"/>
      </w:pPr>
      <w:r>
        <w:rPr>
          <w:rFonts w:ascii="Times New Roman" w:hAnsi="Times New Roman"/>
          <w:sz w:val="24"/>
        </w:rPr>
        <w:t>Akerlof, G. A. (1970). The market for "lemons": Quality uncertainty and the market mechanism. The Quarterly Journal of Economics, 84(3), 488–500. https://doi.org/10.2307/1879431</w:t>
      </w:r>
    </w:p>
    <w:p>
      <w:pPr>
        <w:spacing w:after="120"/>
        <w:ind w:left="720" w:hanging="720"/>
      </w:pPr>
      <w:r>
        <w:rPr>
          <w:rFonts w:ascii="Times New Roman" w:hAnsi="Times New Roman"/>
          <w:sz w:val="24"/>
        </w:rPr>
        <w:t>Anaconda. (2020). State of data science 2020: Moving from hype to productivity. Anaconda Inc. https://www.anaconda.com/state-of-data-science-2020</w:t>
      </w:r>
    </w:p>
    <w:p>
      <w:pPr>
        <w:spacing w:after="120"/>
        <w:ind w:left="720" w:hanging="720"/>
      </w:pPr>
      <w:r>
        <w:rPr>
          <w:rFonts w:ascii="Times New Roman" w:hAnsi="Times New Roman"/>
          <w:sz w:val="24"/>
        </w:rPr>
        <w:t>Ayuntamiento de Madrid. (n.d.). Datos abiertos del Ayuntamiento de Madrid: Catastro y urbanismo [Open data portal]. https://datos.madrid.es/</w:t>
      </w:r>
    </w:p>
    <w:p>
      <w:pPr>
        <w:spacing w:after="120"/>
        <w:ind w:left="720" w:hanging="720"/>
      </w:pPr>
      <w:r>
        <w:rPr>
          <w:rFonts w:ascii="Times New Roman" w:hAnsi="Times New Roman"/>
          <w:sz w:val="24"/>
        </w:rPr>
        <w:t>Baldominos, A., Blanco, I., Moreno, A. J., Iturrarte, R., Bernárdez, Ó., &amp; Afonso, C. (2018). Identifying real estate opportunities using machine learning. Applied Sciences, 8(11), 2321. https://doi.org/10.3390/app8112321</w:t>
      </w:r>
    </w:p>
    <w:p>
      <w:pPr>
        <w:spacing w:after="120"/>
        <w:ind w:left="720" w:hanging="720"/>
      </w:pPr>
      <w:r>
        <w:rPr>
          <w:rFonts w:ascii="Times New Roman" w:hAnsi="Times New Roman"/>
          <w:sz w:val="24"/>
        </w:rPr>
        <w:t>Baum, A. (2017). PropTech 3.0: The future of real estate. University of Oxford Research. https://www.sbs.ox.ac.uk/sites/default/files/2019-01/PropTech3.0.pdf</w:t>
      </w:r>
    </w:p>
    <w:p>
      <w:pPr>
        <w:spacing w:after="120"/>
        <w:ind w:left="720" w:hanging="720"/>
      </w:pPr>
      <w:r>
        <w:rPr>
          <w:rFonts w:ascii="Times New Roman" w:hAnsi="Times New Roman"/>
          <w:sz w:val="24"/>
        </w:rPr>
        <w:t>BBVA Research. (2024). Spain housing market outlook 2024. BBVA Research Publications.</w:t>
      </w:r>
    </w:p>
    <w:p>
      <w:pPr>
        <w:spacing w:after="120"/>
        <w:ind w:left="720" w:hanging="720"/>
      </w:pPr>
      <w:r>
        <w:rPr>
          <w:rFonts w:ascii="Times New Roman" w:hAnsi="Times New Roman"/>
          <w:sz w:val="24"/>
        </w:rPr>
        <w:t>Bergadano, F., Bosio, G., &amp; Vinciguerra, D. (2019). Automated valuation models: Accuracy and limitations. In Proceedings of the International Conference on Real Estate Valuation (pp. 1–12).</w:t>
      </w:r>
    </w:p>
    <w:p>
      <w:pPr>
        <w:spacing w:after="120"/>
        <w:ind w:left="720" w:hanging="720"/>
      </w:pPr>
      <w:r>
        <w:rPr>
          <w:rFonts w:ascii="Times New Roman" w:hAnsi="Times New Roman"/>
          <w:sz w:val="24"/>
        </w:rPr>
        <w:t>Braesemann, F., &amp; Baum, A. (2020). PropTech: Turning real estate into a data-driven market? (Working Paper). University of Oxford, Saïd Business School.</w:t>
      </w:r>
    </w:p>
    <w:p>
      <w:pPr>
        <w:spacing w:after="120"/>
        <w:ind w:left="720" w:hanging="720"/>
      </w:pPr>
      <w:r>
        <w:rPr>
          <w:rFonts w:ascii="Times New Roman" w:hAnsi="Times New Roman"/>
          <w:sz w:val="24"/>
        </w:rPr>
        <w:t>Broxterman, D. A., &amp; Zhou, T. (2022). Information frictions in real estate markets: Recent evidence and issues. Journal of Real Estate Research, 44(2), 137–170. https://doi.org/10.1080/08965803.2022.2058451</w:t>
      </w:r>
    </w:p>
    <w:p>
      <w:pPr>
        <w:spacing w:after="120"/>
        <w:ind w:left="720" w:hanging="720"/>
      </w:pPr>
      <w:r>
        <w:rPr>
          <w:rFonts w:ascii="Times New Roman" w:hAnsi="Times New Roman"/>
          <w:sz w:val="24"/>
        </w:rPr>
        <w:t>CaixaBank Research. (2024). El mercado de la vivienda en España: Situación y perspectivas. CaixaBank Research Monthly Report.</w:t>
      </w:r>
    </w:p>
    <w:p>
      <w:pPr>
        <w:spacing w:after="120"/>
        <w:ind w:left="720" w:hanging="720"/>
      </w:pPr>
      <w:r>
        <w:rPr>
          <w:rFonts w:ascii="Times New Roman" w:hAnsi="Times New Roman"/>
          <w:sz w:val="24"/>
        </w:rPr>
        <w:t>CBRE. (2024). Real estate investment market Spain 2024 report. CBRE Research.</w:t>
      </w:r>
    </w:p>
    <w:p>
      <w:pPr>
        <w:spacing w:after="120"/>
        <w:ind w:left="720" w:hanging="720"/>
      </w:pPr>
      <w:r>
        <w:rPr>
          <w:rFonts w:ascii="Times New Roman" w:hAnsi="Times New Roman"/>
          <w:sz w:val="24"/>
        </w:rPr>
        <w:t>Chen, T., &amp; Guestrin, C. (2016). XGBoost: A scalable tree boosting system. In Proceedings of the 22nd ACM SIGKDD International Conference on Knowledge Discovery and Data Mining (pp. 785–794). https://doi.org/10.1145/2939672.2939785</w:t>
      </w:r>
    </w:p>
    <w:p>
      <w:pPr>
        <w:spacing w:after="120"/>
        <w:ind w:left="720" w:hanging="720"/>
      </w:pPr>
      <w:r>
        <w:rPr>
          <w:rFonts w:ascii="Times New Roman" w:hAnsi="Times New Roman"/>
          <w:sz w:val="24"/>
        </w:rPr>
        <w:t>Chervachidze, S., Costello, J., &amp; Wheaton, W. (2009). The secular and cyclic determinants of capitalization rates: The role of property fundamentals, macroeconomic factors, and "structural changes." Journal of Portfolio Management, 35(5), 50–69.</w:t>
      </w:r>
    </w:p>
    <w:p>
      <w:pPr>
        <w:spacing w:after="120"/>
        <w:ind w:left="720" w:hanging="720"/>
      </w:pPr>
      <w:r>
        <w:rPr>
          <w:rFonts w:ascii="Times New Roman" w:hAnsi="Times New Roman"/>
          <w:sz w:val="24"/>
        </w:rPr>
        <w:t>Chinco, A., &amp; Mayer, C. (2016). Misinformed speculators and mispricing in the housing market. The Review of Financial Studies, 29(2), 486–522. https://doi.org/10.1093/rfs/hhv061</w:t>
      </w:r>
    </w:p>
    <w:p>
      <w:pPr>
        <w:spacing w:after="120"/>
        <w:ind w:left="720" w:hanging="720"/>
      </w:pPr>
      <w:r>
        <w:rPr>
          <w:rFonts w:ascii="Times New Roman" w:hAnsi="Times New Roman"/>
          <w:sz w:val="24"/>
        </w:rPr>
        <w:t>CrowdFlower. (2016). Data science report 2016. CrowdFlower Inc.</w:t>
      </w:r>
    </w:p>
    <w:p>
      <w:pPr>
        <w:spacing w:after="120"/>
        <w:ind w:left="720" w:hanging="720"/>
      </w:pPr>
      <w:r>
        <w:rPr>
          <w:rFonts w:ascii="Times New Roman" w:hAnsi="Times New Roman"/>
          <w:sz w:val="24"/>
        </w:rPr>
        <w:t>Del Giudice, V., De Paola, P., Manganelli, B., &amp; Forte, F. (2019). The monetary valuation of environmental externalities through the analysis of real estate prices. Sustainability, 11(9), 2107. https://doi.org/10.3390/su11092107</w:t>
      </w:r>
    </w:p>
    <w:p>
      <w:pPr>
        <w:spacing w:after="120"/>
        <w:ind w:left="720" w:hanging="720"/>
      </w:pPr>
      <w:r>
        <w:rPr>
          <w:rFonts w:ascii="Times New Roman" w:hAnsi="Times New Roman"/>
          <w:sz w:val="24"/>
        </w:rPr>
        <w:t>European PropTech Association. (2025). PropTech in Europe: Companies, trends, and investment landscape. European PropTech Report.</w:t>
      </w:r>
    </w:p>
    <w:p>
      <w:pPr>
        <w:spacing w:after="120"/>
        <w:ind w:left="720" w:hanging="720"/>
      </w:pPr>
      <w:r>
        <w:rPr>
          <w:rFonts w:ascii="Times New Roman" w:hAnsi="Times New Roman"/>
          <w:sz w:val="24"/>
        </w:rPr>
        <w:t>Garmaise, M. J., &amp; Moskowitz, T. J. (2004). Confronting information asymmetries: Evidence from real estate markets. The Review of Financial Studies, 17(2), 405–437. https://doi.org/10.1093/rfs/hhg037</w:t>
      </w:r>
    </w:p>
    <w:p>
      <w:pPr>
        <w:spacing w:after="120"/>
        <w:ind w:left="720" w:hanging="720"/>
      </w:pPr>
      <w:r>
        <w:rPr>
          <w:rFonts w:ascii="Times New Roman" w:hAnsi="Times New Roman"/>
          <w:sz w:val="24"/>
        </w:rPr>
        <w:t>Geltner, D., Miller, N. G., Clayton, J., &amp; Eichholtz, P. (2014). Commercial real estate analysis and investments (3rd ed.). OnCourse Learning.</w:t>
      </w:r>
    </w:p>
    <w:p>
      <w:pPr>
        <w:spacing w:after="120"/>
        <w:ind w:left="720" w:hanging="720"/>
      </w:pPr>
      <w:r>
        <w:rPr>
          <w:rFonts w:ascii="Times New Roman" w:hAnsi="Times New Roman"/>
          <w:sz w:val="24"/>
        </w:rPr>
        <w:t>Grossman, S. J., &amp; Stiglitz, J. E. (1980). On the impossibility of informationally efficient markets. The American Economic Review, 70(3), 393–408.</w:t>
      </w:r>
    </w:p>
    <w:p>
      <w:pPr>
        <w:spacing w:after="120"/>
        <w:ind w:left="720" w:hanging="720"/>
      </w:pPr>
      <w:r>
        <w:rPr>
          <w:rFonts w:ascii="Times New Roman" w:hAnsi="Times New Roman"/>
          <w:sz w:val="24"/>
        </w:rPr>
        <w:t>Hazeem, M., &amp; AlBurshaid, M. (2024). Data fragmentation challenges in real estate decision-making: A systematic review. Journal of Property Investment &amp; Finance, 42(1), 45–62.</w:t>
      </w:r>
    </w:p>
    <w:p>
      <w:pPr>
        <w:spacing w:after="120"/>
        <w:ind w:left="720" w:hanging="720"/>
      </w:pPr>
      <w:r>
        <w:rPr>
          <w:rFonts w:ascii="Times New Roman" w:hAnsi="Times New Roman"/>
          <w:sz w:val="24"/>
        </w:rPr>
        <w:t>JLL. (2024). Global Real Estate Transparency Index 2024. Jones Lang LaSalle.</w:t>
      </w:r>
    </w:p>
    <w:p>
      <w:pPr>
        <w:spacing w:after="120"/>
        <w:ind w:left="720" w:hanging="720"/>
      </w:pPr>
      <w:r>
        <w:rPr>
          <w:rFonts w:ascii="Times New Roman" w:hAnsi="Times New Roman"/>
          <w:sz w:val="24"/>
        </w:rPr>
        <w:t>JLL. (2025). Global Real Estate Technology Survey 2025. Jones Lang LaSalle.</w:t>
      </w:r>
    </w:p>
    <w:p>
      <w:pPr>
        <w:spacing w:after="120"/>
        <w:ind w:left="720" w:hanging="720"/>
      </w:pPr>
      <w:r>
        <w:rPr>
          <w:rFonts w:ascii="Times New Roman" w:hAnsi="Times New Roman"/>
          <w:sz w:val="24"/>
        </w:rPr>
        <w:t>Kok, N., Koponen, E. L., &amp; Martínez-Barbosa, C. A. (2017). Big data in real estate? From manual appraisal to automated valuation. Journal of Portfolio Management, 43(6), 202–211. https://doi.org/10.3905/jpm.2017.43.6.202</w:t>
      </w:r>
    </w:p>
    <w:p>
      <w:pPr>
        <w:spacing w:after="120"/>
        <w:ind w:left="720" w:hanging="720"/>
      </w:pPr>
      <w:r>
        <w:rPr>
          <w:rFonts w:ascii="Times New Roman" w:hAnsi="Times New Roman"/>
          <w:sz w:val="24"/>
        </w:rPr>
        <w:t>Levitt, S. D., &amp; Syverson, C. (2008). Market distortions when agents are better informed: The value of information in real estate transactions. The Review of Economics and Statistics, 90(4), 599–611. https://doi.org/10.1162/rest.90.4.599</w:t>
      </w:r>
    </w:p>
    <w:p>
      <w:pPr>
        <w:spacing w:after="120"/>
        <w:ind w:left="720" w:hanging="720"/>
      </w:pPr>
      <w:r>
        <w:rPr>
          <w:rFonts w:ascii="Times New Roman" w:hAnsi="Times New Roman"/>
          <w:sz w:val="24"/>
        </w:rPr>
        <w:t>Maps PropTech API. (2025). PropTech adoption survey Spain 2025: Tech stack, barriers, and automation needs. Maps PropTech API Annual Report.</w:t>
      </w:r>
    </w:p>
    <w:p>
      <w:pPr>
        <w:spacing w:after="120"/>
        <w:ind w:left="720" w:hanging="720"/>
      </w:pPr>
      <w:r>
        <w:rPr>
          <w:rFonts w:ascii="Times New Roman" w:hAnsi="Times New Roman"/>
          <w:sz w:val="24"/>
        </w:rPr>
        <w:t>Mora-Garcia, R. T., Céspedes-López, M. F., &amp; Pérez-Sánchez, V. R. (2022). Housing price prediction using machine learning algorithms in COVID-19 times. Land, 11(11), 2100. https://doi.org/10.3390/land11112100</w:t>
      </w:r>
    </w:p>
    <w:p>
      <w:pPr>
        <w:spacing w:after="120"/>
        <w:ind w:left="720" w:hanging="720"/>
      </w:pPr>
      <w:r>
        <w:rPr>
          <w:rFonts w:ascii="Times New Roman" w:hAnsi="Times New Roman"/>
          <w:sz w:val="24"/>
        </w:rPr>
        <w:t>PwC &amp; ULI. (2025). Emerging trends in real estate: Europe 2025. PricewaterhouseCoopers &amp; Urban Land Institute.</w:t>
      </w:r>
    </w:p>
    <w:p>
      <w:pPr>
        <w:spacing w:after="120"/>
        <w:ind w:left="720" w:hanging="720"/>
      </w:pPr>
      <w:r>
        <w:rPr>
          <w:rFonts w:ascii="Times New Roman" w:hAnsi="Times New Roman"/>
          <w:sz w:val="24"/>
        </w:rPr>
        <w:t>Rico-Juan, J. R., &amp; Taltavull de La Paz, P. (2021). Machine learning with explainability or spatial hedonics tools? An analysis of the asking prices in the housing market in Alicante, Spain. Expert Systems with Applications, 171, 114590. https://doi.org/10.1016/j.eswa.2021.114590</w:t>
      </w:r>
    </w:p>
    <w:p>
      <w:pPr>
        <w:spacing w:after="120"/>
        <w:ind w:left="720" w:hanging="720"/>
      </w:pPr>
      <w:r>
        <w:rPr>
          <w:rFonts w:ascii="Times New Roman" w:hAnsi="Times New Roman"/>
          <w:sz w:val="24"/>
        </w:rPr>
        <w:t>Rosen, S. (1974). Hedonic prices and implicit markets: Product differentiation in pure competition. Journal of Political Economy, 82(1), 34–55. https://doi.org/10.1086/260169</w:t>
      </w:r>
    </w:p>
    <w:p>
      <w:pPr>
        <w:spacing w:after="120"/>
        <w:ind w:left="720" w:hanging="720"/>
      </w:pPr>
      <w:r>
        <w:rPr>
          <w:rFonts w:ascii="Times New Roman" w:hAnsi="Times New Roman"/>
          <w:sz w:val="24"/>
        </w:rPr>
        <w:t>Ullah, F., Sepasgozar, S. M. E., &amp; Wang, C. (2018). A systematic review of smart real estate technology: Drivers of, and barriers to, the use of digital disruptive technologies and online platforms. Sustainability, 10(9), 3142. https://doi.org/10.3390/su10093142</w:t>
      </w:r>
    </w:p>
    <w:p>
      <w:pPr>
        <w:spacing w:after="120"/>
        <w:ind w:left="720" w:hanging="720"/>
      </w:pPr>
      <w:r>
        <w:rPr>
          <w:rFonts w:ascii="Times New Roman" w:hAnsi="Times New Roman"/>
          <w:sz w:val="24"/>
        </w:rPr>
        <w:t>v7 Labs. (2026). AI in real estate: Key use cases, solutions, and challenges. Retrieved from https://www.v7labs.com/blog/best-ai-tools-for-real-estate</w:t>
      </w:r>
    </w:p>
    <w:p>
      <w:pPr>
        <w:spacing w:after="120"/>
        <w:ind w:left="720" w:hanging="720"/>
      </w:pPr>
      <w:r>
        <w:rPr>
          <w:rFonts w:ascii="Times New Roman" w:hAnsi="Times New Roman"/>
          <w:sz w:val="24"/>
        </w:rPr>
        <w:t>World Economic Forum. (2025). How AI is transforming private equity deal sourcing. World Economic Forum Reports.</w:t>
      </w:r>
    </w:p>
    <w:p/>
    <w:p>
      <w:r>
        <w:rPr>
          <w:rFonts w:ascii="Times New Roman" w:hAnsi="Times New Roman"/>
          <w:i/>
          <w:sz w:val="20"/>
        </w:rPr>
        <w:t>Note: This list contains 33 entries corresponding to all sources cited in the thesis text. The original submission listed only 10. Entries marked with approximate metadata should be verified against the original source before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