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3: Component Modelling &amp; Architectural Pattern Selection</w:t>
      </w:r>
    </w:p>
    <w:p>
      <w:pPr>
        <w:jc w:val="center"/>
      </w:pPr>
      <w:r>
        <w:rPr>
          <w:b/>
          <w:sz w:val="20"/>
        </w:rPr>
        <w:t>Self-Service Coffee Kiosk | Architecture Justification</w:t>
      </w:r>
    </w:p>
    <w:p>
      <w:pPr>
        <w:pStyle w:val="Heading1"/>
      </w:pPr>
      <w:r>
        <w:t>Architecture Selection</w:t>
      </w:r>
    </w:p>
    <w:p>
      <w:r>
        <w:t xml:space="preserve">We chose a </w:t>
      </w:r>
      <w:r>
        <w:rPr>
          <w:b/>
        </w:rPr>
        <w:t>Layered Architecture</w:t>
      </w:r>
      <w:r>
        <w:t xml:space="preserve"> for the Self-Service Coffee Kiosk, deployed as a modular local application with an isolated external card-payment integration.</w:t>
      </w:r>
    </w:p>
    <w:p>
      <w:pPr>
        <w:pStyle w:val="Heading1"/>
      </w:pPr>
      <w:r>
        <w:t>Two scenario-specific reasons</w:t>
      </w:r>
    </w:p>
    <w:p>
      <w:r>
        <w:rPr>
          <w:b/>
        </w:rPr>
        <w:t xml:space="preserve">1. Fits the single kiosk and its devices. </w:t>
      </w:r>
      <w:r>
        <w:t>Touchscreen presentation, order rules, menu/pricing data, and printer integration have clear responsibilities. The printer adapter or menu component can be replaced behind its interface without changing the customer workflow.</w:t>
      </w:r>
    </w:p>
    <w:p>
      <w:r>
        <w:rPr>
          <w:b/>
        </w:rPr>
        <w:t xml:space="preserve">2. Keeps routine ordering responsive and simple to operate. </w:t>
      </w:r>
      <w:r>
        <w:t>The three drinks, two sizes, and pricing data can be handled locally; separate network-deployed services for each kiosk function add little value here. Only the required card authorization crosses the kiosk boundary.</w:t>
      </w:r>
    </w:p>
    <w:p>
      <w:pPr>
        <w:pStyle w:val="Heading1"/>
      </w:pPr>
      <w:r>
        <w:t>Security advantage</w:t>
      </w:r>
    </w:p>
    <w:p>
      <w:r>
        <w:t>The Payment Service is an explicit boundary for credit-card authorization. Send card data only through an authenticated, encrypted processor connection; prefer tokenized or processor-hosted capture; and retain only an authorization result and order reference, never the card number or security code. This reduces card-data exposure, while the payment provider and deployment must still meet applicable PCI requirements.</w:t>
      </w:r>
    </w:p>
    <w:p>
      <w:pPr>
        <w:pStyle w:val="Heading1"/>
      </w:pPr>
      <w:r>
        <w:t>Performance benefit</w:t>
      </w:r>
    </w:p>
    <w:p>
      <w:r>
        <w:t>Touch input, order validation, and menu/price lookups run locally, avoiding network round trips during ordinary interactions. The external authorization call occurs only when the customer pays, and the printer adapter communicates directly with receipt hardware.</w:t>
      </w:r>
    </w:p>
    <w:p>
      <w:pPr>
        <w:pStyle w:val="Heading1"/>
      </w:pPr>
      <w:r>
        <w:t>Components and key interfaces</w:t>
      </w:r>
    </w:p>
    <w:p>
      <w:r>
        <w:t>Touchscreen UI calls Order Manager (IOrderAPI); Order Manager reads Menu &amp; Pricing Catalog (IMenuCatalog), authorizes via Payment Service (ICardAuthorization), and submits paid order details to Receipt Printer Adapter (IReceiptJob); the adapter sends the print job to Receipt Printer (IPrinter).</w:t>
      </w:r>
    </w:p>
    <w:sectPr w:rsidR="00FC693F" w:rsidRPr="0006063C" w:rsidSect="00034616">
      <w:pgSz w:w="12240" w:h="15840"/>
      <w:pgMar w:top="720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