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3: Architecture Style Analysis</w:t>
      </w:r>
    </w:p>
    <w:p>
      <w:pPr>
        <w:jc w:val="center"/>
      </w:pPr>
      <w:r>
        <w:rPr>
          <w:b/>
        </w:rPr>
        <w:t>Scenario: Self-Service Coffee Kiosk</w:t>
      </w:r>
    </w:p>
    <w:p>
      <w:pPr>
        <w:pStyle w:val="Heading1"/>
      </w:pPr>
      <w:r>
        <w:t>1. Requirements and design challenges</w:t>
      </w:r>
    </w:p>
    <w:p>
      <w:r>
        <w:t>Customers select Espresso, Americano, or Latte; choose Small or Large; pay by credit card; and receive a printed receipt. The kiosk uses a touch screen, receipt-printer hardware, and stored menu/pricing data. Key quality concerns are responsive and usable interaction, card-data security, reliable printing, and straightforward single-device operation.</w:t>
      </w:r>
    </w:p>
    <w:p>
      <w:pPr>
        <w:pStyle w:val="Heading1"/>
      </w:pPr>
      <w:r>
        <w:t>2. Compare the architectural styles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Style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Advantages here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Trade-offs / risks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Fit for scenario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Layered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Separates UI, order rules, catalogue, and hardware/payment adapters; local interactions are simple and quick; interfaces support replacement.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One kiosk deployment can be a failure point; careless layer crossings create coupling; layers do not independently scale.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Best fit for a single, self-contained kiosk with modest menu data.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Microservices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Services may be deployed/scaled independently; boundaries can isolate faults and allow technology choice.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Requires deployment/orchestration, service discovery, observability, retries, and distributed consistency; adds network latency and operating burden.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Overkill for one kiosk; keep card processing external, rather than splitting local functions into services.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Client-Server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Central menu/pricing updates and data management suit a fleet of kiosks; server can serve many clients.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Requires connectivity/server availability; network round trips can slow interaction; server is a bottleneck and potential single failure point.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Potential future multi-kiosk model, but not required by the one-kiosk assignment.</w:t>
            </w:r>
          </w:p>
        </w:tc>
      </w:tr>
    </w:tbl>
    <w:p>
      <w:pPr>
        <w:pStyle w:val="Heading1"/>
      </w:pPr>
      <w:r>
        <w:t>3. Selection and component responsibilities</w:t>
      </w:r>
    </w:p>
    <w:p>
      <w:r>
        <w:t>Select a layered architecture deployed locally as a modular kiosk application. Touchscreen UI owns presentation; Order Manager validates choices and coordinates the sale; Menu &amp; Pricing Catalog supplies the six product/size combinations; Payment Service authorizes the card through the provider; Receipt Printer Adapter formats output and isolates device-driver details; Receipt Printer is the hardware component. The credit-card processor is external to the kiosk boundary.</w:t>
      </w:r>
    </w:p>
    <w:p>
      <w:pPr>
        <w:pStyle w:val="Heading1"/>
      </w:pPr>
      <w:r>
        <w:t>4. Interfaces and interaction sequence</w:t>
      </w:r>
    </w:p>
    <w:p>
      <w:r>
        <w:t>IOrderAPI: UI requires, Order Manager provides. IMenuCatalog: Order Manager requires, Catalog provides. ICardAuthorization: Order Manager requires, Payment Service provides. IReceiptJob: Order Manager provides, Printer Adapter requires. IPrinter: Printer Adapter requires, printer hardware provides. Flow: choose item and size, validate price, authorize card, and, on approval, submit paid order details for printing. A declined payment must not generate a paid-sale receipt.</w:t>
      </w:r>
    </w:p>
    <w:p>
      <w:pPr>
        <w:pStyle w:val="Heading1"/>
      </w:pPr>
      <w:r>
        <w:t>5. Security and performance implications</w:t>
      </w:r>
    </w:p>
    <w:p>
      <w:r>
        <w:t>Use encrypted, authenticated processor communication and tokenization or hosted capture; never log or persist the card number/CVV; restrict device and payment credentials; comply with the processor's PCI controls. Local menu/order handling avoids unnecessary network delay; the payment authorization is the one deliberate remote transaction, and printing goes directly through the local adapter.</w:t>
      </w:r>
    </w:p>
    <w:p>
      <w:r>
        <w:t>Diagram key: &lt;&lt;component&gt;&gt; rectangles; green ball = provided interface; orange socket = required interface; solid line = assembly connector; dashed boundary = kiosk deployment/trust boundary.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