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92549" w14:textId="77777777" w:rsidR="003E6805" w:rsidRPr="002F6568" w:rsidRDefault="003E6805" w:rsidP="003E6805">
      <w:pPr>
        <w:jc w:val="both"/>
        <w:rPr>
          <w:rFonts w:ascii="Lucida Sans" w:hAnsi="Lucida Sans" w:cs="Calibri"/>
          <w:b/>
          <w:bCs/>
          <w:color w:val="000000"/>
        </w:rPr>
      </w:pPr>
      <w:r w:rsidRPr="004F0A01">
        <w:rPr>
          <w:rFonts w:ascii="Lucida Sans" w:hAnsi="Lucida Sans" w:cs="Calibri"/>
          <w:b/>
          <w:bCs/>
          <w:color w:val="000000"/>
        </w:rPr>
        <w:t>Employment to population ratio, 15+, female (%)</w:t>
      </w:r>
    </w:p>
    <w:p w14:paraId="36645450" w14:textId="64C5CE8D" w:rsidR="003E6805" w:rsidRPr="00EA2FF1" w:rsidRDefault="003E6805" w:rsidP="00235D24">
      <w:pPr>
        <w:jc w:val="both"/>
        <w:rPr>
          <w:rFonts w:ascii="Lucida Sans" w:hAnsi="Lucida Sans"/>
        </w:rPr>
      </w:pPr>
      <w:r w:rsidRPr="002F6568">
        <w:rPr>
          <w:rFonts w:ascii="Lucida Sans" w:hAnsi="Lucida Sans" w:cs="Arial"/>
          <w:color w:val="50595E"/>
          <w:shd w:val="clear" w:color="auto" w:fill="F2F3F6"/>
        </w:rPr>
        <w:t>Employment to population ratio is the proportion of a country's population that is employed. Employment is defined as persons of working age who, during a short reference period, were engaged in any activity to produce goods or provide services for pay or profit, whether at work during the reference period (i.e. who worked in a job for at least one hour) or not at work due to temporary absence from a job, or to working-time arrangements. Ages 15 and older are generally considered the working-age population.</w:t>
      </w:r>
    </w:p>
    <w:p w14:paraId="11E099CE" w14:textId="77777777" w:rsidR="003E6805" w:rsidRDefault="003E6805" w:rsidP="00235D24">
      <w:pPr>
        <w:jc w:val="both"/>
        <w:rPr>
          <w:rFonts w:ascii="Lucida Sans" w:hAnsi="Lucida Sans" w:cs="Calibri"/>
          <w:b/>
          <w:bCs/>
          <w:color w:val="000000"/>
        </w:rPr>
      </w:pPr>
    </w:p>
    <w:p w14:paraId="1E06A957" w14:textId="420340FA" w:rsidR="004F0A01" w:rsidRPr="002F6568" w:rsidRDefault="00774AC7" w:rsidP="00235D24">
      <w:pPr>
        <w:jc w:val="both"/>
        <w:rPr>
          <w:rFonts w:ascii="Lucida Sans" w:hAnsi="Lucida Sans" w:cs="Calibri"/>
          <w:b/>
          <w:bCs/>
          <w:color w:val="000000"/>
        </w:rPr>
      </w:pPr>
      <w:r w:rsidRPr="002F6568">
        <w:rPr>
          <w:rFonts w:ascii="Lucida Sans" w:hAnsi="Lucida Sans" w:cs="Calibri"/>
          <w:b/>
          <w:bCs/>
          <w:color w:val="000000"/>
        </w:rPr>
        <w:t>F</w:t>
      </w:r>
      <w:r w:rsidR="004F0A01" w:rsidRPr="004F0A01">
        <w:rPr>
          <w:rFonts w:ascii="Lucida Sans" w:hAnsi="Lucida Sans" w:cs="Calibri"/>
          <w:b/>
          <w:bCs/>
          <w:color w:val="000000"/>
        </w:rPr>
        <w:t>ertility rate (birth per women)</w:t>
      </w:r>
    </w:p>
    <w:p w14:paraId="14BD828F" w14:textId="0B2D0B00" w:rsidR="00D173CF" w:rsidRPr="002F6568" w:rsidRDefault="00D173CF" w:rsidP="00235D24">
      <w:pPr>
        <w:pStyle w:val="description"/>
        <w:spacing w:before="0" w:beforeAutospacing="0" w:after="300" w:afterAutospacing="0"/>
        <w:jc w:val="both"/>
        <w:rPr>
          <w:rFonts w:ascii="Lucida Sans" w:hAnsi="Lucida Sans"/>
        </w:rPr>
      </w:pPr>
      <w:r w:rsidRPr="002F6568">
        <w:rPr>
          <w:rFonts w:ascii="Lucida Sans" w:hAnsi="Lucida Sans"/>
        </w:rPr>
        <w:t>Total fertility rate represents the number of children that would be born to a woman if she were to live to the end of her childbearing years and bear children in accordance with age-specific fertility rates of the specified year.</w:t>
      </w:r>
    </w:p>
    <w:p w14:paraId="78D9514D" w14:textId="5A0BC355" w:rsidR="004F0A01" w:rsidRPr="002F6568" w:rsidRDefault="00774AC7" w:rsidP="00235D24">
      <w:pPr>
        <w:jc w:val="both"/>
        <w:rPr>
          <w:rFonts w:ascii="Lucida Sans" w:hAnsi="Lucida Sans" w:cs="Calibri"/>
          <w:b/>
          <w:bCs/>
          <w:color w:val="000000"/>
        </w:rPr>
      </w:pPr>
      <w:r w:rsidRPr="002F6568">
        <w:rPr>
          <w:rFonts w:ascii="Lucida Sans" w:hAnsi="Lucida Sans" w:cs="Calibri"/>
          <w:b/>
          <w:bCs/>
          <w:color w:val="000000"/>
        </w:rPr>
        <w:t>R</w:t>
      </w:r>
      <w:r w:rsidR="004F0A01" w:rsidRPr="004F0A01">
        <w:rPr>
          <w:rFonts w:ascii="Lucida Sans" w:hAnsi="Lucida Sans" w:cs="Calibri"/>
          <w:b/>
          <w:bCs/>
          <w:color w:val="000000"/>
        </w:rPr>
        <w:t>atio of female to male labor force participation rate</w:t>
      </w:r>
    </w:p>
    <w:p w14:paraId="18C0731D" w14:textId="77777777" w:rsidR="00716703" w:rsidRPr="002F6568" w:rsidRDefault="00716703" w:rsidP="00235D24">
      <w:pPr>
        <w:jc w:val="both"/>
        <w:rPr>
          <w:rFonts w:ascii="Lucida Sans" w:hAnsi="Lucida Sans"/>
        </w:rPr>
      </w:pPr>
      <w:r w:rsidRPr="002F6568">
        <w:rPr>
          <w:rFonts w:ascii="Lucida Sans" w:hAnsi="Lucida Sans" w:cs="Arial"/>
          <w:color w:val="50595E"/>
          <w:shd w:val="clear" w:color="auto" w:fill="F2F3F6"/>
        </w:rPr>
        <w:t>Labor force participation rate is the proportion of the population ages 15 and older that is economically active: all people who supply labor for the production of goods and services during a specified period. Ratio of female to male labor force participation rate is calculated by dividing female labor force participation rate by male labor force participation rate and multiplying by 100.</w:t>
      </w:r>
    </w:p>
    <w:p w14:paraId="07B24EA9" w14:textId="77777777" w:rsidR="00D173CF" w:rsidRPr="002F6568" w:rsidRDefault="00D173CF" w:rsidP="00235D24">
      <w:pPr>
        <w:jc w:val="both"/>
        <w:rPr>
          <w:rFonts w:ascii="Lucida Sans" w:hAnsi="Lucida Sans" w:cs="Calibri"/>
          <w:color w:val="FF0000"/>
        </w:rPr>
      </w:pPr>
    </w:p>
    <w:p w14:paraId="23D96227" w14:textId="4412C155" w:rsidR="004F0A01" w:rsidRPr="002F6568" w:rsidRDefault="004F0A01" w:rsidP="00235D24">
      <w:pPr>
        <w:jc w:val="both"/>
        <w:rPr>
          <w:rFonts w:ascii="Lucida Sans" w:hAnsi="Lucida Sans" w:cs="Calibri"/>
          <w:b/>
          <w:bCs/>
          <w:color w:val="000000"/>
        </w:rPr>
      </w:pPr>
      <w:r w:rsidRPr="004F0A01">
        <w:rPr>
          <w:rFonts w:ascii="Lucida Sans" w:hAnsi="Lucida Sans" w:cs="Calibri"/>
          <w:b/>
          <w:bCs/>
          <w:color w:val="000000"/>
        </w:rPr>
        <w:t>Employers, female (% of female employment)</w:t>
      </w:r>
    </w:p>
    <w:p w14:paraId="773AD4BF" w14:textId="77777777" w:rsidR="00BF35C0" w:rsidRPr="002F6568" w:rsidRDefault="00BF35C0" w:rsidP="00235D24">
      <w:pPr>
        <w:jc w:val="both"/>
        <w:rPr>
          <w:rFonts w:ascii="Lucida Sans" w:hAnsi="Lucida Sans"/>
        </w:rPr>
      </w:pPr>
      <w:r w:rsidRPr="002F6568">
        <w:rPr>
          <w:rFonts w:ascii="Lucida Sans" w:hAnsi="Lucida Sans" w:cs="Arial"/>
          <w:color w:val="50595E"/>
          <w:shd w:val="clear" w:color="auto" w:fill="F2F3F6"/>
        </w:rPr>
        <w:t>Employers are those workers who, working on their own account or with one or a few partners, hold the type of jobs defined as a "self-employment jobs" i.e. jobs where the remuneration is directly dependent upon the profits derived from the goods and services produced), and, in this capacity, have engaged, on a continuous basis, one or more persons to work for them as employee(s).</w:t>
      </w:r>
    </w:p>
    <w:p w14:paraId="1E8FB37F" w14:textId="77777777" w:rsidR="00BF35C0" w:rsidRPr="002F6568" w:rsidRDefault="00BF35C0" w:rsidP="00235D24">
      <w:pPr>
        <w:jc w:val="both"/>
        <w:rPr>
          <w:rFonts w:ascii="Lucida Sans" w:hAnsi="Lucida Sans" w:cs="Calibri"/>
          <w:color w:val="000000"/>
        </w:rPr>
      </w:pPr>
    </w:p>
    <w:p w14:paraId="1FA4FFCE" w14:textId="0017E5A1" w:rsidR="004F0A01" w:rsidRPr="002F6568" w:rsidRDefault="004F0A01" w:rsidP="00235D24">
      <w:pPr>
        <w:jc w:val="both"/>
        <w:rPr>
          <w:rFonts w:ascii="Lucida Sans" w:hAnsi="Lucida Sans" w:cs="Calibri"/>
          <w:b/>
          <w:bCs/>
          <w:color w:val="000000"/>
        </w:rPr>
      </w:pPr>
      <w:r w:rsidRPr="004F0A01">
        <w:rPr>
          <w:rFonts w:ascii="Lucida Sans" w:hAnsi="Lucida Sans" w:cs="Calibri"/>
          <w:b/>
          <w:bCs/>
          <w:color w:val="000000"/>
        </w:rPr>
        <w:t>Employment in agriculture, female (% of female employment)</w:t>
      </w:r>
    </w:p>
    <w:p w14:paraId="40FF625D" w14:textId="77777777" w:rsidR="00540318" w:rsidRPr="002F6568" w:rsidRDefault="00540318" w:rsidP="00235D24">
      <w:pPr>
        <w:jc w:val="both"/>
        <w:rPr>
          <w:rFonts w:ascii="Lucida Sans" w:hAnsi="Lucida Sans"/>
        </w:rPr>
      </w:pPr>
      <w:r w:rsidRPr="002F6568">
        <w:rPr>
          <w:rFonts w:ascii="Lucida Sans" w:hAnsi="Lucida Sans" w:cs="Arial"/>
          <w:color w:val="50595E"/>
          <w:shd w:val="clear" w:color="auto" w:fill="F2F3F6"/>
        </w:rPr>
        <w:t>Employment is defined as persons of working age who were engaged in any activity to produce goods or provide services for pay or profit, whether at work during the reference period or not at work due to temporary absence from a job, or to working-time arrangement. The agriculture sector consists of activities in agriculture, hunting, forestry and fishing, in accordance with division 1 (ISIC 2) or categories A-B (ISIC 3) or category A (ISIC 4).</w:t>
      </w:r>
    </w:p>
    <w:p w14:paraId="2FD108A3" w14:textId="77777777" w:rsidR="00540318" w:rsidRPr="002F6568" w:rsidRDefault="00540318" w:rsidP="00235D24">
      <w:pPr>
        <w:jc w:val="both"/>
        <w:rPr>
          <w:rFonts w:ascii="Lucida Sans" w:hAnsi="Lucida Sans" w:cs="Calibri"/>
          <w:color w:val="000000"/>
        </w:rPr>
      </w:pPr>
    </w:p>
    <w:p w14:paraId="0E8D5151" w14:textId="75BB9871" w:rsidR="004F0A01" w:rsidRPr="002F6568" w:rsidRDefault="004F0A01" w:rsidP="00235D24">
      <w:pPr>
        <w:jc w:val="both"/>
        <w:rPr>
          <w:rFonts w:ascii="Lucida Sans" w:hAnsi="Lucida Sans" w:cs="Calibri"/>
          <w:b/>
          <w:bCs/>
          <w:color w:val="000000"/>
        </w:rPr>
      </w:pPr>
      <w:r w:rsidRPr="004F0A01">
        <w:rPr>
          <w:rFonts w:ascii="Lucida Sans" w:hAnsi="Lucida Sans" w:cs="Calibri"/>
          <w:b/>
          <w:bCs/>
          <w:color w:val="000000"/>
        </w:rPr>
        <w:t>Employment in industry, female (% of female employment) (modeled ILO estimate)</w:t>
      </w:r>
    </w:p>
    <w:p w14:paraId="075660C0" w14:textId="77777777" w:rsidR="00974A4E" w:rsidRPr="002F6568" w:rsidRDefault="00974A4E" w:rsidP="00235D24">
      <w:pPr>
        <w:jc w:val="both"/>
        <w:rPr>
          <w:rFonts w:ascii="Lucida Sans" w:hAnsi="Lucida Sans"/>
        </w:rPr>
      </w:pPr>
      <w:r w:rsidRPr="002F6568">
        <w:rPr>
          <w:rFonts w:ascii="Lucida Sans" w:hAnsi="Lucida Sans" w:cs="Arial"/>
          <w:color w:val="50595E"/>
          <w:shd w:val="clear" w:color="auto" w:fill="F2F3F6"/>
        </w:rPr>
        <w:t>Employment is defined as persons of working age who were engaged in any activity to produce goods or provide services for pay or profit, whether at work during the reference period or not at work due to temporary absence from a job, or to working-time arrangement. The industry sector consists of mining and quarrying, manufacturing, construction, and public utilities (electricity, gas, and water), in accordance with divisions 2-5 (ISIC 2) or categories C-F (ISIC 3) or categories B-F (ISIC 4).</w:t>
      </w:r>
    </w:p>
    <w:p w14:paraId="38D41F9C" w14:textId="77777777" w:rsidR="00974A4E" w:rsidRPr="002F6568" w:rsidRDefault="00974A4E" w:rsidP="00235D24">
      <w:pPr>
        <w:jc w:val="both"/>
        <w:rPr>
          <w:rFonts w:ascii="Lucida Sans" w:hAnsi="Lucida Sans" w:cs="Calibri"/>
          <w:b/>
          <w:bCs/>
          <w:color w:val="000000"/>
        </w:rPr>
      </w:pPr>
    </w:p>
    <w:p w14:paraId="6D9B82A7" w14:textId="44B690CC" w:rsidR="004F0A01" w:rsidRPr="002F6568" w:rsidRDefault="004F0A01" w:rsidP="00235D24">
      <w:pPr>
        <w:jc w:val="both"/>
        <w:rPr>
          <w:rFonts w:ascii="Lucida Sans" w:hAnsi="Lucida Sans" w:cs="Calibri"/>
          <w:b/>
          <w:bCs/>
          <w:color w:val="000000"/>
        </w:rPr>
      </w:pPr>
      <w:r w:rsidRPr="004F0A01">
        <w:rPr>
          <w:rFonts w:ascii="Lucida Sans" w:hAnsi="Lucida Sans" w:cs="Calibri"/>
          <w:b/>
          <w:bCs/>
          <w:color w:val="000000"/>
        </w:rPr>
        <w:t>Employment in services, female (% of female employment) (modeled ILO estimate)</w:t>
      </w:r>
    </w:p>
    <w:p w14:paraId="4ECD3B8B" w14:textId="77777777" w:rsidR="00E70AB7" w:rsidRPr="002F6568" w:rsidRDefault="00E70AB7" w:rsidP="00235D24">
      <w:pPr>
        <w:jc w:val="both"/>
        <w:rPr>
          <w:rFonts w:ascii="Lucida Sans" w:hAnsi="Lucida Sans"/>
        </w:rPr>
      </w:pPr>
      <w:r w:rsidRPr="002F6568">
        <w:rPr>
          <w:rFonts w:ascii="Lucida Sans" w:hAnsi="Lucida Sans" w:cs="Arial"/>
          <w:color w:val="50595E"/>
          <w:shd w:val="clear" w:color="auto" w:fill="F2F3F6"/>
        </w:rPr>
        <w:t>Employment is defined as persons of working age who were engaged in any activity to produce goods or provide services for pay or profit, whether at work during the reference period or not at work due to temporary absence from a job, or to working-time arrangement. The services sector consists of wholesale and retail trade and restaurants and hotels; transport, storage, and communications; financing, insurance, real estate, and business services; and community, social, and personal services, in accordance with divisions 6-9 (ISIC 2) or categories G-Q (ISIC 3) or categories G-U (ISIC 4).</w:t>
      </w:r>
    </w:p>
    <w:p w14:paraId="7E417010" w14:textId="77777777" w:rsidR="00E70AB7" w:rsidRPr="002F6568" w:rsidRDefault="00E70AB7" w:rsidP="00235D24">
      <w:pPr>
        <w:jc w:val="both"/>
        <w:rPr>
          <w:rFonts w:ascii="Lucida Sans" w:hAnsi="Lucida Sans" w:cs="Calibri"/>
          <w:b/>
          <w:bCs/>
          <w:color w:val="FF0000"/>
        </w:rPr>
      </w:pPr>
    </w:p>
    <w:p w14:paraId="6A0500AA" w14:textId="6D01F0A5" w:rsidR="004F0A01" w:rsidRPr="002F6568" w:rsidRDefault="004F0A01" w:rsidP="00235D24">
      <w:pPr>
        <w:jc w:val="both"/>
        <w:rPr>
          <w:rFonts w:ascii="Lucida Sans" w:hAnsi="Lucida Sans" w:cs="Calibri"/>
          <w:b/>
          <w:bCs/>
          <w:color w:val="000000"/>
        </w:rPr>
      </w:pPr>
      <w:r w:rsidRPr="004F0A01">
        <w:rPr>
          <w:rFonts w:ascii="Lucida Sans" w:hAnsi="Lucida Sans" w:cs="Calibri"/>
          <w:b/>
          <w:bCs/>
          <w:color w:val="000000"/>
        </w:rPr>
        <w:t>Wage and salaried workers, female (% of female employment) (modeled ILO estimate)</w:t>
      </w:r>
    </w:p>
    <w:p w14:paraId="10FEBE3B" w14:textId="77777777" w:rsidR="00E70AB7" w:rsidRPr="002F6568" w:rsidRDefault="00E70AB7" w:rsidP="00235D24">
      <w:pPr>
        <w:jc w:val="both"/>
        <w:rPr>
          <w:rFonts w:ascii="Lucida Sans" w:hAnsi="Lucida Sans"/>
        </w:rPr>
      </w:pPr>
      <w:r w:rsidRPr="002F6568">
        <w:rPr>
          <w:rFonts w:ascii="Lucida Sans" w:hAnsi="Lucida Sans" w:cs="Arial"/>
          <w:color w:val="50595E"/>
          <w:shd w:val="clear" w:color="auto" w:fill="F2F3F6"/>
        </w:rPr>
        <w:t>Wage and salaried workers (employees) are those workers who hold the type of jobs defined as "paid employment jobs," where the incumbents hold explicit (written or oral) or implicit employment contracts that give them a basic remuneration that is not directly dependent upon the revenue of the unit for which they work.</w:t>
      </w:r>
    </w:p>
    <w:p w14:paraId="7E79D7DC" w14:textId="77777777" w:rsidR="00E70AB7" w:rsidRPr="002F6568" w:rsidRDefault="00E70AB7" w:rsidP="00235D24">
      <w:pPr>
        <w:jc w:val="both"/>
        <w:rPr>
          <w:rFonts w:ascii="Lucida Sans" w:hAnsi="Lucida Sans" w:cs="Calibri"/>
          <w:b/>
          <w:bCs/>
          <w:color w:val="000000"/>
        </w:rPr>
      </w:pPr>
    </w:p>
    <w:p w14:paraId="3D1D9026" w14:textId="49D8635C" w:rsidR="007E1681" w:rsidRPr="002F6568" w:rsidRDefault="007E1681" w:rsidP="007E1681">
      <w:pPr>
        <w:jc w:val="both"/>
        <w:rPr>
          <w:rFonts w:ascii="Lucida Sans" w:hAnsi="Lucida Sans" w:cs="Calibri"/>
          <w:b/>
          <w:bCs/>
          <w:color w:val="FF0000"/>
        </w:rPr>
      </w:pPr>
      <w:r w:rsidRPr="004F0A01">
        <w:rPr>
          <w:rFonts w:ascii="Lucida Sans" w:hAnsi="Lucida Sans" w:cs="Calibri"/>
          <w:b/>
          <w:bCs/>
          <w:color w:val="FF0000"/>
        </w:rPr>
        <w:t>Contributing family workers, female (% of female employment)</w:t>
      </w:r>
    </w:p>
    <w:p w14:paraId="322FCEFB" w14:textId="77777777" w:rsidR="007E1681" w:rsidRPr="002F6568" w:rsidRDefault="007E1681" w:rsidP="007E1681">
      <w:pPr>
        <w:jc w:val="both"/>
        <w:rPr>
          <w:rFonts w:ascii="Lucida Sans" w:hAnsi="Lucida Sans"/>
        </w:rPr>
      </w:pPr>
      <w:r w:rsidRPr="002F6568">
        <w:rPr>
          <w:rFonts w:ascii="Lucida Sans" w:hAnsi="Lucida Sans" w:cs="Arial"/>
          <w:color w:val="50595E"/>
          <w:shd w:val="clear" w:color="auto" w:fill="F2F3F6"/>
        </w:rPr>
        <w:t>Contributing family workers are those workers who hold "self-employment jobs" as own-account workers in a market-oriented establishment operated by a related person living in the same household.</w:t>
      </w:r>
    </w:p>
    <w:p w14:paraId="0F6754EA" w14:textId="77777777" w:rsidR="007E1681" w:rsidRDefault="007E1681" w:rsidP="00235D24">
      <w:pPr>
        <w:jc w:val="both"/>
        <w:rPr>
          <w:rFonts w:ascii="Lucida Sans" w:hAnsi="Lucida Sans" w:cs="Calibri"/>
          <w:b/>
          <w:bCs/>
          <w:color w:val="000000"/>
        </w:rPr>
      </w:pPr>
    </w:p>
    <w:p w14:paraId="5C9B4D92" w14:textId="77777777" w:rsidR="007E1681" w:rsidRPr="002F6568" w:rsidRDefault="007E1681" w:rsidP="007E1681">
      <w:pPr>
        <w:jc w:val="both"/>
        <w:rPr>
          <w:rFonts w:ascii="Lucida Sans" w:hAnsi="Lucida Sans" w:cs="Calibri"/>
          <w:b/>
          <w:bCs/>
          <w:color w:val="FF0000"/>
        </w:rPr>
      </w:pPr>
      <w:r w:rsidRPr="002F6568">
        <w:rPr>
          <w:rFonts w:ascii="Lucida Sans" w:hAnsi="Lucida Sans" w:cs="Calibri"/>
          <w:b/>
          <w:bCs/>
          <w:color w:val="FF0000"/>
        </w:rPr>
        <w:t>O</w:t>
      </w:r>
      <w:r w:rsidRPr="004F0A01">
        <w:rPr>
          <w:rFonts w:ascii="Lucida Sans" w:hAnsi="Lucida Sans" w:cs="Calibri"/>
          <w:b/>
          <w:bCs/>
          <w:color w:val="FF0000"/>
        </w:rPr>
        <w:t>wn-account female workers (% of employment)</w:t>
      </w:r>
    </w:p>
    <w:p w14:paraId="21FB3499" w14:textId="6ECBF4EF" w:rsidR="007E1681" w:rsidRPr="007E1681" w:rsidRDefault="007E1681" w:rsidP="00235D24">
      <w:pPr>
        <w:jc w:val="both"/>
        <w:rPr>
          <w:rFonts w:ascii="Lucida Sans" w:hAnsi="Lucida Sans"/>
        </w:rPr>
      </w:pPr>
      <w:r w:rsidRPr="002F6568">
        <w:rPr>
          <w:rFonts w:ascii="Lucida Sans" w:hAnsi="Lucida Sans"/>
          <w:color w:val="666666"/>
          <w:shd w:val="clear" w:color="auto" w:fill="F6F6F6"/>
        </w:rPr>
        <w:t>Own-account workers are workers who, working on their own account or with one or more partners, hold the types of jobs defined as "self-employment jobs" and have not engaged on a continuous basis any employees to work for them. Own account workers are a subcategory of "self-employed".</w:t>
      </w:r>
    </w:p>
    <w:p w14:paraId="39B7D60C" w14:textId="77777777" w:rsidR="007E1681" w:rsidRDefault="007E1681" w:rsidP="00235D24">
      <w:pPr>
        <w:jc w:val="both"/>
        <w:rPr>
          <w:rFonts w:ascii="Lucida Sans" w:hAnsi="Lucida Sans" w:cs="Calibri"/>
          <w:b/>
          <w:bCs/>
          <w:color w:val="000000"/>
        </w:rPr>
      </w:pPr>
    </w:p>
    <w:p w14:paraId="4C21AB87" w14:textId="0A31579F" w:rsidR="004F0A01" w:rsidRPr="00D954F9" w:rsidRDefault="004F0A01" w:rsidP="00235D24">
      <w:pPr>
        <w:jc w:val="both"/>
        <w:rPr>
          <w:rFonts w:ascii="Lucida Sans" w:hAnsi="Lucida Sans" w:cs="Calibri"/>
          <w:b/>
          <w:bCs/>
          <w:color w:val="FF0000"/>
        </w:rPr>
      </w:pPr>
      <w:r w:rsidRPr="004F0A01">
        <w:rPr>
          <w:rFonts w:ascii="Lucida Sans" w:hAnsi="Lucida Sans" w:cs="Calibri"/>
          <w:b/>
          <w:bCs/>
          <w:color w:val="FF0000"/>
        </w:rPr>
        <w:t>Vulnerable employment, female (% of female employment)</w:t>
      </w:r>
    </w:p>
    <w:p w14:paraId="7EDD9FE3" w14:textId="77777777" w:rsidR="004E1E91" w:rsidRPr="002F6568" w:rsidRDefault="004E1E91" w:rsidP="00235D24">
      <w:pPr>
        <w:jc w:val="both"/>
        <w:rPr>
          <w:rFonts w:ascii="Lucida Sans" w:hAnsi="Lucida Sans"/>
        </w:rPr>
      </w:pPr>
      <w:r w:rsidRPr="002F6568">
        <w:rPr>
          <w:rFonts w:ascii="Lucida Sans" w:hAnsi="Lucida Sans" w:cs="Arial"/>
          <w:color w:val="50595E"/>
          <w:shd w:val="clear" w:color="auto" w:fill="F2F3F6"/>
        </w:rPr>
        <w:t>Vulnerable employment is contributing family workers and own-account workers as a percentage of total employment.</w:t>
      </w:r>
    </w:p>
    <w:p w14:paraId="009B37AA" w14:textId="77777777" w:rsidR="00642414" w:rsidRPr="002F6568" w:rsidRDefault="007D199D" w:rsidP="00235D24">
      <w:pPr>
        <w:jc w:val="both"/>
        <w:rPr>
          <w:rFonts w:ascii="Lucida Sans" w:hAnsi="Lucida Sans"/>
        </w:rPr>
      </w:pPr>
    </w:p>
    <w:sectPr w:rsidR="00642414" w:rsidRPr="002F6568" w:rsidSect="00D84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01"/>
    <w:rsid w:val="00021CC9"/>
    <w:rsid w:val="00086698"/>
    <w:rsid w:val="00124639"/>
    <w:rsid w:val="00134F8B"/>
    <w:rsid w:val="0015558F"/>
    <w:rsid w:val="001D7A06"/>
    <w:rsid w:val="00206313"/>
    <w:rsid w:val="00235D24"/>
    <w:rsid w:val="0027018E"/>
    <w:rsid w:val="00293F39"/>
    <w:rsid w:val="002F6568"/>
    <w:rsid w:val="00311157"/>
    <w:rsid w:val="003A713A"/>
    <w:rsid w:val="003B1C79"/>
    <w:rsid w:val="003E6805"/>
    <w:rsid w:val="00427293"/>
    <w:rsid w:val="004808FC"/>
    <w:rsid w:val="004E1E91"/>
    <w:rsid w:val="004F0A01"/>
    <w:rsid w:val="0050268F"/>
    <w:rsid w:val="00540318"/>
    <w:rsid w:val="0069428E"/>
    <w:rsid w:val="006A79D2"/>
    <w:rsid w:val="006B4B08"/>
    <w:rsid w:val="006C212E"/>
    <w:rsid w:val="006E035A"/>
    <w:rsid w:val="00716703"/>
    <w:rsid w:val="007329B9"/>
    <w:rsid w:val="0074185C"/>
    <w:rsid w:val="0074221B"/>
    <w:rsid w:val="007510FC"/>
    <w:rsid w:val="00774AC7"/>
    <w:rsid w:val="007825EF"/>
    <w:rsid w:val="007924D9"/>
    <w:rsid w:val="007B4B84"/>
    <w:rsid w:val="007D199D"/>
    <w:rsid w:val="007E1681"/>
    <w:rsid w:val="007F1F1C"/>
    <w:rsid w:val="008153E1"/>
    <w:rsid w:val="00830D21"/>
    <w:rsid w:val="008E0259"/>
    <w:rsid w:val="00974A4E"/>
    <w:rsid w:val="00975396"/>
    <w:rsid w:val="009A2A2F"/>
    <w:rsid w:val="00A1412A"/>
    <w:rsid w:val="00A56073"/>
    <w:rsid w:val="00A77F0B"/>
    <w:rsid w:val="00AD70BD"/>
    <w:rsid w:val="00B01D2F"/>
    <w:rsid w:val="00B56444"/>
    <w:rsid w:val="00BA35DE"/>
    <w:rsid w:val="00BB42C8"/>
    <w:rsid w:val="00BF35C0"/>
    <w:rsid w:val="00C67759"/>
    <w:rsid w:val="00C740B0"/>
    <w:rsid w:val="00C9659D"/>
    <w:rsid w:val="00CB0691"/>
    <w:rsid w:val="00D173CF"/>
    <w:rsid w:val="00D84198"/>
    <w:rsid w:val="00D954F9"/>
    <w:rsid w:val="00DE66CA"/>
    <w:rsid w:val="00E31BB6"/>
    <w:rsid w:val="00E70AB7"/>
    <w:rsid w:val="00EA2FF1"/>
    <w:rsid w:val="00ED5646"/>
    <w:rsid w:val="00EE3883"/>
    <w:rsid w:val="00FA4272"/>
    <w:rsid w:val="00FC07C0"/>
    <w:rsid w:val="00FE1646"/>
    <w:rsid w:val="00FE4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687CC6"/>
  <w15:chartTrackingRefBased/>
  <w15:docId w15:val="{FEA9F4B2-5D58-B645-8173-A25679142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AB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rsid w:val="00D173C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657044">
      <w:bodyDiv w:val="1"/>
      <w:marLeft w:val="0"/>
      <w:marRight w:val="0"/>
      <w:marTop w:val="0"/>
      <w:marBottom w:val="0"/>
      <w:divBdr>
        <w:top w:val="none" w:sz="0" w:space="0" w:color="auto"/>
        <w:left w:val="none" w:sz="0" w:space="0" w:color="auto"/>
        <w:bottom w:val="none" w:sz="0" w:space="0" w:color="auto"/>
        <w:right w:val="none" w:sz="0" w:space="0" w:color="auto"/>
      </w:divBdr>
    </w:div>
    <w:div w:id="260529783">
      <w:bodyDiv w:val="1"/>
      <w:marLeft w:val="0"/>
      <w:marRight w:val="0"/>
      <w:marTop w:val="0"/>
      <w:marBottom w:val="0"/>
      <w:divBdr>
        <w:top w:val="none" w:sz="0" w:space="0" w:color="auto"/>
        <w:left w:val="none" w:sz="0" w:space="0" w:color="auto"/>
        <w:bottom w:val="none" w:sz="0" w:space="0" w:color="auto"/>
        <w:right w:val="none" w:sz="0" w:space="0" w:color="auto"/>
      </w:divBdr>
    </w:div>
    <w:div w:id="328601015">
      <w:bodyDiv w:val="1"/>
      <w:marLeft w:val="0"/>
      <w:marRight w:val="0"/>
      <w:marTop w:val="0"/>
      <w:marBottom w:val="0"/>
      <w:divBdr>
        <w:top w:val="none" w:sz="0" w:space="0" w:color="auto"/>
        <w:left w:val="none" w:sz="0" w:space="0" w:color="auto"/>
        <w:bottom w:val="none" w:sz="0" w:space="0" w:color="auto"/>
        <w:right w:val="none" w:sz="0" w:space="0" w:color="auto"/>
      </w:divBdr>
    </w:div>
    <w:div w:id="334698395">
      <w:bodyDiv w:val="1"/>
      <w:marLeft w:val="0"/>
      <w:marRight w:val="0"/>
      <w:marTop w:val="0"/>
      <w:marBottom w:val="0"/>
      <w:divBdr>
        <w:top w:val="none" w:sz="0" w:space="0" w:color="auto"/>
        <w:left w:val="none" w:sz="0" w:space="0" w:color="auto"/>
        <w:bottom w:val="none" w:sz="0" w:space="0" w:color="auto"/>
        <w:right w:val="none" w:sz="0" w:space="0" w:color="auto"/>
      </w:divBdr>
    </w:div>
    <w:div w:id="374431360">
      <w:bodyDiv w:val="1"/>
      <w:marLeft w:val="0"/>
      <w:marRight w:val="0"/>
      <w:marTop w:val="0"/>
      <w:marBottom w:val="0"/>
      <w:divBdr>
        <w:top w:val="none" w:sz="0" w:space="0" w:color="auto"/>
        <w:left w:val="none" w:sz="0" w:space="0" w:color="auto"/>
        <w:bottom w:val="none" w:sz="0" w:space="0" w:color="auto"/>
        <w:right w:val="none" w:sz="0" w:space="0" w:color="auto"/>
      </w:divBdr>
    </w:div>
    <w:div w:id="424348761">
      <w:bodyDiv w:val="1"/>
      <w:marLeft w:val="0"/>
      <w:marRight w:val="0"/>
      <w:marTop w:val="0"/>
      <w:marBottom w:val="0"/>
      <w:divBdr>
        <w:top w:val="none" w:sz="0" w:space="0" w:color="auto"/>
        <w:left w:val="none" w:sz="0" w:space="0" w:color="auto"/>
        <w:bottom w:val="none" w:sz="0" w:space="0" w:color="auto"/>
        <w:right w:val="none" w:sz="0" w:space="0" w:color="auto"/>
      </w:divBdr>
    </w:div>
    <w:div w:id="676150287">
      <w:bodyDiv w:val="1"/>
      <w:marLeft w:val="0"/>
      <w:marRight w:val="0"/>
      <w:marTop w:val="0"/>
      <w:marBottom w:val="0"/>
      <w:divBdr>
        <w:top w:val="none" w:sz="0" w:space="0" w:color="auto"/>
        <w:left w:val="none" w:sz="0" w:space="0" w:color="auto"/>
        <w:bottom w:val="none" w:sz="0" w:space="0" w:color="auto"/>
        <w:right w:val="none" w:sz="0" w:space="0" w:color="auto"/>
      </w:divBdr>
    </w:div>
    <w:div w:id="773329153">
      <w:bodyDiv w:val="1"/>
      <w:marLeft w:val="0"/>
      <w:marRight w:val="0"/>
      <w:marTop w:val="0"/>
      <w:marBottom w:val="0"/>
      <w:divBdr>
        <w:top w:val="none" w:sz="0" w:space="0" w:color="auto"/>
        <w:left w:val="none" w:sz="0" w:space="0" w:color="auto"/>
        <w:bottom w:val="none" w:sz="0" w:space="0" w:color="auto"/>
        <w:right w:val="none" w:sz="0" w:space="0" w:color="auto"/>
      </w:divBdr>
    </w:div>
    <w:div w:id="777530216">
      <w:bodyDiv w:val="1"/>
      <w:marLeft w:val="0"/>
      <w:marRight w:val="0"/>
      <w:marTop w:val="0"/>
      <w:marBottom w:val="0"/>
      <w:divBdr>
        <w:top w:val="none" w:sz="0" w:space="0" w:color="auto"/>
        <w:left w:val="none" w:sz="0" w:space="0" w:color="auto"/>
        <w:bottom w:val="none" w:sz="0" w:space="0" w:color="auto"/>
        <w:right w:val="none" w:sz="0" w:space="0" w:color="auto"/>
      </w:divBdr>
    </w:div>
    <w:div w:id="812454713">
      <w:bodyDiv w:val="1"/>
      <w:marLeft w:val="0"/>
      <w:marRight w:val="0"/>
      <w:marTop w:val="0"/>
      <w:marBottom w:val="0"/>
      <w:divBdr>
        <w:top w:val="none" w:sz="0" w:space="0" w:color="auto"/>
        <w:left w:val="none" w:sz="0" w:space="0" w:color="auto"/>
        <w:bottom w:val="none" w:sz="0" w:space="0" w:color="auto"/>
        <w:right w:val="none" w:sz="0" w:space="0" w:color="auto"/>
      </w:divBdr>
    </w:div>
    <w:div w:id="896084259">
      <w:bodyDiv w:val="1"/>
      <w:marLeft w:val="0"/>
      <w:marRight w:val="0"/>
      <w:marTop w:val="0"/>
      <w:marBottom w:val="0"/>
      <w:divBdr>
        <w:top w:val="none" w:sz="0" w:space="0" w:color="auto"/>
        <w:left w:val="none" w:sz="0" w:space="0" w:color="auto"/>
        <w:bottom w:val="none" w:sz="0" w:space="0" w:color="auto"/>
        <w:right w:val="none" w:sz="0" w:space="0" w:color="auto"/>
      </w:divBdr>
    </w:div>
    <w:div w:id="896360746">
      <w:bodyDiv w:val="1"/>
      <w:marLeft w:val="0"/>
      <w:marRight w:val="0"/>
      <w:marTop w:val="0"/>
      <w:marBottom w:val="0"/>
      <w:divBdr>
        <w:top w:val="none" w:sz="0" w:space="0" w:color="auto"/>
        <w:left w:val="none" w:sz="0" w:space="0" w:color="auto"/>
        <w:bottom w:val="none" w:sz="0" w:space="0" w:color="auto"/>
        <w:right w:val="none" w:sz="0" w:space="0" w:color="auto"/>
      </w:divBdr>
    </w:div>
    <w:div w:id="1063719597">
      <w:bodyDiv w:val="1"/>
      <w:marLeft w:val="0"/>
      <w:marRight w:val="0"/>
      <w:marTop w:val="0"/>
      <w:marBottom w:val="0"/>
      <w:divBdr>
        <w:top w:val="none" w:sz="0" w:space="0" w:color="auto"/>
        <w:left w:val="none" w:sz="0" w:space="0" w:color="auto"/>
        <w:bottom w:val="none" w:sz="0" w:space="0" w:color="auto"/>
        <w:right w:val="none" w:sz="0" w:space="0" w:color="auto"/>
      </w:divBdr>
    </w:div>
    <w:div w:id="1124619831">
      <w:bodyDiv w:val="1"/>
      <w:marLeft w:val="0"/>
      <w:marRight w:val="0"/>
      <w:marTop w:val="0"/>
      <w:marBottom w:val="0"/>
      <w:divBdr>
        <w:top w:val="none" w:sz="0" w:space="0" w:color="auto"/>
        <w:left w:val="none" w:sz="0" w:space="0" w:color="auto"/>
        <w:bottom w:val="none" w:sz="0" w:space="0" w:color="auto"/>
        <w:right w:val="none" w:sz="0" w:space="0" w:color="auto"/>
      </w:divBdr>
    </w:div>
    <w:div w:id="1356496115">
      <w:bodyDiv w:val="1"/>
      <w:marLeft w:val="0"/>
      <w:marRight w:val="0"/>
      <w:marTop w:val="0"/>
      <w:marBottom w:val="0"/>
      <w:divBdr>
        <w:top w:val="none" w:sz="0" w:space="0" w:color="auto"/>
        <w:left w:val="none" w:sz="0" w:space="0" w:color="auto"/>
        <w:bottom w:val="none" w:sz="0" w:space="0" w:color="auto"/>
        <w:right w:val="none" w:sz="0" w:space="0" w:color="auto"/>
      </w:divBdr>
    </w:div>
    <w:div w:id="1490487792">
      <w:bodyDiv w:val="1"/>
      <w:marLeft w:val="0"/>
      <w:marRight w:val="0"/>
      <w:marTop w:val="0"/>
      <w:marBottom w:val="0"/>
      <w:divBdr>
        <w:top w:val="none" w:sz="0" w:space="0" w:color="auto"/>
        <w:left w:val="none" w:sz="0" w:space="0" w:color="auto"/>
        <w:bottom w:val="none" w:sz="0" w:space="0" w:color="auto"/>
        <w:right w:val="none" w:sz="0" w:space="0" w:color="auto"/>
      </w:divBdr>
    </w:div>
    <w:div w:id="1616785457">
      <w:bodyDiv w:val="1"/>
      <w:marLeft w:val="0"/>
      <w:marRight w:val="0"/>
      <w:marTop w:val="0"/>
      <w:marBottom w:val="0"/>
      <w:divBdr>
        <w:top w:val="none" w:sz="0" w:space="0" w:color="auto"/>
        <w:left w:val="none" w:sz="0" w:space="0" w:color="auto"/>
        <w:bottom w:val="none" w:sz="0" w:space="0" w:color="auto"/>
        <w:right w:val="none" w:sz="0" w:space="0" w:color="auto"/>
      </w:divBdr>
    </w:div>
    <w:div w:id="1733234916">
      <w:bodyDiv w:val="1"/>
      <w:marLeft w:val="0"/>
      <w:marRight w:val="0"/>
      <w:marTop w:val="0"/>
      <w:marBottom w:val="0"/>
      <w:divBdr>
        <w:top w:val="none" w:sz="0" w:space="0" w:color="auto"/>
        <w:left w:val="none" w:sz="0" w:space="0" w:color="auto"/>
        <w:bottom w:val="none" w:sz="0" w:space="0" w:color="auto"/>
        <w:right w:val="none" w:sz="0" w:space="0" w:color="auto"/>
      </w:divBdr>
    </w:div>
    <w:div w:id="1780835346">
      <w:bodyDiv w:val="1"/>
      <w:marLeft w:val="0"/>
      <w:marRight w:val="0"/>
      <w:marTop w:val="0"/>
      <w:marBottom w:val="0"/>
      <w:divBdr>
        <w:top w:val="none" w:sz="0" w:space="0" w:color="auto"/>
        <w:left w:val="none" w:sz="0" w:space="0" w:color="auto"/>
        <w:bottom w:val="none" w:sz="0" w:space="0" w:color="auto"/>
        <w:right w:val="none" w:sz="0" w:space="0" w:color="auto"/>
      </w:divBdr>
    </w:div>
    <w:div w:id="1838957985">
      <w:bodyDiv w:val="1"/>
      <w:marLeft w:val="0"/>
      <w:marRight w:val="0"/>
      <w:marTop w:val="0"/>
      <w:marBottom w:val="0"/>
      <w:divBdr>
        <w:top w:val="none" w:sz="0" w:space="0" w:color="auto"/>
        <w:left w:val="none" w:sz="0" w:space="0" w:color="auto"/>
        <w:bottom w:val="none" w:sz="0" w:space="0" w:color="auto"/>
        <w:right w:val="none" w:sz="0" w:space="0" w:color="auto"/>
      </w:divBdr>
    </w:div>
    <w:div w:id="1869832461">
      <w:bodyDiv w:val="1"/>
      <w:marLeft w:val="0"/>
      <w:marRight w:val="0"/>
      <w:marTop w:val="0"/>
      <w:marBottom w:val="0"/>
      <w:divBdr>
        <w:top w:val="none" w:sz="0" w:space="0" w:color="auto"/>
        <w:left w:val="none" w:sz="0" w:space="0" w:color="auto"/>
        <w:bottom w:val="none" w:sz="0" w:space="0" w:color="auto"/>
        <w:right w:val="none" w:sz="0" w:space="0" w:color="auto"/>
      </w:divBdr>
    </w:div>
    <w:div w:id="214218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648</Words>
  <Characters>3973</Characters>
  <Application>Microsoft Office Word</Application>
  <DocSecurity>0</DocSecurity>
  <Lines>88</Lines>
  <Paragraphs>85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Billah, Md Muhtasim</dc:creator>
  <cp:keywords/>
  <dc:description/>
  <cp:lastModifiedBy>Billah, Md Muhtasim</cp:lastModifiedBy>
  <cp:revision>16</cp:revision>
  <dcterms:created xsi:type="dcterms:W3CDTF">2020-03-20T21:30:00Z</dcterms:created>
  <dcterms:modified xsi:type="dcterms:W3CDTF">2020-03-20T23:34:00Z</dcterms:modified>
  <cp:category/>
</cp:coreProperties>
</file>