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573FE" w14:textId="21087204" w:rsidR="009F07A5" w:rsidRPr="009F07A5" w:rsidRDefault="009F07A5" w:rsidP="009F07A5">
      <w:pPr>
        <w:pStyle w:val="NormalWeb"/>
        <w:shd w:val="clear" w:color="auto" w:fill="F0FAFF"/>
        <w:rPr>
          <w:rStyle w:val="Strong"/>
          <w:rFonts w:ascii="Source Sans Pro" w:eastAsiaTheme="majorEastAsia" w:hAnsi="Source Sans Pro"/>
          <w:b w:val="0"/>
          <w:bCs w:val="0"/>
          <w:color w:val="31333F"/>
        </w:rPr>
      </w:pPr>
      <w:r w:rsidRPr="009F07A5">
        <w:rPr>
          <w:rStyle w:val="Strong"/>
          <w:rFonts w:ascii="Source Sans Pro" w:eastAsiaTheme="majorEastAsia" w:hAnsi="Source Sans Pro"/>
          <w:b w:val="0"/>
          <w:bCs w:val="0"/>
          <w:color w:val="31333F"/>
        </w:rPr>
        <w:t>Temperature 0.0</w:t>
      </w:r>
    </w:p>
    <w:p w14:paraId="29AB63BD" w14:textId="77777777" w:rsidR="009F07A5" w:rsidRDefault="009F07A5" w:rsidP="009F07A5">
      <w:pPr>
        <w:pStyle w:val="NormalWeb"/>
        <w:shd w:val="clear" w:color="auto" w:fill="F0FAFF"/>
        <w:rPr>
          <w:rStyle w:val="Strong"/>
          <w:rFonts w:ascii="Source Sans Pro" w:eastAsiaTheme="majorEastAsia" w:hAnsi="Source Sans Pro"/>
          <w:color w:val="31333F"/>
        </w:rPr>
      </w:pPr>
    </w:p>
    <w:p w14:paraId="00B06181" w14:textId="4CEFE184" w:rsidR="009F07A5" w:rsidRDefault="009F07A5" w:rsidP="009F07A5">
      <w:pPr>
        <w:pStyle w:val="NormalWeb"/>
        <w:shd w:val="clear" w:color="auto" w:fill="F0FAFF"/>
        <w:rPr>
          <w:rFonts w:ascii="Source Sans Pro" w:hAnsi="Source Sans Pro"/>
          <w:color w:val="31333F"/>
        </w:rPr>
      </w:pPr>
      <w:r>
        <w:rPr>
          <w:rStyle w:val="Strong"/>
          <w:rFonts w:ascii="Source Sans Pro" w:eastAsiaTheme="majorEastAsia" w:hAnsi="Source Sans Pro"/>
          <w:color w:val="31333F"/>
        </w:rPr>
        <w:t>Question:</w:t>
      </w:r>
    </w:p>
    <w:p w14:paraId="0999329C" w14:textId="77777777" w:rsidR="009F07A5" w:rsidRDefault="009F07A5" w:rsidP="009F07A5">
      <w:pPr>
        <w:pStyle w:val="NormalWeb"/>
        <w:shd w:val="clear" w:color="auto" w:fill="F0FAFF"/>
        <w:rPr>
          <w:rFonts w:ascii="Source Sans Pro" w:hAnsi="Source Sans Pro"/>
          <w:color w:val="31333F"/>
        </w:rPr>
      </w:pPr>
      <w:proofErr w:type="gramStart"/>
      <w:r>
        <w:rPr>
          <w:rFonts w:ascii="Source Sans Pro" w:hAnsi="Source Sans Pro"/>
          <w:color w:val="31333F"/>
        </w:rPr>
        <w:t>how</w:t>
      </w:r>
      <w:proofErr w:type="gramEnd"/>
      <w:r>
        <w:rPr>
          <w:rFonts w:ascii="Source Sans Pro" w:hAnsi="Source Sans Pro"/>
          <w:color w:val="31333F"/>
        </w:rPr>
        <w:t xml:space="preserve"> are variable payments considered and are they always associated with </w:t>
      </w:r>
      <w:proofErr w:type="spellStart"/>
      <w:r>
        <w:rPr>
          <w:rFonts w:ascii="Source Sans Pro" w:hAnsi="Source Sans Pro"/>
          <w:color w:val="31333F"/>
        </w:rPr>
        <w:t>nonlease</w:t>
      </w:r>
      <w:proofErr w:type="spellEnd"/>
      <w:r>
        <w:rPr>
          <w:rFonts w:ascii="Source Sans Pro" w:hAnsi="Source Sans Pro"/>
          <w:color w:val="31333F"/>
        </w:rPr>
        <w:t xml:space="preserve"> components?</w:t>
      </w:r>
    </w:p>
    <w:p w14:paraId="55374C9C" w14:textId="77777777" w:rsidR="009F07A5" w:rsidRDefault="009F07A5" w:rsidP="009F07A5">
      <w:pPr>
        <w:pStyle w:val="NormalWeb"/>
        <w:shd w:val="clear" w:color="auto" w:fill="F0FAFF"/>
        <w:rPr>
          <w:rFonts w:ascii="Source Sans Pro" w:hAnsi="Source Sans Pro"/>
          <w:color w:val="31333F"/>
        </w:rPr>
      </w:pPr>
      <w:r>
        <w:rPr>
          <w:rStyle w:val="Strong"/>
          <w:rFonts w:ascii="Source Sans Pro" w:eastAsiaTheme="majorEastAsia" w:hAnsi="Source Sans Pro"/>
          <w:color w:val="31333F"/>
        </w:rPr>
        <w:t>Response:</w:t>
      </w:r>
    </w:p>
    <w:p w14:paraId="4582DC05" w14:textId="77777777" w:rsidR="009F07A5" w:rsidRDefault="009F07A5" w:rsidP="009F07A5">
      <w:pPr>
        <w:pStyle w:val="NormalWeb"/>
        <w:shd w:val="clear" w:color="auto" w:fill="F0FAFF"/>
        <w:rPr>
          <w:rFonts w:ascii="Source Sans Pro" w:hAnsi="Source Sans Pro"/>
          <w:color w:val="31333F"/>
        </w:rPr>
      </w:pPr>
      <w:r>
        <w:rPr>
          <w:rFonts w:ascii="Source Sans Pro" w:hAnsi="Source Sans Pro"/>
          <w:color w:val="31333F"/>
        </w:rPr>
        <w:t xml:space="preserve">Variable payments in a lease contract can be associated with either lease components or </w:t>
      </w:r>
      <w:proofErr w:type="spellStart"/>
      <w:r>
        <w:rPr>
          <w:rFonts w:ascii="Source Sans Pro" w:hAnsi="Source Sans Pro"/>
          <w:color w:val="31333F"/>
        </w:rPr>
        <w:t>nonlease</w:t>
      </w:r>
      <w:proofErr w:type="spellEnd"/>
      <w:r>
        <w:rPr>
          <w:rFonts w:ascii="Source Sans Pro" w:hAnsi="Source Sans Pro"/>
          <w:color w:val="31333F"/>
        </w:rPr>
        <w:t xml:space="preserve"> components. The first step in accounting for variable lease payments is to determine whether the payments relate, even partially, to a lease element. Factors that drive the variability of the payments should be analyzed to understand if they are related to the lease component. These factors could be physical, such as machine hours or equipment usage time, or economic, such as sales revenues and profits.</w:t>
      </w:r>
    </w:p>
    <w:p w14:paraId="483F77CB" w14:textId="77777777" w:rsidR="009F07A5" w:rsidRDefault="009F07A5" w:rsidP="009F07A5">
      <w:pPr>
        <w:pStyle w:val="NormalWeb"/>
        <w:shd w:val="clear" w:color="auto" w:fill="F0FAFF"/>
        <w:rPr>
          <w:rFonts w:ascii="Source Sans Pro" w:hAnsi="Source Sans Pro"/>
          <w:color w:val="31333F"/>
        </w:rPr>
      </w:pPr>
      <w:r>
        <w:rPr>
          <w:rFonts w:ascii="Source Sans Pro" w:hAnsi="Source Sans Pro"/>
          <w:color w:val="31333F"/>
        </w:rPr>
        <w:t xml:space="preserve">If it is determined that the variable payments relate partially or fully to the lease component, they are excluded from the allocation for initial measurement. Instead, they are subsequently allocated between the lease and </w:t>
      </w:r>
      <w:proofErr w:type="spellStart"/>
      <w:r>
        <w:rPr>
          <w:rFonts w:ascii="Source Sans Pro" w:hAnsi="Source Sans Pro"/>
          <w:color w:val="31333F"/>
        </w:rPr>
        <w:t>nonlease</w:t>
      </w:r>
      <w:proofErr w:type="spellEnd"/>
      <w:r>
        <w:rPr>
          <w:rFonts w:ascii="Source Sans Pro" w:hAnsi="Source Sans Pro"/>
          <w:color w:val="31333F"/>
        </w:rPr>
        <w:t xml:space="preserve"> components when the underlying event occurs and then recognized in accordance with ASC 842-10-15-40. On the other hand, if the variable payments are exclusively related to the </w:t>
      </w:r>
      <w:proofErr w:type="spellStart"/>
      <w:r>
        <w:rPr>
          <w:rFonts w:ascii="Source Sans Pro" w:hAnsi="Source Sans Pro"/>
          <w:color w:val="31333F"/>
        </w:rPr>
        <w:t>nonlease</w:t>
      </w:r>
      <w:proofErr w:type="spellEnd"/>
      <w:r>
        <w:rPr>
          <w:rFonts w:ascii="Source Sans Pro" w:hAnsi="Source Sans Pro"/>
          <w:color w:val="31333F"/>
        </w:rPr>
        <w:t xml:space="preserve"> component, they are included in the allocation for initial measurement.</w:t>
      </w:r>
    </w:p>
    <w:p w14:paraId="45E387A1" w14:textId="77777777" w:rsidR="009F07A5" w:rsidRDefault="009F07A5" w:rsidP="009F07A5">
      <w:pPr>
        <w:pStyle w:val="NormalWeb"/>
        <w:shd w:val="clear" w:color="auto" w:fill="F0FAFF"/>
        <w:rPr>
          <w:rFonts w:ascii="Source Sans Pro" w:hAnsi="Source Sans Pro"/>
          <w:color w:val="31333F"/>
        </w:rPr>
      </w:pPr>
      <w:r>
        <w:rPr>
          <w:rFonts w:ascii="Source Sans Pro" w:hAnsi="Source Sans Pro"/>
          <w:color w:val="31333F"/>
        </w:rPr>
        <w:t>The allocation of variable payments should be done in a manner that is consistent with the transaction price allocation objective in ASC 606. This objective is to allocate the transaction price to each performance obligation in an amount that depicts the consideration to which the entity expects to be entitled in exchange for transferring the promised goods or services to the customer.</w:t>
      </w:r>
    </w:p>
    <w:p w14:paraId="44D70002" w14:textId="77777777" w:rsidR="009F07A5" w:rsidRDefault="009F07A5" w:rsidP="009F07A5">
      <w:pPr>
        <w:pStyle w:val="NormalWeb"/>
        <w:shd w:val="clear" w:color="auto" w:fill="F0FAFF"/>
        <w:rPr>
          <w:rFonts w:ascii="Source Sans Pro" w:hAnsi="Source Sans Pro"/>
          <w:color w:val="31333F"/>
        </w:rPr>
      </w:pPr>
      <w:r>
        <w:rPr>
          <w:rFonts w:ascii="Source Sans Pro" w:hAnsi="Source Sans Pro"/>
          <w:color w:val="31333F"/>
        </w:rPr>
        <w:t xml:space="preserve">In summary, variable payments in a lease contract can be associated with either lease components or </w:t>
      </w:r>
      <w:proofErr w:type="spellStart"/>
      <w:r>
        <w:rPr>
          <w:rFonts w:ascii="Source Sans Pro" w:hAnsi="Source Sans Pro"/>
          <w:color w:val="31333F"/>
        </w:rPr>
        <w:t>nonlease</w:t>
      </w:r>
      <w:proofErr w:type="spellEnd"/>
      <w:r>
        <w:rPr>
          <w:rFonts w:ascii="Source Sans Pro" w:hAnsi="Source Sans Pro"/>
          <w:color w:val="31333F"/>
        </w:rPr>
        <w:t xml:space="preserve"> components, and the allocation should be done in accordance with the specific guidance provided in ASC 842 and ASC 606. References: ASC 842-10-55-153 to 10-55-156 ASC 606-10-32-28 to 10-32-40</w:t>
      </w:r>
    </w:p>
    <w:p w14:paraId="3FF172DF" w14:textId="77777777" w:rsidR="009F07A5" w:rsidRDefault="009F07A5"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p>
    <w:p w14:paraId="5E8B5EF3" w14:textId="77777777" w:rsidR="009F07A5" w:rsidRDefault="009F07A5"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p>
    <w:p w14:paraId="10713516" w14:textId="77777777" w:rsidR="009F07A5" w:rsidRDefault="009F07A5"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p>
    <w:p w14:paraId="2347202A" w14:textId="23C67B34" w:rsid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Pr>
          <w:rFonts w:ascii="Source Sans Pro" w:eastAsia="Times New Roman" w:hAnsi="Source Sans Pro" w:cs="Times New Roman"/>
          <w:color w:val="31333F"/>
          <w:kern w:val="0"/>
          <w:sz w:val="24"/>
          <w:szCs w:val="24"/>
          <w14:ligatures w14:val="none"/>
        </w:rPr>
        <w:t>Temperature: 0.1</w:t>
      </w:r>
    </w:p>
    <w:p w14:paraId="5B2C8216" w14:textId="77777777" w:rsid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p>
    <w:p w14:paraId="6592266C" w14:textId="7AA9B25D" w:rsidR="007B575E" w:rsidRP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proofErr w:type="gramStart"/>
      <w:r w:rsidRPr="007B575E">
        <w:rPr>
          <w:rFonts w:ascii="Source Sans Pro" w:eastAsia="Times New Roman" w:hAnsi="Source Sans Pro" w:cs="Times New Roman"/>
          <w:color w:val="31333F"/>
          <w:kern w:val="0"/>
          <w:sz w:val="24"/>
          <w:szCs w:val="24"/>
          <w14:ligatures w14:val="none"/>
        </w:rPr>
        <w:t>how</w:t>
      </w:r>
      <w:proofErr w:type="gramEnd"/>
      <w:r w:rsidRPr="007B575E">
        <w:rPr>
          <w:rFonts w:ascii="Source Sans Pro" w:eastAsia="Times New Roman" w:hAnsi="Source Sans Pro" w:cs="Times New Roman"/>
          <w:color w:val="31333F"/>
          <w:kern w:val="0"/>
          <w:sz w:val="24"/>
          <w:szCs w:val="24"/>
          <w14:ligatures w14:val="none"/>
        </w:rPr>
        <w:t xml:space="preserve"> are variable payments considered and are they always associated with </w:t>
      </w:r>
      <w:proofErr w:type="spellStart"/>
      <w:r w:rsidRPr="007B575E">
        <w:rPr>
          <w:rFonts w:ascii="Source Sans Pro" w:eastAsia="Times New Roman" w:hAnsi="Source Sans Pro" w:cs="Times New Roman"/>
          <w:color w:val="31333F"/>
          <w:kern w:val="0"/>
          <w:sz w:val="24"/>
          <w:szCs w:val="24"/>
          <w14:ligatures w14:val="none"/>
        </w:rPr>
        <w:t>nonlease</w:t>
      </w:r>
      <w:proofErr w:type="spellEnd"/>
      <w:r w:rsidRPr="007B575E">
        <w:rPr>
          <w:rFonts w:ascii="Source Sans Pro" w:eastAsia="Times New Roman" w:hAnsi="Source Sans Pro" w:cs="Times New Roman"/>
          <w:color w:val="31333F"/>
          <w:kern w:val="0"/>
          <w:sz w:val="24"/>
          <w:szCs w:val="24"/>
          <w14:ligatures w14:val="none"/>
        </w:rPr>
        <w:t xml:space="preserve"> components?</w:t>
      </w:r>
    </w:p>
    <w:p w14:paraId="32D8DC65" w14:textId="77777777" w:rsidR="007B575E" w:rsidRP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b/>
          <w:bCs/>
          <w:color w:val="31333F"/>
          <w:kern w:val="0"/>
          <w:sz w:val="24"/>
          <w:szCs w:val="24"/>
          <w14:ligatures w14:val="none"/>
        </w:rPr>
        <w:t>Response:</w:t>
      </w:r>
    </w:p>
    <w:p w14:paraId="448BDC64" w14:textId="77777777" w:rsidR="007B575E" w:rsidRP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 xml:space="preserve">Variable payments in a lease contract can be associated with either lease components or </w:t>
      </w:r>
      <w:proofErr w:type="spellStart"/>
      <w:r w:rsidRPr="007B575E">
        <w:rPr>
          <w:rFonts w:ascii="Source Sans Pro" w:eastAsia="Times New Roman" w:hAnsi="Source Sans Pro" w:cs="Times New Roman"/>
          <w:color w:val="31333F"/>
          <w:kern w:val="0"/>
          <w:sz w:val="24"/>
          <w:szCs w:val="24"/>
          <w14:ligatures w14:val="none"/>
        </w:rPr>
        <w:t>nonlease</w:t>
      </w:r>
      <w:proofErr w:type="spellEnd"/>
      <w:r w:rsidRPr="007B575E">
        <w:rPr>
          <w:rFonts w:ascii="Source Sans Pro" w:eastAsia="Times New Roman" w:hAnsi="Source Sans Pro" w:cs="Times New Roman"/>
          <w:color w:val="31333F"/>
          <w:kern w:val="0"/>
          <w:sz w:val="24"/>
          <w:szCs w:val="24"/>
          <w14:ligatures w14:val="none"/>
        </w:rPr>
        <w:t xml:space="preserve"> components. The first step in accounting for variable lease payments is to determine whether the payments relate, even partially, to a lease element. This determination involves analyzing the factors that drive the </w:t>
      </w:r>
      <w:r w:rsidRPr="007B575E">
        <w:rPr>
          <w:rFonts w:ascii="Source Sans Pro" w:eastAsia="Times New Roman" w:hAnsi="Source Sans Pro" w:cs="Times New Roman"/>
          <w:color w:val="31333F"/>
          <w:kern w:val="0"/>
          <w:sz w:val="24"/>
          <w:szCs w:val="24"/>
          <w14:ligatures w14:val="none"/>
        </w:rPr>
        <w:lastRenderedPageBreak/>
        <w:t>variability of the payments. These factors can be physical, such as machine hours or equipment usage time, or economic, such as sales revenues and profits.</w:t>
      </w:r>
    </w:p>
    <w:p w14:paraId="4492D007" w14:textId="77777777" w:rsidR="007B575E" w:rsidRP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 xml:space="preserve">If the variable payments relate partially or fully to the lease component, they are excluded from the allocation for initial measurement. Instead, they are subsequently allocated between the lease and </w:t>
      </w:r>
      <w:proofErr w:type="spellStart"/>
      <w:proofErr w:type="gramStart"/>
      <w:r w:rsidRPr="007B575E">
        <w:rPr>
          <w:rFonts w:ascii="Source Sans Pro" w:eastAsia="Times New Roman" w:hAnsi="Source Sans Pro" w:cs="Times New Roman"/>
          <w:color w:val="31333F"/>
          <w:kern w:val="0"/>
          <w:sz w:val="24"/>
          <w:szCs w:val="24"/>
          <w14:ligatures w14:val="none"/>
        </w:rPr>
        <w:t>nonlease</w:t>
      </w:r>
      <w:proofErr w:type="spellEnd"/>
      <w:proofErr w:type="gramEnd"/>
      <w:r w:rsidRPr="007B575E">
        <w:rPr>
          <w:rFonts w:ascii="Source Sans Pro" w:eastAsia="Times New Roman" w:hAnsi="Source Sans Pro" w:cs="Times New Roman"/>
          <w:color w:val="31333F"/>
          <w:kern w:val="0"/>
          <w:sz w:val="24"/>
          <w:szCs w:val="24"/>
          <w14:ligatures w14:val="none"/>
        </w:rPr>
        <w:t xml:space="preserve"> components when the underlying event occurs. On the other hand, if the variable payments are exclusively related to the </w:t>
      </w:r>
      <w:proofErr w:type="spellStart"/>
      <w:r w:rsidRPr="007B575E">
        <w:rPr>
          <w:rFonts w:ascii="Source Sans Pro" w:eastAsia="Times New Roman" w:hAnsi="Source Sans Pro" w:cs="Times New Roman"/>
          <w:color w:val="31333F"/>
          <w:kern w:val="0"/>
          <w:sz w:val="24"/>
          <w:szCs w:val="24"/>
          <w14:ligatures w14:val="none"/>
        </w:rPr>
        <w:t>nonlease</w:t>
      </w:r>
      <w:proofErr w:type="spellEnd"/>
      <w:r w:rsidRPr="007B575E">
        <w:rPr>
          <w:rFonts w:ascii="Source Sans Pro" w:eastAsia="Times New Roman" w:hAnsi="Source Sans Pro" w:cs="Times New Roman"/>
          <w:color w:val="31333F"/>
          <w:kern w:val="0"/>
          <w:sz w:val="24"/>
          <w:szCs w:val="24"/>
          <w14:ligatures w14:val="none"/>
        </w:rPr>
        <w:t xml:space="preserve"> component and allocating them entirely to the </w:t>
      </w:r>
      <w:proofErr w:type="spellStart"/>
      <w:r w:rsidRPr="007B575E">
        <w:rPr>
          <w:rFonts w:ascii="Source Sans Pro" w:eastAsia="Times New Roman" w:hAnsi="Source Sans Pro" w:cs="Times New Roman"/>
          <w:color w:val="31333F"/>
          <w:kern w:val="0"/>
          <w:sz w:val="24"/>
          <w:szCs w:val="24"/>
          <w14:ligatures w14:val="none"/>
        </w:rPr>
        <w:t>nonlease</w:t>
      </w:r>
      <w:proofErr w:type="spellEnd"/>
      <w:r w:rsidRPr="007B575E">
        <w:rPr>
          <w:rFonts w:ascii="Source Sans Pro" w:eastAsia="Times New Roman" w:hAnsi="Source Sans Pro" w:cs="Times New Roman"/>
          <w:color w:val="31333F"/>
          <w:kern w:val="0"/>
          <w:sz w:val="24"/>
          <w:szCs w:val="24"/>
          <w14:ligatures w14:val="none"/>
        </w:rPr>
        <w:t xml:space="preserve"> component is consistent with the transaction price allocation objective in ASC 606, then they should be allocated entirely to the </w:t>
      </w:r>
      <w:proofErr w:type="spellStart"/>
      <w:r w:rsidRPr="007B575E">
        <w:rPr>
          <w:rFonts w:ascii="Source Sans Pro" w:eastAsia="Times New Roman" w:hAnsi="Source Sans Pro" w:cs="Times New Roman"/>
          <w:color w:val="31333F"/>
          <w:kern w:val="0"/>
          <w:sz w:val="24"/>
          <w:szCs w:val="24"/>
          <w14:ligatures w14:val="none"/>
        </w:rPr>
        <w:t>nonlease</w:t>
      </w:r>
      <w:proofErr w:type="spellEnd"/>
      <w:r w:rsidRPr="007B575E">
        <w:rPr>
          <w:rFonts w:ascii="Source Sans Pro" w:eastAsia="Times New Roman" w:hAnsi="Source Sans Pro" w:cs="Times New Roman"/>
          <w:color w:val="31333F"/>
          <w:kern w:val="0"/>
          <w:sz w:val="24"/>
          <w:szCs w:val="24"/>
          <w14:ligatures w14:val="none"/>
        </w:rPr>
        <w:t xml:space="preserve"> component.</w:t>
      </w:r>
    </w:p>
    <w:p w14:paraId="4F43855E" w14:textId="77777777" w:rsidR="007B575E" w:rsidRP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 xml:space="preserve">In the scenario where variable payments are specifically related to an outcome from the lessor's performance of maintenance services, the lessor evaluates the variable payments in accordance with the variable consideration guidance in ASC 606. The allocation of variable payments should be done on a relative standalone price basis to ensure that the consideration is allocated appropriately between the lease and </w:t>
      </w:r>
      <w:proofErr w:type="spellStart"/>
      <w:r w:rsidRPr="007B575E">
        <w:rPr>
          <w:rFonts w:ascii="Source Sans Pro" w:eastAsia="Times New Roman" w:hAnsi="Source Sans Pro" w:cs="Times New Roman"/>
          <w:color w:val="31333F"/>
          <w:kern w:val="0"/>
          <w:sz w:val="24"/>
          <w:szCs w:val="24"/>
          <w14:ligatures w14:val="none"/>
        </w:rPr>
        <w:t>nonlease</w:t>
      </w:r>
      <w:proofErr w:type="spellEnd"/>
      <w:r w:rsidRPr="007B575E">
        <w:rPr>
          <w:rFonts w:ascii="Source Sans Pro" w:eastAsia="Times New Roman" w:hAnsi="Source Sans Pro" w:cs="Times New Roman"/>
          <w:color w:val="31333F"/>
          <w:kern w:val="0"/>
          <w:sz w:val="24"/>
          <w:szCs w:val="24"/>
          <w14:ligatures w14:val="none"/>
        </w:rPr>
        <w:t xml:space="preserve"> components.</w:t>
      </w:r>
    </w:p>
    <w:p w14:paraId="6C604568" w14:textId="77777777" w:rsidR="007B575E" w:rsidRPr="007B575E" w:rsidRDefault="007B575E" w:rsidP="007B575E">
      <w:pPr>
        <w:shd w:val="clear" w:color="auto" w:fill="F0FA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References:</w:t>
      </w:r>
    </w:p>
    <w:p w14:paraId="445393F4" w14:textId="77777777" w:rsidR="007B575E" w:rsidRPr="007B575E" w:rsidRDefault="007B575E" w:rsidP="007B575E">
      <w:pPr>
        <w:numPr>
          <w:ilvl w:val="0"/>
          <w:numId w:val="1"/>
        </w:numPr>
        <w:shd w:val="clear" w:color="auto" w:fill="F0FAFF"/>
        <w:spacing w:before="48" w:after="48" w:line="240" w:lineRule="auto"/>
        <w:ind w:left="1008"/>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ASC 842-10-55-153 to 55-156</w:t>
      </w:r>
    </w:p>
    <w:p w14:paraId="555FC424" w14:textId="77777777" w:rsidR="007B575E" w:rsidRPr="007B575E" w:rsidRDefault="007B575E" w:rsidP="007B575E">
      <w:pPr>
        <w:numPr>
          <w:ilvl w:val="0"/>
          <w:numId w:val="1"/>
        </w:numPr>
        <w:shd w:val="clear" w:color="auto" w:fill="F0FAFF"/>
        <w:spacing w:before="48" w:after="48" w:line="240" w:lineRule="auto"/>
        <w:ind w:left="1008"/>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ASC 606-10-32-28, 606-10-32-29, 606-10-32-40</w:t>
      </w:r>
    </w:p>
    <w:p w14:paraId="55F48460" w14:textId="77777777" w:rsidR="007B575E" w:rsidRPr="007B575E" w:rsidRDefault="007B575E" w:rsidP="007B575E">
      <w:pPr>
        <w:numPr>
          <w:ilvl w:val="0"/>
          <w:numId w:val="1"/>
        </w:numPr>
        <w:shd w:val="clear" w:color="auto" w:fill="F0FAFF"/>
        <w:spacing w:before="48" w:after="48" w:line="240" w:lineRule="auto"/>
        <w:ind w:left="1008"/>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EY Financial Reporting Developments Lease Accounting, section 2-38, page 56</w:t>
      </w:r>
    </w:p>
    <w:p w14:paraId="208734EA" w14:textId="77777777" w:rsidR="007B575E" w:rsidRPr="007B575E" w:rsidRDefault="007B575E" w:rsidP="007B575E">
      <w:pPr>
        <w:numPr>
          <w:ilvl w:val="0"/>
          <w:numId w:val="1"/>
        </w:numPr>
        <w:shd w:val="clear" w:color="auto" w:fill="F0FAFF"/>
        <w:spacing w:before="48" w:after="48" w:line="240" w:lineRule="auto"/>
        <w:ind w:left="1008"/>
        <w:rPr>
          <w:rFonts w:ascii="Source Sans Pro" w:eastAsia="Times New Roman" w:hAnsi="Source Sans Pro" w:cs="Times New Roman"/>
          <w:color w:val="31333F"/>
          <w:kern w:val="0"/>
          <w:sz w:val="24"/>
          <w:szCs w:val="24"/>
          <w14:ligatures w14:val="none"/>
        </w:rPr>
      </w:pPr>
      <w:r w:rsidRPr="007B575E">
        <w:rPr>
          <w:rFonts w:ascii="Source Sans Pro" w:eastAsia="Times New Roman" w:hAnsi="Source Sans Pro" w:cs="Times New Roman"/>
          <w:color w:val="31333F"/>
          <w:kern w:val="0"/>
          <w:sz w:val="24"/>
          <w:szCs w:val="24"/>
          <w14:ligatures w14:val="none"/>
        </w:rPr>
        <w:t xml:space="preserve">KPMG Leases Handbook, section 15-40, page </w:t>
      </w:r>
      <w:proofErr w:type="gramStart"/>
      <w:r w:rsidRPr="007B575E">
        <w:rPr>
          <w:rFonts w:ascii="Source Sans Pro" w:eastAsia="Times New Roman" w:hAnsi="Source Sans Pro" w:cs="Times New Roman"/>
          <w:color w:val="31333F"/>
          <w:kern w:val="0"/>
          <w:sz w:val="24"/>
          <w:szCs w:val="24"/>
          <w14:ligatures w14:val="none"/>
        </w:rPr>
        <w:t>198</w:t>
      </w:r>
      <w:proofErr w:type="gramEnd"/>
    </w:p>
    <w:p w14:paraId="7E6032CF" w14:textId="77777777" w:rsidR="001015F3" w:rsidRDefault="001015F3"/>
    <w:sectPr w:rsidR="001015F3" w:rsidSect="007B57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0D4C0D"/>
    <w:multiLevelType w:val="multilevel"/>
    <w:tmpl w:val="BD46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45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5E"/>
    <w:rsid w:val="00052A8D"/>
    <w:rsid w:val="001015F3"/>
    <w:rsid w:val="007B575E"/>
    <w:rsid w:val="009F07A5"/>
    <w:rsid w:val="00BF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2270"/>
  <w15:chartTrackingRefBased/>
  <w15:docId w15:val="{2CA57550-F059-4C0A-B7B0-8685A499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75E"/>
    <w:rPr>
      <w:rFonts w:eastAsiaTheme="majorEastAsia" w:cstheme="majorBidi"/>
      <w:color w:val="272727" w:themeColor="text1" w:themeTint="D8"/>
    </w:rPr>
  </w:style>
  <w:style w:type="paragraph" w:styleId="Title">
    <w:name w:val="Title"/>
    <w:basedOn w:val="Normal"/>
    <w:next w:val="Normal"/>
    <w:link w:val="TitleChar"/>
    <w:uiPriority w:val="10"/>
    <w:qFormat/>
    <w:rsid w:val="007B5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75E"/>
    <w:pPr>
      <w:spacing w:before="160"/>
      <w:jc w:val="center"/>
    </w:pPr>
    <w:rPr>
      <w:i/>
      <w:iCs/>
      <w:color w:val="404040" w:themeColor="text1" w:themeTint="BF"/>
    </w:rPr>
  </w:style>
  <w:style w:type="character" w:customStyle="1" w:styleId="QuoteChar">
    <w:name w:val="Quote Char"/>
    <w:basedOn w:val="DefaultParagraphFont"/>
    <w:link w:val="Quote"/>
    <w:uiPriority w:val="29"/>
    <w:rsid w:val="007B575E"/>
    <w:rPr>
      <w:i/>
      <w:iCs/>
      <w:color w:val="404040" w:themeColor="text1" w:themeTint="BF"/>
    </w:rPr>
  </w:style>
  <w:style w:type="paragraph" w:styleId="ListParagraph">
    <w:name w:val="List Paragraph"/>
    <w:basedOn w:val="Normal"/>
    <w:uiPriority w:val="34"/>
    <w:qFormat/>
    <w:rsid w:val="007B575E"/>
    <w:pPr>
      <w:ind w:left="720"/>
      <w:contextualSpacing/>
    </w:pPr>
  </w:style>
  <w:style w:type="character" w:styleId="IntenseEmphasis">
    <w:name w:val="Intense Emphasis"/>
    <w:basedOn w:val="DefaultParagraphFont"/>
    <w:uiPriority w:val="21"/>
    <w:qFormat/>
    <w:rsid w:val="007B575E"/>
    <w:rPr>
      <w:i/>
      <w:iCs/>
      <w:color w:val="0F4761" w:themeColor="accent1" w:themeShade="BF"/>
    </w:rPr>
  </w:style>
  <w:style w:type="paragraph" w:styleId="IntenseQuote">
    <w:name w:val="Intense Quote"/>
    <w:basedOn w:val="Normal"/>
    <w:next w:val="Normal"/>
    <w:link w:val="IntenseQuoteChar"/>
    <w:uiPriority w:val="30"/>
    <w:qFormat/>
    <w:rsid w:val="007B5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75E"/>
    <w:rPr>
      <w:i/>
      <w:iCs/>
      <w:color w:val="0F4761" w:themeColor="accent1" w:themeShade="BF"/>
    </w:rPr>
  </w:style>
  <w:style w:type="character" w:styleId="IntenseReference">
    <w:name w:val="Intense Reference"/>
    <w:basedOn w:val="DefaultParagraphFont"/>
    <w:uiPriority w:val="32"/>
    <w:qFormat/>
    <w:rsid w:val="007B575E"/>
    <w:rPr>
      <w:b/>
      <w:bCs/>
      <w:smallCaps/>
      <w:color w:val="0F4761" w:themeColor="accent1" w:themeShade="BF"/>
      <w:spacing w:val="5"/>
    </w:rPr>
  </w:style>
  <w:style w:type="paragraph" w:styleId="NormalWeb">
    <w:name w:val="Normal (Web)"/>
    <w:basedOn w:val="Normal"/>
    <w:uiPriority w:val="99"/>
    <w:semiHidden/>
    <w:unhideWhenUsed/>
    <w:rsid w:val="007B57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57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13930">
      <w:bodyDiv w:val="1"/>
      <w:marLeft w:val="0"/>
      <w:marRight w:val="0"/>
      <w:marTop w:val="0"/>
      <w:marBottom w:val="0"/>
      <w:divBdr>
        <w:top w:val="none" w:sz="0" w:space="0" w:color="auto"/>
        <w:left w:val="none" w:sz="0" w:space="0" w:color="auto"/>
        <w:bottom w:val="none" w:sz="0" w:space="0" w:color="auto"/>
        <w:right w:val="none" w:sz="0" w:space="0" w:color="auto"/>
      </w:divBdr>
      <w:divsChild>
        <w:div w:id="1239096190">
          <w:marLeft w:val="0"/>
          <w:marRight w:val="0"/>
          <w:marTop w:val="0"/>
          <w:marBottom w:val="0"/>
          <w:divBdr>
            <w:top w:val="none" w:sz="0" w:space="0" w:color="auto"/>
            <w:left w:val="none" w:sz="0" w:space="0" w:color="auto"/>
            <w:bottom w:val="none" w:sz="0" w:space="0" w:color="auto"/>
            <w:right w:val="none" w:sz="0" w:space="0" w:color="auto"/>
          </w:divBdr>
          <w:divsChild>
            <w:div w:id="21592892">
              <w:marLeft w:val="0"/>
              <w:marRight w:val="0"/>
              <w:marTop w:val="0"/>
              <w:marBottom w:val="0"/>
              <w:divBdr>
                <w:top w:val="none" w:sz="0" w:space="0" w:color="auto"/>
                <w:left w:val="none" w:sz="0" w:space="0" w:color="auto"/>
                <w:bottom w:val="none" w:sz="0" w:space="0" w:color="auto"/>
                <w:right w:val="none" w:sz="0" w:space="0" w:color="auto"/>
              </w:divBdr>
              <w:divsChild>
                <w:div w:id="1194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7581">
          <w:marLeft w:val="0"/>
          <w:marRight w:val="0"/>
          <w:marTop w:val="0"/>
          <w:marBottom w:val="0"/>
          <w:divBdr>
            <w:top w:val="none" w:sz="0" w:space="0" w:color="auto"/>
            <w:left w:val="none" w:sz="0" w:space="0" w:color="auto"/>
            <w:bottom w:val="none" w:sz="0" w:space="0" w:color="auto"/>
            <w:right w:val="none" w:sz="0" w:space="0" w:color="auto"/>
          </w:divBdr>
          <w:divsChild>
            <w:div w:id="1864779523">
              <w:marLeft w:val="0"/>
              <w:marRight w:val="0"/>
              <w:marTop w:val="0"/>
              <w:marBottom w:val="0"/>
              <w:divBdr>
                <w:top w:val="none" w:sz="0" w:space="0" w:color="auto"/>
                <w:left w:val="none" w:sz="0" w:space="0" w:color="auto"/>
                <w:bottom w:val="none" w:sz="0" w:space="0" w:color="auto"/>
                <w:right w:val="none" w:sz="0" w:space="0" w:color="auto"/>
              </w:divBdr>
              <w:divsChild>
                <w:div w:id="1344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5565">
          <w:marLeft w:val="0"/>
          <w:marRight w:val="0"/>
          <w:marTop w:val="0"/>
          <w:marBottom w:val="0"/>
          <w:divBdr>
            <w:top w:val="none" w:sz="0" w:space="0" w:color="auto"/>
            <w:left w:val="none" w:sz="0" w:space="0" w:color="auto"/>
            <w:bottom w:val="none" w:sz="0" w:space="0" w:color="auto"/>
            <w:right w:val="none" w:sz="0" w:space="0" w:color="auto"/>
          </w:divBdr>
          <w:divsChild>
            <w:div w:id="587427954">
              <w:marLeft w:val="0"/>
              <w:marRight w:val="0"/>
              <w:marTop w:val="0"/>
              <w:marBottom w:val="0"/>
              <w:divBdr>
                <w:top w:val="none" w:sz="0" w:space="0" w:color="auto"/>
                <w:left w:val="none" w:sz="0" w:space="0" w:color="auto"/>
                <w:bottom w:val="none" w:sz="0" w:space="0" w:color="auto"/>
                <w:right w:val="none" w:sz="0" w:space="0" w:color="auto"/>
              </w:divBdr>
              <w:divsChild>
                <w:div w:id="9690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1894">
      <w:bodyDiv w:val="1"/>
      <w:marLeft w:val="0"/>
      <w:marRight w:val="0"/>
      <w:marTop w:val="0"/>
      <w:marBottom w:val="0"/>
      <w:divBdr>
        <w:top w:val="none" w:sz="0" w:space="0" w:color="auto"/>
        <w:left w:val="none" w:sz="0" w:space="0" w:color="auto"/>
        <w:bottom w:val="none" w:sz="0" w:space="0" w:color="auto"/>
        <w:right w:val="none" w:sz="0" w:space="0" w:color="auto"/>
      </w:divBdr>
      <w:divsChild>
        <w:div w:id="1083602744">
          <w:marLeft w:val="0"/>
          <w:marRight w:val="0"/>
          <w:marTop w:val="0"/>
          <w:marBottom w:val="0"/>
          <w:divBdr>
            <w:top w:val="none" w:sz="0" w:space="0" w:color="auto"/>
            <w:left w:val="none" w:sz="0" w:space="0" w:color="auto"/>
            <w:bottom w:val="none" w:sz="0" w:space="0" w:color="auto"/>
            <w:right w:val="none" w:sz="0" w:space="0" w:color="auto"/>
          </w:divBdr>
          <w:divsChild>
            <w:div w:id="277489365">
              <w:marLeft w:val="0"/>
              <w:marRight w:val="0"/>
              <w:marTop w:val="0"/>
              <w:marBottom w:val="0"/>
              <w:divBdr>
                <w:top w:val="none" w:sz="0" w:space="0" w:color="auto"/>
                <w:left w:val="none" w:sz="0" w:space="0" w:color="auto"/>
                <w:bottom w:val="none" w:sz="0" w:space="0" w:color="auto"/>
                <w:right w:val="none" w:sz="0" w:space="0" w:color="auto"/>
              </w:divBdr>
              <w:divsChild>
                <w:div w:id="1423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19959">
          <w:marLeft w:val="0"/>
          <w:marRight w:val="0"/>
          <w:marTop w:val="0"/>
          <w:marBottom w:val="0"/>
          <w:divBdr>
            <w:top w:val="none" w:sz="0" w:space="0" w:color="auto"/>
            <w:left w:val="none" w:sz="0" w:space="0" w:color="auto"/>
            <w:bottom w:val="none" w:sz="0" w:space="0" w:color="auto"/>
            <w:right w:val="none" w:sz="0" w:space="0" w:color="auto"/>
          </w:divBdr>
          <w:divsChild>
            <w:div w:id="1171873756">
              <w:marLeft w:val="0"/>
              <w:marRight w:val="0"/>
              <w:marTop w:val="0"/>
              <w:marBottom w:val="0"/>
              <w:divBdr>
                <w:top w:val="none" w:sz="0" w:space="0" w:color="auto"/>
                <w:left w:val="none" w:sz="0" w:space="0" w:color="auto"/>
                <w:bottom w:val="none" w:sz="0" w:space="0" w:color="auto"/>
                <w:right w:val="none" w:sz="0" w:space="0" w:color="auto"/>
              </w:divBdr>
              <w:divsChild>
                <w:div w:id="14809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165">
          <w:marLeft w:val="0"/>
          <w:marRight w:val="0"/>
          <w:marTop w:val="0"/>
          <w:marBottom w:val="0"/>
          <w:divBdr>
            <w:top w:val="none" w:sz="0" w:space="0" w:color="auto"/>
            <w:left w:val="none" w:sz="0" w:space="0" w:color="auto"/>
            <w:bottom w:val="none" w:sz="0" w:space="0" w:color="auto"/>
            <w:right w:val="none" w:sz="0" w:space="0" w:color="auto"/>
          </w:divBdr>
          <w:divsChild>
            <w:div w:id="2055157722">
              <w:marLeft w:val="0"/>
              <w:marRight w:val="0"/>
              <w:marTop w:val="0"/>
              <w:marBottom w:val="0"/>
              <w:divBdr>
                <w:top w:val="none" w:sz="0" w:space="0" w:color="auto"/>
                <w:left w:val="none" w:sz="0" w:space="0" w:color="auto"/>
                <w:bottom w:val="none" w:sz="0" w:space="0" w:color="auto"/>
                <w:right w:val="none" w:sz="0" w:space="0" w:color="auto"/>
              </w:divBdr>
              <w:divsChild>
                <w:div w:id="12592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4406">
          <w:marLeft w:val="0"/>
          <w:marRight w:val="0"/>
          <w:marTop w:val="0"/>
          <w:marBottom w:val="0"/>
          <w:divBdr>
            <w:top w:val="none" w:sz="0" w:space="0" w:color="auto"/>
            <w:left w:val="none" w:sz="0" w:space="0" w:color="auto"/>
            <w:bottom w:val="none" w:sz="0" w:space="0" w:color="auto"/>
            <w:right w:val="none" w:sz="0" w:space="0" w:color="auto"/>
          </w:divBdr>
          <w:divsChild>
            <w:div w:id="1722749598">
              <w:marLeft w:val="0"/>
              <w:marRight w:val="0"/>
              <w:marTop w:val="0"/>
              <w:marBottom w:val="0"/>
              <w:divBdr>
                <w:top w:val="none" w:sz="0" w:space="0" w:color="auto"/>
                <w:left w:val="none" w:sz="0" w:space="0" w:color="auto"/>
                <w:bottom w:val="none" w:sz="0" w:space="0" w:color="auto"/>
                <w:right w:val="none" w:sz="0" w:space="0" w:color="auto"/>
              </w:divBdr>
              <w:divsChild>
                <w:div w:id="18557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McCanse</dc:creator>
  <cp:keywords/>
  <dc:description/>
  <cp:lastModifiedBy>Meredith McCanse</cp:lastModifiedBy>
  <cp:revision>2</cp:revision>
  <dcterms:created xsi:type="dcterms:W3CDTF">2024-05-01T00:39:00Z</dcterms:created>
  <dcterms:modified xsi:type="dcterms:W3CDTF">2024-05-01T00:45:00Z</dcterms:modified>
</cp:coreProperties>
</file>