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sz w:val="44"/>
          <w:szCs w:val="44"/>
        </w:rPr>
        <w:t xml:space="preserve">BK FastLane CRM Lite</w:t>
      </w:r>
    </w:p>
    <w:p>
      <w:pPr>
        <w:spacing w:after="60"/>
      </w:pPr>
      <w:r>
        <w:rPr>
          <w:color w:val="3D5C43"/>
          <w:sz w:val="30"/>
          <w:szCs w:val="30"/>
        </w:rPr>
        <w:t xml:space="preserve">Debtor Intake Flow — Development Specification</w:t>
      </w:r>
    </w:p>
    <w:p>
      <w:pPr>
        <w:spacing w:after="300"/>
      </w:pPr>
      <w:r>
        <w:rPr>
          <w:i/>
          <w:iCs/>
          <w:color w:val="666666"/>
          <w:sz w:val="20"/>
          <w:szCs w:val="20"/>
        </w:rPr>
        <w:t xml:space="preserve">Version 1.0  ·  July 8, 2026  ·  Prepared for the development team  ·  Reference prototype: bkfl-lite.html</w:t>
      </w:r>
    </w:p>
    <w:p>
      <w:pPr>
        <w:pStyle w:val="Heading1"/>
      </w:pPr>
      <w:r>
        <w:t xml:space="preserve">1. Purpose and Scope</w:t>
      </w:r>
    </w:p>
    <w:p>
      <w:pPr>
        <w:spacing w:after="120"/>
      </w:pPr>
      <w:r>
        <w:t xml:space="preserve">CRM Lite is the law firm's entry point into the BK FastLane platform. Version 1 does one job well: a debtor completes and submits an intake packet, and the firm receives, sees, and works that submission from a clean dashboard. Everything in this build must serve that flow. Anything that does not is out of scope for v1.</w:t>
      </w:r>
    </w:p>
    <w:p>
      <w:pPr>
        <w:spacing w:after="120"/>
      </w:pPr>
      <w:r>
        <w:t xml:space="preserve">The guiding principles are: super clean, simple, and highly functional. The reference prototype (bkfl-lite.html) shows the intended look and feel: Dashboard (alerts, tasks, quick links), Leads, Contacts, and Tasks. No calendar, no inbox, no events, no matters, no communications module in v1.</w:t>
      </w:r>
    </w:p>
    <w:p>
      <w:pPr>
        <w:pStyle w:val="Heading1"/>
      </w:pPr>
      <w:r>
        <w:t xml:space="preserve">2. Object Model</w:t>
      </w:r>
    </w:p>
    <w:p>
      <w:pPr>
        <w:spacing w:after="120"/>
      </w:pPr>
      <w:r>
        <w:t xml:space="preserve">There are two records at the heart of the system. Their relationship is fixed and must never require the user to think about creation order.</w:t>
      </w:r>
    </w:p>
    <w:p>
      <w:pPr>
        <w:pStyle w:val="ListParagraph"/>
        <w:numPr>
          <w:ilvl w:val="0"/>
          <w:numId w:val="2"/>
        </w:numPr>
        <w:spacing w:after="80"/>
      </w:pPr>
      <w:r>
        <w:rPr>
          <w:b/>
          <w:bCs/>
        </w:rPr>
        <w:t xml:space="preserve">Contact</w:t>
      </w:r>
      <w:r>
        <w:t xml:space="preserve"> — the person (the debtor). One contact per human being. The contact's email address is the unique identifier for the person across the entire system.</w:t>
      </w:r>
    </w:p>
    <w:p>
      <w:pPr>
        <w:pStyle w:val="ListParagraph"/>
        <w:numPr>
          <w:ilvl w:val="0"/>
          <w:numId w:val="2"/>
        </w:numPr>
        <w:spacing w:after="80"/>
      </w:pPr>
      <w:r>
        <w:rPr>
          <w:b/>
          <w:bCs/>
        </w:rPr>
        <w:t xml:space="preserve">Lead</w:t>
      </w:r>
      <w:r>
        <w:t xml:space="preserve"> — that debtor's case with the law firm. A lead always belongs to exactly one contact. A contact may accumulate multiple leads over time (e.g., a returning debtor years later), but intake always works against the contact's current open lead.</w:t>
      </w:r>
    </w:p>
    <w:p>
      <w:pPr>
        <w:spacing w:after="120"/>
        <w:rPr>
          <w:b/>
          <w:bCs/>
        </w:rPr>
      </w:pPr>
      <w:r>
        <w:rPr>
          <w:b/>
          <w:bCs/>
        </w:rPr>
        <w:t xml:space="preserve">Invariant: after any intake event, both records exist and are linked. There is never a contact without at least one lead, and never a lead without a contact. Creating either one auto-creates the other — staff should never have to decide which to create first.</w:t>
      </w:r>
    </w:p>
    <w:p>
      <w:pPr>
        <w:pStyle w:val="Heading2"/>
      </w:pPr>
      <w:r>
        <w:t xml:space="preserve">2.1 Email is the Identity Key</w:t>
      </w:r>
    </w:p>
    <w:p>
      <w:pPr>
        <w:spacing w:after="120"/>
      </w:pPr>
      <w:r>
        <w:t xml:space="preserve">Email is the true record of whether a debtor already exists. Before any create operation, the system normalizes the submitted email (trim whitespace, lowercase) and looks up existing contacts. Exactly one contact may hold a given email; the database must enforce this with a unique constraint on the normalized value.</w:t>
      </w:r>
    </w:p>
    <w:p>
      <w:pPr>
        <w:pStyle w:val="Heading1"/>
      </w:pPr>
      <w:r>
        <w:t xml:space="preserve">3. Entry Path 1 — Debtor Self-Serve</w:t>
      </w:r>
    </w:p>
    <w:p>
      <w:pPr>
        <w:spacing w:after="120"/>
      </w:pPr>
      <w:r>
        <w:t xml:space="preserve">The debtor receives or finds the public intake link and completes the form on their own, with no prior contact with the firm.</w:t>
      </w:r>
    </w:p>
    <w:p>
      <w:pPr>
        <w:pStyle w:val="ListParagraph"/>
        <w:numPr>
          <w:ilvl w:val="0"/>
          <w:numId w:val="3"/>
        </w:numPr>
        <w:spacing w:after="80"/>
      </w:pPr>
      <w:r>
        <w:t xml:space="preserve">Debtor opens the intake link and completes the intake form.</w:t>
      </w:r>
    </w:p>
    <w:p>
      <w:pPr>
        <w:pStyle w:val="ListParagraph"/>
        <w:numPr>
          <w:ilvl w:val="0"/>
          <w:numId w:val="3"/>
        </w:numPr>
        <w:spacing w:after="80"/>
      </w:pPr>
      <w:r>
        <w:t xml:space="preserve">Debtor submits. The submission packet (form data + uploaded documents) is sent to the CRM intake endpoint.</w:t>
      </w:r>
    </w:p>
    <w:p>
      <w:pPr>
        <w:pStyle w:val="ListParagraph"/>
        <w:numPr>
          <w:ilvl w:val="0"/>
          <w:numId w:val="3"/>
        </w:numPr>
        <w:spacing w:after="80"/>
      </w:pPr>
      <w:r>
        <w:t xml:space="preserve">System normalizes the email and runs the dedupe check (Section 5).</w:t>
      </w:r>
    </w:p>
    <w:p>
      <w:pPr>
        <w:pStyle w:val="ListParagraph"/>
        <w:numPr>
          <w:ilvl w:val="0"/>
          <w:numId w:val="3"/>
        </w:numPr>
        <w:spacing w:after="80"/>
      </w:pPr>
      <w:r>
        <w:t xml:space="preserve">No match: system creates a Contact (from the identity fields on the form) and a Lead (stage “Intake Submitted”, source “Self-Serve Link”), links them, and attaches the packet to the lead.</w:t>
      </w:r>
    </w:p>
    <w:p>
      <w:pPr>
        <w:pStyle w:val="ListParagraph"/>
        <w:numPr>
          <w:ilvl w:val="0"/>
          <w:numId w:val="3"/>
        </w:numPr>
        <w:spacing w:after="80"/>
      </w:pPr>
      <w:r>
        <w:t xml:space="preserve">Match: system attaches the packet to the existing contact's open lead and advances that lead's stage to “Intake Submitted”. No new records are created.</w:t>
      </w:r>
    </w:p>
    <w:p>
      <w:pPr>
        <w:pStyle w:val="ListParagraph"/>
        <w:numPr>
          <w:ilvl w:val="0"/>
          <w:numId w:val="3"/>
        </w:numPr>
        <w:spacing w:after="80"/>
      </w:pPr>
      <w:r>
        <w:t xml:space="preserve">System writes a timeline entry on the lead (“Intake submitted”, timestamp) and stamps the lead's Intake Submitted Date.</w:t>
      </w:r>
    </w:p>
    <w:p>
      <w:pPr>
        <w:pStyle w:val="ListParagraph"/>
        <w:numPr>
          <w:ilvl w:val="0"/>
          <w:numId w:val="3"/>
        </w:numPr>
        <w:spacing w:after="80"/>
      </w:pPr>
      <w:r>
        <w:t xml:space="preserve">System raises a dashboard alert: “John Smith has submitted an intake.” Clicking the alert opens the lead.</w:t>
      </w:r>
    </w:p>
    <w:p>
      <w:pPr>
        <w:pStyle w:val="Heading1"/>
      </w:pPr>
      <w:r>
        <w:t xml:space="preserve">4. Entry Path 2 — Firm-Initiated</w:t>
      </w:r>
    </w:p>
    <w:p>
      <w:pPr>
        <w:spacing w:after="120"/>
      </w:pPr>
      <w:r>
        <w:t xml:space="preserve">The firm speaks with the debtor first (typically a phone call), creates the record manually, and sends the intake link from inside the CRM.</w:t>
      </w:r>
    </w:p>
    <w:p>
      <w:pPr>
        <w:pStyle w:val="ListParagraph"/>
        <w:numPr>
          <w:ilvl w:val="0"/>
          <w:numId w:val="4"/>
        </w:numPr>
        <w:spacing w:after="80"/>
      </w:pPr>
      <w:r>
        <w:t xml:space="preserve">Staff clicks Create and enters the debtor's name, email, and phone. Whether they start from “New Contact” or “New Lead” does not matter: saving either auto-creates and links the other (lead stage “New Lead”, source “Firm Created”).</w:t>
      </w:r>
    </w:p>
    <w:p>
      <w:pPr>
        <w:pStyle w:val="ListParagraph"/>
        <w:numPr>
          <w:ilvl w:val="0"/>
          <w:numId w:val="4"/>
        </w:numPr>
        <w:spacing w:after="80"/>
      </w:pPr>
      <w:r>
        <w:t xml:space="preserve">Staff clicks “Send Intake Link” on the lead. The CRM emails the debtor a tokenized intake link — the token identifies this specific lead. Lead stage advances to “Intake Sent”; a timeline entry records who sent it and when.</w:t>
      </w:r>
    </w:p>
    <w:p>
      <w:pPr>
        <w:pStyle w:val="ListParagraph"/>
        <w:numPr>
          <w:ilvl w:val="0"/>
          <w:numId w:val="4"/>
        </w:numPr>
        <w:spacing w:after="80"/>
      </w:pPr>
      <w:r>
        <w:t xml:space="preserve">Debtor opens the tokenized link and completes the form (identity fields pre-filled from the contact).</w:t>
      </w:r>
    </w:p>
    <w:p>
      <w:pPr>
        <w:pStyle w:val="ListParagraph"/>
        <w:numPr>
          <w:ilvl w:val="0"/>
          <w:numId w:val="4"/>
        </w:numPr>
        <w:spacing w:after="80"/>
      </w:pPr>
      <w:r>
        <w:t xml:space="preserve">Debtor submits. Because the link is tokenized, the packet attaches directly to that lead — no guessing. Stage advances to “Intake Submitted”; Intake Submitted Date is stamped.</w:t>
      </w:r>
    </w:p>
    <w:p>
      <w:pPr>
        <w:pStyle w:val="ListParagraph"/>
        <w:numPr>
          <w:ilvl w:val="0"/>
          <w:numId w:val="4"/>
        </w:numPr>
        <w:spacing w:after="80"/>
      </w:pPr>
      <w:r>
        <w:t xml:space="preserve">If the debtor ignores the tokenized link and instead submits through the generic public link, the email dedupe check (Section 5) still catches the match and attaches the packet to the existing lead. Either way: no duplicates.</w:t>
      </w:r>
    </w:p>
    <w:p>
      <w:pPr>
        <w:pStyle w:val="ListParagraph"/>
        <w:numPr>
          <w:ilvl w:val="0"/>
          <w:numId w:val="4"/>
        </w:numPr>
        <w:spacing w:after="80"/>
      </w:pPr>
      <w:r>
        <w:t xml:space="preserve">Dashboard alert fires exactly as in Path 1.</w:t>
      </w:r>
    </w:p>
    <w:p>
      <w:pPr>
        <w:pStyle w:val="Heading1"/>
      </w:pPr>
      <w:r>
        <w:t xml:space="preserve">5. Dedupe Logic (runs on every submission)</w:t>
      </w:r>
    </w:p>
    <w:p>
      <w:pPr>
        <w:pStyle w:val="ListParagraph"/>
        <w:numPr>
          <w:ilvl w:val="0"/>
          <w:numId w:val="5"/>
        </w:numPr>
        <w:spacing w:after="80"/>
      </w:pPr>
      <w:r>
        <w:t xml:space="preserve">Normalize email: trim, lowercase.</w:t>
      </w:r>
    </w:p>
    <w:p>
      <w:pPr>
        <w:pStyle w:val="ListParagraph"/>
        <w:numPr>
          <w:ilvl w:val="0"/>
          <w:numId w:val="5"/>
        </w:numPr>
        <w:spacing w:after="80"/>
      </w:pPr>
      <w:r>
        <w:t xml:space="preserve">If the submission carries a lead token: attach to that lead. Done.</w:t>
      </w:r>
    </w:p>
    <w:p>
      <w:pPr>
        <w:pStyle w:val="ListParagraph"/>
        <w:numPr>
          <w:ilvl w:val="0"/>
          <w:numId w:val="5"/>
        </w:numPr>
        <w:spacing w:after="80"/>
      </w:pPr>
      <w:r>
        <w:t xml:space="preserve">Otherwise, look up the contact by normalized email.</w:t>
      </w:r>
    </w:p>
    <w:p>
      <w:pPr>
        <w:pStyle w:val="ListParagraph"/>
        <w:numPr>
          <w:ilvl w:val="0"/>
          <w:numId w:val="5"/>
        </w:numPr>
        <w:spacing w:after="80"/>
      </w:pPr>
      <w:r>
        <w:t xml:space="preserve">Contact found: attach to the contact's open lead (most recent lead not in a closed/converted state). Flag the submission “matched to existing” in the timeline so staff can verify.</w:t>
      </w:r>
    </w:p>
    <w:p>
      <w:pPr>
        <w:pStyle w:val="ListParagraph"/>
        <w:numPr>
          <w:ilvl w:val="0"/>
          <w:numId w:val="5"/>
        </w:numPr>
        <w:spacing w:after="80"/>
      </w:pPr>
      <w:r>
        <w:t xml:space="preserve">Contact not found: create contact + lead, link, attach.</w:t>
      </w:r>
    </w:p>
    <w:p>
      <w:pPr>
        <w:spacing w:after="120"/>
        <w:rPr>
          <w:b/>
          <w:bCs/>
        </w:rPr>
      </w:pPr>
      <w:r>
        <w:rPr>
          <w:b/>
          <w:bCs/>
        </w:rPr>
        <w:t xml:space="preserve">A submission must never silently create a duplicate contact for an email that already exists.</w:t>
      </w:r>
    </w:p>
    <w:p>
      <w:pPr>
        <w:pStyle w:val="Heading1"/>
      </w:pPr>
      <w:r>
        <w:t xml:space="preserve">6. Dashboard Notification</w:t>
      </w:r>
    </w:p>
    <w:p>
      <w:pPr>
        <w:spacing w:after="120"/>
      </w:pPr>
      <w:r>
        <w:t xml:space="preserve">The dashboard is where the firm learns about submissions. When a packet lands (either path), the Alert box on the dashboard home page shows a new alert: “[First Last] has submitted an intake.” Alerts are ordered newest first, remain until dismissed or actioned, and clicking one opens the lead. The Alert box also carries task alerts (overdue and due-soon tasks), as demonstrated in the prototype.</w:t>
      </w:r>
    </w:p>
    <w:p>
      <w:pPr>
        <w:pStyle w:val="Heading1"/>
      </w:pPr>
      <w:r>
        <w:t xml:space="preserve">7. Lead Stages (v1)</w:t>
      </w:r>
    </w:p>
    <w:p>
      <w:pPr>
        <w:spacing w:after="120"/>
      </w:pPr>
      <w:r>
        <w:t xml:space="preserve">v1 uses the existing stage list. Path-relevant stages are shown in bold context above: New Lead → Consult Scheduled → Intake Sent → Intake Submitted → Pending Engagement → Hired.</w:t>
      </w:r>
    </w:p>
    <w:p>
      <w:pPr>
        <w:pStyle w:val="Heading1"/>
      </w:pPr>
      <w:r>
        <w:t xml:space="preserve">8. Field Definitions</w:t>
      </w:r>
    </w:p>
    <w:p>
      <w:pPr>
        <w:spacing w:after="120"/>
      </w:pPr>
      <w:r>
        <w:t xml:space="preserve">Keep both records lean. These field sets are the v1 total — nothing else ships.</w:t>
      </w:r>
    </w:p>
    <w:p>
      <w:pPr>
        <w:pStyle w:val="Heading2"/>
      </w:pPr>
      <w:r>
        <w:t xml:space="preserve">8.1 Contact (the debtor)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4360"/>
      </w:tblGrid>
      <w:tr>
        <w:trPr>
          <w:tblHeader/>
        </w:trPr>
        <w:tc>
          <w:tcPr>
            <w:tcW w:type="dxa" w:w="2200"/>
            <w:tcBorders>
              <w:top w:val="single" w:color="CCCCCC" w:sz="1"/>
              <w:left w:val="single" w:color="CCCCCC" w:sz="1"/>
              <w:bottom w:val="single" w:color="CCCCCC" w:sz="1"/>
              <w:right w:val="single" w:color="CCCCCC" w:sz="1"/>
            </w:tcBorders>
            <w:shd w:fill="E7EAE5" w:val="clear"/>
            <w:tcMar>
              <w:top w:type="dxa" w:w="80"/>
              <w:left w:type="dxa" w:w="120"/>
              <w:bottom w:type="dxa" w:w="80"/>
              <w:right w:type="dxa" w:w="120"/>
            </w:tcMar>
          </w:tcPr>
          <w:p>
            <w:r>
              <w:rPr>
                <w:b/>
                <w:bCs/>
                <w:sz w:val="20"/>
                <w:szCs w:val="20"/>
              </w:rPr>
              <w:t xml:space="preserve">Field</w:t>
            </w:r>
          </w:p>
        </w:tc>
        <w:tc>
          <w:tcPr>
            <w:tcW w:type="dxa" w:w="1500"/>
            <w:tcBorders>
              <w:top w:val="single" w:color="CCCCCC" w:sz="1"/>
              <w:left w:val="single" w:color="CCCCCC" w:sz="1"/>
              <w:bottom w:val="single" w:color="CCCCCC" w:sz="1"/>
              <w:right w:val="single" w:color="CCCCCC" w:sz="1"/>
            </w:tcBorders>
            <w:shd w:fill="E7EAE5" w:val="clear"/>
            <w:tcMar>
              <w:top w:type="dxa" w:w="80"/>
              <w:left w:type="dxa" w:w="120"/>
              <w:bottom w:type="dxa" w:w="80"/>
              <w:right w:type="dxa" w:w="120"/>
            </w:tcMar>
          </w:tcPr>
          <w:p>
            <w:r>
              <w:rPr>
                <w:b/>
                <w:bCs/>
                <w:sz w:val="20"/>
                <w:szCs w:val="20"/>
              </w:rPr>
              <w:t xml:space="preserve">Type</w:t>
            </w:r>
          </w:p>
        </w:tc>
        <w:tc>
          <w:tcPr>
            <w:tcW w:type="dxa" w:w="1300"/>
            <w:tcBorders>
              <w:top w:val="single" w:color="CCCCCC" w:sz="1"/>
              <w:left w:val="single" w:color="CCCCCC" w:sz="1"/>
              <w:bottom w:val="single" w:color="CCCCCC" w:sz="1"/>
              <w:right w:val="single" w:color="CCCCCC" w:sz="1"/>
            </w:tcBorders>
            <w:shd w:fill="E7EAE5" w:val="clear"/>
            <w:tcMar>
              <w:top w:type="dxa" w:w="80"/>
              <w:left w:type="dxa" w:w="120"/>
              <w:bottom w:type="dxa" w:w="80"/>
              <w:right w:type="dxa" w:w="120"/>
            </w:tcMar>
          </w:tcPr>
          <w:p>
            <w:r>
              <w:rPr>
                <w:b/>
                <w:bCs/>
                <w:sz w:val="20"/>
                <w:szCs w:val="20"/>
              </w:rPr>
              <w:t xml:space="preserve">Required</w:t>
            </w:r>
          </w:p>
        </w:tc>
        <w:tc>
          <w:tcPr>
            <w:tcW w:type="dxa" w:w="4360"/>
            <w:tcBorders>
              <w:top w:val="single" w:color="CCCCCC" w:sz="1"/>
              <w:left w:val="single" w:color="CCCCCC" w:sz="1"/>
              <w:bottom w:val="single" w:color="CCCCCC" w:sz="1"/>
              <w:right w:val="single" w:color="CCCCCC" w:sz="1"/>
            </w:tcBorders>
            <w:shd w:fill="E7EAE5" w:val="clear"/>
            <w:tcMar>
              <w:top w:type="dxa" w:w="80"/>
              <w:left w:type="dxa" w:w="120"/>
              <w:bottom w:type="dxa" w:w="80"/>
              <w:right w:type="dxa" w:w="120"/>
            </w:tcMar>
          </w:tcPr>
          <w:p>
            <w:r>
              <w:rPr>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First 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From form or staff entry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Middle 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Last 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Unique identity key; normalized (trim + lowercase); unique constraint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phone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Formatted (xxx) xxx-xxxx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v1: “Lead” (debtor) or “Lead (Spouse)” for joint filers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Created 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Set automatically</w:t>
            </w:r>
          </w:p>
        </w:tc>
      </w:tr>
    </w:tbl>
    <w:p>
      <w:pPr>
        <w:spacing w:after="120"/>
      </w:pPr>
      <w:r>
        <w:t xml:space="preserve"/>
      </w:r>
    </w:p>
    <w:p>
      <w:pPr>
        <w:pStyle w:val="Heading2"/>
      </w:pPr>
      <w:r>
        <w:t xml:space="preserve">8.2 Lead (the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4360"/>
      </w:tblGrid>
      <w:tr>
        <w:trPr>
          <w:tblHeader/>
        </w:trPr>
        <w:tc>
          <w:tcPr>
            <w:tcW w:type="dxa" w:w="2200"/>
            <w:tcBorders>
              <w:top w:val="single" w:color="CCCCCC" w:sz="1"/>
              <w:left w:val="single" w:color="CCCCCC" w:sz="1"/>
              <w:bottom w:val="single" w:color="CCCCCC" w:sz="1"/>
              <w:right w:val="single" w:color="CCCCCC" w:sz="1"/>
            </w:tcBorders>
            <w:shd w:fill="E7EAE5" w:val="clear"/>
            <w:tcMar>
              <w:top w:type="dxa" w:w="80"/>
              <w:left w:type="dxa" w:w="120"/>
              <w:bottom w:type="dxa" w:w="80"/>
              <w:right w:type="dxa" w:w="120"/>
            </w:tcMar>
          </w:tcPr>
          <w:p>
            <w:r>
              <w:rPr>
                <w:b/>
                <w:bCs/>
                <w:sz w:val="20"/>
                <w:szCs w:val="20"/>
              </w:rPr>
              <w:t xml:space="preserve">Field</w:t>
            </w:r>
          </w:p>
        </w:tc>
        <w:tc>
          <w:tcPr>
            <w:tcW w:type="dxa" w:w="1500"/>
            <w:tcBorders>
              <w:top w:val="single" w:color="CCCCCC" w:sz="1"/>
              <w:left w:val="single" w:color="CCCCCC" w:sz="1"/>
              <w:bottom w:val="single" w:color="CCCCCC" w:sz="1"/>
              <w:right w:val="single" w:color="CCCCCC" w:sz="1"/>
            </w:tcBorders>
            <w:shd w:fill="E7EAE5" w:val="clear"/>
            <w:tcMar>
              <w:top w:type="dxa" w:w="80"/>
              <w:left w:type="dxa" w:w="120"/>
              <w:bottom w:type="dxa" w:w="80"/>
              <w:right w:type="dxa" w:w="120"/>
            </w:tcMar>
          </w:tcPr>
          <w:p>
            <w:r>
              <w:rPr>
                <w:b/>
                <w:bCs/>
                <w:sz w:val="20"/>
                <w:szCs w:val="20"/>
              </w:rPr>
              <w:t xml:space="preserve">Type</w:t>
            </w:r>
          </w:p>
        </w:tc>
        <w:tc>
          <w:tcPr>
            <w:tcW w:type="dxa" w:w="1300"/>
            <w:tcBorders>
              <w:top w:val="single" w:color="CCCCCC" w:sz="1"/>
              <w:left w:val="single" w:color="CCCCCC" w:sz="1"/>
              <w:bottom w:val="single" w:color="CCCCCC" w:sz="1"/>
              <w:right w:val="single" w:color="CCCCCC" w:sz="1"/>
            </w:tcBorders>
            <w:shd w:fill="E7EAE5" w:val="clear"/>
            <w:tcMar>
              <w:top w:type="dxa" w:w="80"/>
              <w:left w:type="dxa" w:w="120"/>
              <w:bottom w:type="dxa" w:w="80"/>
              <w:right w:type="dxa" w:w="120"/>
            </w:tcMar>
          </w:tcPr>
          <w:p>
            <w:r>
              <w:rPr>
                <w:b/>
                <w:bCs/>
                <w:sz w:val="20"/>
                <w:szCs w:val="20"/>
              </w:rPr>
              <w:t xml:space="preserve">Required</w:t>
            </w:r>
          </w:p>
        </w:tc>
        <w:tc>
          <w:tcPr>
            <w:tcW w:type="dxa" w:w="4360"/>
            <w:tcBorders>
              <w:top w:val="single" w:color="CCCCCC" w:sz="1"/>
              <w:left w:val="single" w:color="CCCCCC" w:sz="1"/>
              <w:bottom w:val="single" w:color="CCCCCC" w:sz="1"/>
              <w:right w:val="single" w:color="CCCCCC" w:sz="1"/>
            </w:tcBorders>
            <w:shd w:fill="E7EAE5" w:val="clear"/>
            <w:tcMar>
              <w:top w:type="dxa" w:w="80"/>
              <w:left w:type="dxa" w:w="120"/>
              <w:bottom w:type="dxa" w:w="80"/>
              <w:right w:type="dxa" w:w="120"/>
            </w:tcMar>
          </w:tcPr>
          <w:p>
            <w:r>
              <w:rPr>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link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debtor; system-linked, never orphaned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Bankruptcy 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Chapter 7, Chapter 13, Litigation, Other (default Chapter 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Lead Stage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See Section 7; system-advanced on send/submit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Source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“Self-Serve Link” or “Firm Created”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Created 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Intake Sent 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Stamped when link is emailed (Path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Intake Submitted 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Stamped on submission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long text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Free-form staff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Joint Filing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boolean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If yes, spouse is a second contact on the lead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Documents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attachments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submitted intake packet lives 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Append-only audit of every event on the lead</w:t>
            </w:r>
          </w:p>
        </w:tc>
      </w:tr>
    </w:tbl>
    <w:p>
      <w:pPr>
        <w:spacing w:after="120"/>
      </w:pPr>
      <w:r>
        <w:t xml:space="preserve"/>
      </w:r>
    </w:p>
    <w:p>
      <w:pPr>
        <w:pStyle w:val="Heading1"/>
      </w:pPr>
      <w:r>
        <w:t xml:space="preserve">9. Edge Cases and Rules</w:t>
      </w:r>
    </w:p>
    <w:p>
      <w:pPr>
        <w:pStyle w:val="ListParagraph"/>
        <w:numPr>
          <w:ilvl w:val="0"/>
          <w:numId w:val="2"/>
        </w:numPr>
        <w:spacing w:after="80"/>
      </w:pPr>
      <w:r>
        <w:t xml:space="preserve">Same debtor resubmits: packet versions stack on the same lead (v2, v3, ...); each raises a fresh dashboard alert. Never overwrite a prior packet.</w:t>
      </w:r>
    </w:p>
    <w:p>
      <w:pPr>
        <w:pStyle w:val="ListParagraph"/>
        <w:numPr>
          <w:ilvl w:val="0"/>
          <w:numId w:val="2"/>
        </w:numPr>
        <w:spacing w:after="80"/>
      </w:pPr>
      <w:r>
        <w:t xml:space="preserve">Joint filers: the spouse is a second contact on the same lead with role “Lead (Spouse)”. The primary filer's email remains the lead's identity anchor.</w:t>
      </w:r>
    </w:p>
    <w:p>
      <w:pPr>
        <w:pStyle w:val="ListParagraph"/>
        <w:numPr>
          <w:ilvl w:val="0"/>
          <w:numId w:val="2"/>
        </w:numPr>
        <w:spacing w:after="80"/>
      </w:pPr>
      <w:r>
        <w:t xml:space="preserve">Debtor has no email (Path 2 phone intake): contact may be saved with phone only, but “Send Intake Link” is disabled until an email is added. The unique constraint applies only to non-empty emails.</w:t>
      </w:r>
    </w:p>
    <w:p>
      <w:pPr>
        <w:pStyle w:val="ListParagraph"/>
        <w:numPr>
          <w:ilvl w:val="0"/>
          <w:numId w:val="2"/>
        </w:numPr>
        <w:spacing w:after="80"/>
      </w:pPr>
      <w:r>
        <w:t xml:space="preserve">Email edits: changing a contact's email re-runs the uniqueness check. If the new email belongs to another contact, block the edit and tell the user which record holds it — do not merge automatically in v1.</w:t>
      </w:r>
    </w:p>
    <w:p>
      <w:pPr>
        <w:pStyle w:val="ListParagraph"/>
        <w:numPr>
          <w:ilvl w:val="0"/>
          <w:numId w:val="2"/>
        </w:numPr>
        <w:spacing w:after="80"/>
      </w:pPr>
      <w:r>
        <w:t xml:space="preserve">Two different people sharing one email (e.g., a couple): v1 treats one email as one person. The second person is added as a spouse contact or must use a distinct email.</w:t>
      </w:r>
    </w:p>
    <w:p>
      <w:pPr>
        <w:pStyle w:val="Heading1"/>
      </w:pPr>
      <w:r>
        <w:t xml:space="preserve">10. Open Questions</w:t>
      </w:r>
    </w:p>
    <w:p>
      <w:pPr>
        <w:pStyle w:val="ListParagraph"/>
        <w:numPr>
          <w:ilvl w:val="0"/>
          <w:numId w:val="2"/>
        </w:numPr>
        <w:spacing w:after="80"/>
      </w:pPr>
      <w:r>
        <w:t xml:space="preserve">Does the tokenized intake link expire? (Suggest: 30 days, re-sendable.)</w:t>
      </w:r>
    </w:p>
    <w:p>
      <w:pPr>
        <w:pStyle w:val="ListParagraph"/>
        <w:numPr>
          <w:ilvl w:val="0"/>
          <w:numId w:val="2"/>
        </w:numPr>
        <w:spacing w:after="80"/>
      </w:pPr>
      <w:r>
        <w:t xml:space="preserve">Should a matched submission that changes name/phone update the contact automatically, or hold the changes for staff review?</w:t>
      </w:r>
    </w:p>
    <w:p>
      <w:pPr>
        <w:pStyle w:val="ListParagraph"/>
        <w:numPr>
          <w:ilvl w:val="0"/>
          <w:numId w:val="2"/>
        </w:numPr>
        <w:spacing w:after="80"/>
      </w:pPr>
      <w:r>
        <w:t xml:space="preserve">What exactly is in the intake packet in v1 (form fields + which document types)?</w:t>
      </w:r>
    </w:p>
    <w:p>
      <w:pPr>
        <w:pStyle w:val="ListParagraph"/>
        <w:numPr>
          <w:ilvl w:val="0"/>
          <w:numId w:val="2"/>
        </w:numPr>
        <w:spacing w:after="80"/>
      </w:pPr>
      <w:r>
        <w:t xml:space="preserve">Alert lifecycle: dismiss-only, or auto-clear when the lead is opened?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A7C60" w:sz="4" w:space="4"/>
      </w:pBdr>
      <w:tabs>
        <w:tab w:val="right" w:pos="9026"/>
      </w:tabs>
    </w:pPr>
    <w:r>
      <w:rPr>
        <w:b/>
        <w:bCs/>
        <w:color w:val="3D5C43"/>
        <w:sz w:val="18"/>
        <w:szCs w:val="18"/>
      </w:rPr>
      <w:t xml:space="preserve">BK FastLane — CRM Lite</w:t>
    </w:r>
    <w:r>
      <w:rPr>
        <w:color w:val="666666"/>
        <w:sz w:val="18"/>
        <w:szCs w:val="18"/>
      </w:rPr>
      <w:t xml:space="preserve">	Intake Flow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3D5C43"/>
      <w:sz w:val="30"/>
      <w:szCs w:val="30"/>
    </w:rPr>
  </w:style>
  <w:style w:type="paragraph" w:styleId="Heading2">
    <w:name w:val="Heading 2"/>
    <w:basedOn w:val="Normal"/>
    <w:next w:val="Normal"/>
    <w:qFormat/>
    <w:pPr>
      <w:spacing w:after="120" w:before="22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2026-07-08T14:57:02.096Z</dcterms:created>
  <dcterms:modified xsi:type="dcterms:W3CDTF">2026-07-08T14:57:02.096Z</dcterms:modified>
</cp:coreProperties>
</file>

<file path=docProps/custom.xml><?xml version="1.0" encoding="utf-8"?>
<Properties xmlns="http://schemas.openxmlformats.org/officeDocument/2006/custom-properties" xmlns:vt="http://schemas.openxmlformats.org/officeDocument/2006/docPropsVTypes"/>
</file>