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P4P Presentation Planning</w:t>
      </w:r>
    </w:p>
    <w:p>
      <w:pPr>
        <w:spacing w:after="100"/>
      </w:pPr>
      <w:r>
        <w:rPr>
          <w:b w:val="false"/>
          <w:bCs w:val="false"/>
        </w:rPr>
        <w:t xml:space="preserve">Reaction Wheel Microvibration, Imbalance &amp; Torque Characterisation Platform — 8-minute presentation, split evenly between speakers.</w:t>
      </w:r>
    </w:p>
    <w:p>
      <w:pPr>
        <w:pStyle w:val="Heading1"/>
        <w:spacing w:after="150" w:before="300"/>
      </w:pPr>
      <w:r>
        <w:t xml:space="preserve">Overview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500"/>
      </w:tblGrid>
      <w:t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Speaker / Content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0:00–4:00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Brodie — motivation, objective, requirements (Slides 1–6)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4:00–8:00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Matthew — concept, design analysis, FEA, sensors, next steps (Slides 7–12)</w:t>
            </w:r>
          </w:p>
        </w:tc>
      </w:tr>
    </w:tbl>
    <w:p>
      <w:pPr>
        <w:pStyle w:val="Heading1"/>
        <w:spacing w:after="150" w:before="300"/>
      </w:pPr>
      <w:r>
        <w:t xml:space="preserve">Brodie's Slides (0:00 – 4:00)</w:t>
      </w:r>
    </w:p>
    <w:p>
      <w:pPr>
        <w:pStyle w:val="Heading3"/>
        <w:spacing w:after="100" w:before="200"/>
      </w:pPr>
      <w:r>
        <w:rPr>
          <w:color w:val="1F3864"/>
        </w:rPr>
        <w:t xml:space="preserve">Slide 1 — Title / Introduction (30 sec)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Project title, both names, department, supervisor name, date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Introduce yourselves and the project name — no technical content yet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One sentence on what the next 8 minutes will cover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Keep energy up — this sets the tone for the whole talk</w:t>
      </w:r>
    </w:p>
    <w:p>
      <w:pPr>
        <w:pStyle w:val="Heading3"/>
        <w:spacing w:after="100" w:before="200"/>
      </w:pPr>
      <w:r>
        <w:rPr>
          <w:color w:val="1F3864"/>
        </w:rPr>
        <w:t xml:space="preserve">Slide 2 — Problem Statement (1–1.5 min)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One image of a satellite or RWA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Three bullet points maximum: RWAs are the primary attitude control actuator on satellites; during operation they generate microvibrations that degrade payload performance; accurate characterisation of forces, torque, and imbalance is critical for mission success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One quantified example — De Munter's 3 arcsecond pointing error figure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Don't read the bullets — use the image to anchor the explanation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Explain plainly what a reaction wheel does: it spins internally to torque the spacecraft without using fuel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Even a well-balanced wheel isn't perfectly balanced — residual microvibrations leak straight through into the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Use the De Munter number as the hook: a wheel exciting a 30 Hz structural mode caused 3 arcsec RMS pointing error — significant against a high-resolution imaging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Land on: this is a measurement problem before it's a mitigation problem — you can't fix what you haven't characterised</w:t>
      </w:r>
    </w:p>
    <w:p>
      <w:pPr>
        <w:pStyle w:val="Heading3"/>
        <w:spacing w:after="100" w:before="200"/>
      </w:pPr>
      <w:r>
        <w:rPr>
          <w:color w:val="1F3864"/>
        </w:rPr>
        <w:t xml:space="preserve">Slide 3 — Project Objective (30 sec)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One sentence: “Design and build a unified measurement device for RWA microvibrations, imbalance, and torque”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Two columns: Kistler image on left, your CAD on right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Caption: “£10,000+ → £500 equivalent”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State the objective as a single sentence — don't over-elaborate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Let the £10k → £500 comparison land as the “so what” — commercial-grade capability at a fraction of the cost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Quick pivot line into the state-of-the-art slide</w:t>
      </w:r>
    </w:p>
    <w:p>
      <w:pPr>
        <w:pStyle w:val="Heading3"/>
        <w:spacing w:after="100" w:before="200"/>
      </w:pPr>
      <w:r>
        <w:rPr>
          <w:color w:val="1F3864"/>
        </w:rPr>
        <w:t xml:space="preserve">Slide 4 — State of the Art (30 sec)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Small table or three icons: Kistler dynamometer / commercial balancing machines / existing literature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One line each: what they do and why they're insufficient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Gap statement: “No single device does all three simultaneously”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Kistler tables measure force/torque well but don't give imbalance directly and cost £10k+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Commercial balancing machines measure imbalance but not force/torque disturbance spectra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Published models (e.g. Masterson) need per-wheel characterisation — no substitute for direct measurement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Land clearly on the gap: nothing currently measures force, imbalance, and torque together in one integrated device</w:t>
      </w:r>
    </w:p>
    <w:p>
      <w:pPr>
        <w:pStyle w:val="Heading3"/>
        <w:spacing w:after="100" w:before="200"/>
      </w:pPr>
      <w:r>
        <w:rPr>
          <w:color w:val="1F3864"/>
        </w:rPr>
        <w:t xml:space="preserve">Slide 5 — Measurement Requirements (30 sec)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Small table: microvibrations / static imbalance / dynamic imbalance / torque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Rocket Lab specs as targets (26 g·mm static, 800 g·mm² dynamic)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Frame this as: before designing hardware, we needed numbers to design against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Use Rocket Lab's flight qualification spec as a concrete, industry-grounded target — not an arbitrary number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Close with a clean handoff: “that's the target — Matthew will take you through how we're hitting it”</w:t>
      </w:r>
    </w:p>
    <w:p>
      <w:pPr>
        <w:pStyle w:val="Heading3"/>
        <w:spacing w:after="100" w:before="200"/>
      </w:pPr>
      <w:r>
        <w:rPr>
          <w:color w:val="1F3864"/>
        </w:rPr>
        <w:t xml:space="preserve">Slide 6 — Concept Overview — Six-Component Measurement &amp; Ring Plate Concept (45 sec)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Six-component measurement diagram (Fx, Fy, Fz, Tx, Ty, Tz)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Ring plate concept sketch and why it was rejected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Explain what “six-component” means physically: three forces + three torques fully characterise a wheel's disturbance signature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Briefly mention the ring plate was the first concept explored — bearings on a rotating 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Rejected due to preload sensitivity and mechanical complexity — sets up why the stinger concept was chosen instead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Keep this brief — it's a bridge into Matthew's decoupling problem slide, not a deep dive</w:t>
      </w:r>
    </w:p>
    <w:p>
      <w:pPr>
        <w:pStyle w:val="Heading1"/>
        <w:spacing w:after="150" w:before="300"/>
      </w:pPr>
      <w:r>
        <w:t xml:space="preserve">Matthew's Slides (4:00 – 8:00)</w:t>
      </w:r>
    </w:p>
    <w:p>
      <w:pPr>
        <w:pStyle w:val="Heading3"/>
        <w:spacing w:after="100" w:before="200"/>
      </w:pPr>
      <w:r>
        <w:rPr>
          <w:color w:val="1F3864"/>
        </w:rPr>
        <w:t xml:space="preserve">Slide 7 — Decoupling Problem (30 sec)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Simple diagram showing axial vs radial force directions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Key point: radial and axial measurement must not interfere with each other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“Stinger solves this — stiff in one direction, compliant in the other”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Explain physically why cross-talk matters: if radial load bleeds into the axial channel, imbalance measurements get corrupted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State the stinger principle in plain language — stiff in the direction you're measuring, floppy in the others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Keep it brief, this is context for the concept comparison slide next</w:t>
      </w:r>
    </w:p>
    <w:p>
      <w:pPr>
        <w:pStyle w:val="Heading3"/>
        <w:spacing w:after="100" w:before="200"/>
      </w:pPr>
      <w:r>
        <w:rPr>
          <w:color w:val="1F3864"/>
        </w:rPr>
        <w:t xml:space="preserve">Slide 8 — Two Concepts: Ball Bearing and Stinger (1 min)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Side by side: ball bearing plate sketch on left, stinger CAD on right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Two or three bullet points per concept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Highlight why stinger was chosen — no preload, clean load path, six components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Ball bearing plate needed preload to stay seated — an extra failure mode and extra complexity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Stinger needs no pretensioning, gives a clean single load path, and only six components to manufacture and align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Let the CAD image do the work — don't over-narrate the sketch</w:t>
      </w:r>
    </w:p>
    <w:p>
      <w:pPr>
        <w:pStyle w:val="Heading3"/>
        <w:spacing w:after="100" w:before="200"/>
      </w:pPr>
      <w:r>
        <w:rPr>
          <w:color w:val="1F3864"/>
        </w:rPr>
        <w:t xml:space="preserve">Slide 9 — Stinger Design Analysis (1–1.5 min)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One diagram showing stinger with d and L labelled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Four check equations in a 2×2 grid — fn, stiffness ratio, buckling SF, yield SF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Results table with checkmarks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Say plainly: four checks per stinger, all four passed for the selected geometry (d = 2 mm, L = 50 mm, steel)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Natural frequency &gt; 500 Hz keeps the stinger's own resonance out of the measurement band (one-third rule: fn &gt; 3× max measurement frequency)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Stiffness ratio &gt; 3000 keeps axial and radial channels decoupled — cross-axis error under 0.03%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Buckling and yield margins are comfortable at this diameter — steel is well within capability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Don't derive the equations live — just say “we check four things to make sure the stingers work” and walk through the results table</w:t>
      </w:r>
    </w:p>
    <w:p>
      <w:pPr>
        <w:pStyle w:val="Heading3"/>
        <w:spacing w:after="100" w:before="200"/>
      </w:pPr>
      <w:r>
        <w:rPr>
          <w:color w:val="1F3864"/>
        </w:rPr>
        <w:t xml:space="preserve">Slide 10 — FEA Modal Analysis (45 sec)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Mode 1 image (plate_mass screenshot)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Frequency table — first 6 modes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One sentence on the limitation and planned fix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Full 17-body assembly modal analysis in ANSYS — RWA represented as a 1.0 kg point mass at the rotor centre-of-mass height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First six modes: two lateral translation (334 Hz, 397 Hz), torsion (696 Hz), axial bounce (893 Hz), two rocking modes (966 Hz, 999 Hz)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Be upfront: Modes 1 and 2 sit below the 500 Hz target — that's support compliance in the radial stingers, not a fundamental flaw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Fix already identified: stiffen the radial stinger supports (increased wall thickness), planned as the first Semester 2 design iteration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“Mode 1 is below target due to support compliance — we've identified the fix for Semester 2”</w:t>
      </w:r>
    </w:p>
    <w:p>
      <w:pPr>
        <w:pStyle w:val="Heading3"/>
        <w:spacing w:after="100" w:before="200"/>
      </w:pPr>
      <w:r>
        <w:rPr>
          <w:color w:val="1F3864"/>
        </w:rPr>
        <w:t xml:space="preserve">Slide 11 — Sensor Selection (30 sec)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Simple table: 3× S-beam strain gauge (axial) / 3× PCB 208C01 ICP (radial)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One line justification for 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“Hybrid approach — each sensor type matched to its measurement role”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Axial channel needs high-precision static/low-frequency load measurement — S-beam strain gauges suit that role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Radial channel carries the higher-frequency microvibration content — ICP piezoelectric (PCB 208C01) is built for that bandwidth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One line: each sensor type is matched to the physics of what it measures, not a single one-size-fits-all sensor</w:t>
      </w:r>
    </w:p>
    <w:p>
      <w:pPr>
        <w:pStyle w:val="Heading3"/>
        <w:spacing w:after="100" w:before="200"/>
      </w:pPr>
      <w:r>
        <w:rPr>
          <w:color w:val="1F3864"/>
        </w:rPr>
        <w:t xml:space="preserve">Slide 12 — Next Steps (30 sec)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Simple timeline or mini Gantt — not a bullet 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Five items: sensor procurement → fabrication → assembly → testing →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Dates aligned to your actual submission schedule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Walk through the five-step path: sensor procurement → static FEA → detailed design → fabrication →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Say the key dates out loud briefly — don't just point at the Gantt and move 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End confidently: “by October we will have a working proof of concept”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2026-07-30T22:10:21.171Z</dcterms:created>
  <dcterms:modified xsi:type="dcterms:W3CDTF">2026-07-30T22:10:21.186Z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