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微软雅黑" w:hAnsi="微软雅黑" w:eastAsia="微软雅黑" w:cs="微软雅黑"/>
          <w:b w:val="0"/>
          <w:sz w:val="21"/>
        </w:rPr>
        <w:t>Hi All, 同事：</w:t>
      </w:r>
    </w:p>
    <w:p>
      <w:r>
        <w:rPr>
          <w:rFonts w:ascii="微软雅黑" w:hAnsi="微软雅黑" w:eastAsia="微软雅黑" w:cs="微软雅黑"/>
          <w:b w:val="0"/>
          <w:sz w:val="21"/>
        </w:rPr>
        <w:t>1.评审方式：线上</w:t>
      </w:r>
    </w:p>
    <w:p>
      <w:r>
        <w:rPr>
          <w:rFonts w:ascii="微软雅黑" w:hAnsi="微软雅黑" w:eastAsia="微软雅黑" w:cs="微软雅黑"/>
          <w:b w:val="0"/>
          <w:sz w:val="21"/>
        </w:rPr>
        <w:t>2.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shd w:val="clear" w:color="auto" w:fill="D9E1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sz w:val="21"/>
              </w:rPr>
              <w:t>编号</w:t>
            </w:r>
          </w:p>
        </w:tc>
        <w:tc>
          <w:tcPr>
            <w:tcW w:type="dxa" w:w="2160"/>
            <w:vAlign w:val="center"/>
            <w:shd w:val="clear" w:color="auto" w:fill="D9E1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sz w:val="21"/>
              </w:rPr>
              <w:t>标题</w:t>
            </w:r>
          </w:p>
        </w:tc>
        <w:tc>
          <w:tcPr>
            <w:tcW w:type="dxa" w:w="2160"/>
            <w:vAlign w:val="center"/>
            <w:shd w:val="clear" w:color="auto" w:fill="D9E1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sz w:val="21"/>
              </w:rPr>
              <w:t>测试</w:t>
            </w:r>
          </w:p>
        </w:tc>
        <w:tc>
          <w:tcPr>
            <w:tcW w:type="dxa" w:w="2160"/>
            <w:vAlign w:val="center"/>
            <w:shd w:val="clear" w:color="auto" w:fill="D9E1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sz w:val="21"/>
              </w:rPr>
              <w:t>评审结果</w:t>
            </w:r>
          </w:p>
        </w:tc>
        <w:tc>
          <w:tcPr>
            <w:tcW w:type="dxa" w:w="2160"/>
            <w:vAlign w:val="center"/>
            <w:shd w:val="clear" w:color="auto" w:fill="D9E1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sz w:val="21"/>
              </w:rPr>
              <w:t>备注#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sz w:val="21"/>
              </w:rPr>
              <w:t>#203726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</w:rPr>
              <w:t>【数据分析工作台】能力分析等级配置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sz w:val="21"/>
              </w:rPr>
              <w:t>黄美玲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sz w:val="21"/>
              </w:rPr>
              <w:t>通过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sz w:val="21"/>
              </w:rPr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sz w:val="21"/>
              </w:rPr>
              <w:t>#202008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</w:rPr>
              <w:t>【插件化】-分析配置与执行-NP控制图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sz w:val="21"/>
              </w:rPr>
              <w:t>黄美玲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sz w:val="21"/>
              </w:rPr>
              <w:t>通过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sz w:val="21"/>
              </w:rPr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sz w:val="21"/>
              </w:rPr>
              <w:t>#202007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</w:rPr>
              <w:t>【插件化】-分析配置与执行-P控制图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sz w:val="21"/>
              </w:rPr>
              <w:t>黄美玲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sz w:val="21"/>
              </w:rPr>
              <w:t>通过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sz w:val="21"/>
              </w:rPr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sz w:val="21"/>
              </w:rPr>
              <w:t>#204293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</w:rPr>
              <w:t>【审计追踪】- 1业务站点-角色管理审计内容优化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sz w:val="21"/>
              </w:rPr>
              <w:t>黄美玲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sz w:val="21"/>
              </w:rPr>
              <w:t>通过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sz w:val="21"/>
              </w:rPr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sz w:val="21"/>
              </w:rPr>
              <w:t>#203719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</w:rPr>
              <w:t>【UI】优化数据分析工作台交互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sz w:val="21"/>
              </w:rPr>
              <w:t>黄美玲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sz w:val="21"/>
              </w:rPr>
              <w:t>通过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sz w:val="21"/>
              </w:rPr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sz w:val="21"/>
              </w:rPr>
              <w:t>#186797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</w:rPr>
              <w:t>【插件化】-分析配置与执行-配对T检验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sz w:val="21"/>
              </w:rPr>
              <w:t>黄美玲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sz w:val="21"/>
              </w:rPr>
              <w:t>通过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sz w:val="21"/>
              </w:rPr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sz w:val="21"/>
              </w:rPr>
              <w:t>#203662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</w:rPr>
              <w:t>【工艺能力汇总】支持导出PDF文件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sz w:val="21"/>
              </w:rPr>
              <w:t>黄美玲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sz w:val="21"/>
              </w:rPr>
              <w:t>通过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sz w:val="21"/>
              </w:rPr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sz w:val="21"/>
              </w:rPr>
              <w:t>#195198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</w:rPr>
              <w:t>【导入导出】-角色管理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sz w:val="21"/>
              </w:rPr>
              <w:t>黄美玲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sz w:val="21"/>
              </w:rPr>
              <w:t>通过</w:t>
            </w:r>
          </w:p>
        </w:tc>
        <w:tc>
          <w:tcPr>
            <w:tcW w:type="dxa" w:w="216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sz w:val="21"/>
              </w:rPr>
            </w:r>
          </w:p>
        </w:tc>
      </w:tr>
    </w:tbl>
    <w:p>
      <w:r>
        <w:rPr>
          <w:rFonts w:ascii="微软雅黑" w:hAnsi="微软雅黑" w:eastAsia="微软雅黑" w:cs="微软雅黑"/>
          <w:b w:val="0"/>
          <w:sz w:val="21"/>
        </w:rPr>
      </w:r>
    </w:p>
    <w:p>
      <w:r>
        <w:rPr>
          <w:rFonts w:ascii="微软雅黑" w:hAnsi="微软雅黑" w:eastAsia="微软雅黑" w:cs="微软雅黑"/>
          <w:b w:val="0"/>
          <w:sz w:val="21"/>
        </w:rPr>
        <w:t>3.评审记录/代办事项</w:t>
      </w:r>
    </w:p>
    <w:p>
      <w:r>
        <w:rPr>
          <w:rFonts w:ascii="微软雅黑" w:hAnsi="微软雅黑" w:eastAsia="微软雅黑" w:cs="微软雅黑"/>
          <w:b/>
          <w:sz w:val="21"/>
        </w:rPr>
        <w:t>【#203726 【数据分析工作台】能力分析等级配置】</w:t>
      </w:r>
    </w:p>
    <w:p>
      <w:pPr>
        <w:ind w:left="100"/>
      </w:pPr>
      <w:r>
        <w:rPr>
          <w:rFonts w:ascii="微软雅黑" w:hAnsi="微软雅黑" w:eastAsia="微软雅黑" w:cs="微软雅黑"/>
          <w:b w:val="0"/>
          <w:sz w:val="21"/>
        </w:rPr>
        <w:t>• 预览和编辑使用同一个组件，预览弹框内是不可编辑 @黄美玲 修改用例</w:t>
      </w:r>
    </w:p>
    <w:p>
      <w:pPr>
        <w:ind w:left="100"/>
      </w:pPr>
      <w:r>
        <w:rPr>
          <w:rFonts w:ascii="微软雅黑" w:hAnsi="微软雅黑" w:eastAsia="微软雅黑" w:cs="微软雅黑"/>
          <w:b w:val="0"/>
          <w:sz w:val="21"/>
        </w:rPr>
        <w:t>• 等级为2个时，删除按钮禁用 @黄美玲  修改用例</w:t>
      </w:r>
    </w:p>
    <w:p>
      <w:pPr>
        <w:ind w:left="100"/>
      </w:pPr>
      <w:r>
        <w:rPr>
          <w:rFonts w:ascii="微软雅黑" w:hAnsi="微软雅黑" w:eastAsia="微软雅黑" w:cs="微软雅黑"/>
          <w:b w:val="0"/>
          <w:sz w:val="21"/>
        </w:rPr>
        <w:t>• 最小值等于最大值的时候和qrs的提示语保持一致，均为：最小值需要小于最大值@黄美玲  修改用例</w:t>
      </w:r>
    </w:p>
    <w:p>
      <w:r>
        <w:rPr>
          <w:rFonts w:ascii="微软雅黑" w:hAnsi="微软雅黑" w:eastAsia="微软雅黑" w:cs="微软雅黑"/>
          <w:b/>
          <w:sz w:val="21"/>
        </w:rPr>
        <w:t>【#202008 【插件化】-分析配置与执行-NP控制图】</w:t>
      </w:r>
    </w:p>
    <w:p>
      <w:pPr>
        <w:ind w:left="100"/>
      </w:pPr>
      <w:r>
        <w:rPr>
          <w:rFonts w:ascii="微软雅黑" w:hAnsi="微软雅黑" w:eastAsia="微软雅黑" w:cs="微软雅黑"/>
          <w:b w:val="0"/>
          <w:sz w:val="21"/>
        </w:rPr>
        <w:t>• 平均值、UCL、LCL受小数保留位数影响 @荆慧慧 补充prd  @黄美玲 修改用例</w:t>
      </w:r>
    </w:p>
    <w:p>
      <w:pPr>
        <w:ind w:left="100"/>
      </w:pPr>
      <w:r>
        <w:rPr>
          <w:rFonts w:ascii="微软雅黑" w:hAnsi="微软雅黑" w:eastAsia="微软雅黑" w:cs="微软雅黑"/>
          <w:b w:val="0"/>
          <w:sz w:val="21"/>
        </w:rPr>
        <w:t>• 纵轴变量下存在小数、负数或时分秒格式数据，阻止分析，提示：纵轴变量未包含大于等于0的整数，暂不支持分析  @荆慧慧 补充prd  @黄美玲 修改用例</w:t>
      </w:r>
    </w:p>
    <w:p>
      <w:r>
        <w:rPr>
          <w:rFonts w:ascii="微软雅黑" w:hAnsi="微软雅黑" w:eastAsia="微软雅黑" w:cs="微软雅黑"/>
          <w:b/>
          <w:sz w:val="21"/>
        </w:rPr>
        <w:t>【#202007 【插件化】-分析配置与执行-P控制图】</w:t>
      </w:r>
    </w:p>
    <w:p>
      <w:pPr>
        <w:ind w:left="100"/>
      </w:pPr>
      <w:r>
        <w:rPr>
          <w:rFonts w:ascii="微软雅黑" w:hAnsi="微软雅黑" w:eastAsia="微软雅黑" w:cs="微软雅黑"/>
          <w:b w:val="0"/>
          <w:sz w:val="21"/>
        </w:rPr>
        <w:t>• 最大值、最小值、平均值、UCL、LCL受小数保留位数影响  @荆慧慧 补充prd  @黄美玲 修改用例</w:t>
      </w:r>
    </w:p>
    <w:p>
      <w:pPr>
        <w:ind w:left="100"/>
      </w:pPr>
      <w:r>
        <w:rPr>
          <w:rFonts w:ascii="微软雅黑" w:hAnsi="微软雅黑" w:eastAsia="微软雅黑" w:cs="微软雅黑"/>
          <w:b w:val="0"/>
          <w:sz w:val="21"/>
        </w:rPr>
        <w:t>• 纵轴变量下存在小数、负数或时分秒格式数据，阻止分析，提示：纵轴变量未包含大于等于0的整数，暂不支持分析  @荆慧慧 补充prd  @黄美玲 修改用例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