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32" w:rsidRDefault="00797981">
      <w:r>
        <w:t>2.14 V/cell when fully charged</w:t>
      </w:r>
      <w:r w:rsidR="00693F2C">
        <w:t xml:space="preserve">   (2.12 to 2.15)</w:t>
      </w:r>
    </w:p>
    <w:p w:rsidR="0063294A" w:rsidRDefault="0063294A">
      <w:r>
        <w:t xml:space="preserve">2.03 V/cell </w:t>
      </w:r>
      <w:r w:rsidR="00BD5312">
        <w:t>at 50%</w:t>
      </w:r>
    </w:p>
    <w:p w:rsidR="00BD5312" w:rsidRDefault="00BD5312">
      <w:r>
        <w:t>1.75 V/cell at 0%</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44443C"/>
        <w:tblCellMar>
          <w:top w:w="15" w:type="dxa"/>
          <w:left w:w="15" w:type="dxa"/>
          <w:bottom w:w="15" w:type="dxa"/>
          <w:right w:w="15" w:type="dxa"/>
        </w:tblCellMar>
        <w:tblLook w:val="04A0" w:firstRow="1" w:lastRow="0" w:firstColumn="1" w:lastColumn="0" w:noHBand="0" w:noVBand="1"/>
      </w:tblPr>
      <w:tblGrid>
        <w:gridCol w:w="2006"/>
        <w:gridCol w:w="1991"/>
        <w:gridCol w:w="2003"/>
      </w:tblGrid>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5312" w:rsidRPr="00BD5312" w:rsidRDefault="00BD5312" w:rsidP="00BD5312">
            <w:pPr>
              <w:spacing w:after="0" w:line="240" w:lineRule="auto"/>
              <w:jc w:val="center"/>
              <w:rPr>
                <w:rFonts w:ascii="Arial" w:eastAsia="Times New Roman" w:hAnsi="Arial" w:cs="Arial"/>
                <w:b/>
                <w:bCs/>
                <w:color w:val="000000"/>
                <w:sz w:val="19"/>
                <w:szCs w:val="19"/>
              </w:rPr>
            </w:pPr>
            <w:r w:rsidRPr="00BD5312">
              <w:rPr>
                <w:rFonts w:ascii="Arial" w:eastAsia="Times New Roman" w:hAnsi="Arial" w:cs="Arial"/>
                <w:b/>
                <w:bCs/>
                <w:color w:val="000000"/>
                <w:sz w:val="19"/>
                <w:szCs w:val="19"/>
              </w:rPr>
              <w:t>State of Charge</w:t>
            </w:r>
          </w:p>
        </w:tc>
        <w:tc>
          <w:tcPr>
            <w:tcW w:w="19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5312" w:rsidRPr="00BD5312" w:rsidRDefault="00BD5312" w:rsidP="00BD5312">
            <w:pPr>
              <w:spacing w:after="0" w:line="240" w:lineRule="auto"/>
              <w:jc w:val="center"/>
              <w:rPr>
                <w:rFonts w:ascii="Arial" w:eastAsia="Times New Roman" w:hAnsi="Arial" w:cs="Arial"/>
                <w:b/>
                <w:bCs/>
                <w:color w:val="000000"/>
                <w:sz w:val="19"/>
                <w:szCs w:val="19"/>
              </w:rPr>
            </w:pPr>
            <w:r w:rsidRPr="00BD5312">
              <w:rPr>
                <w:rFonts w:ascii="Arial" w:eastAsia="Times New Roman" w:hAnsi="Arial" w:cs="Arial"/>
                <w:b/>
                <w:bCs/>
                <w:color w:val="000000"/>
                <w:sz w:val="19"/>
                <w:szCs w:val="19"/>
              </w:rPr>
              <w:t>12 Volt battery</w:t>
            </w:r>
          </w:p>
        </w:tc>
        <w:tc>
          <w:tcPr>
            <w:tcW w:w="195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5312" w:rsidRPr="00BD5312" w:rsidRDefault="00BD5312" w:rsidP="00BD5312">
            <w:pPr>
              <w:spacing w:after="0" w:line="240" w:lineRule="auto"/>
              <w:jc w:val="center"/>
              <w:rPr>
                <w:rFonts w:ascii="Arial" w:eastAsia="Times New Roman" w:hAnsi="Arial" w:cs="Arial"/>
                <w:b/>
                <w:bCs/>
                <w:color w:val="000000"/>
                <w:sz w:val="19"/>
                <w:szCs w:val="19"/>
              </w:rPr>
            </w:pPr>
            <w:r w:rsidRPr="00BD5312">
              <w:rPr>
                <w:rFonts w:ascii="Arial" w:eastAsia="Times New Roman" w:hAnsi="Arial" w:cs="Arial"/>
                <w:b/>
                <w:bCs/>
                <w:color w:val="000000"/>
                <w:sz w:val="19"/>
                <w:szCs w:val="19"/>
              </w:rPr>
              <w:t>Volts per Cell</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100%</w:t>
            </w:r>
          </w:p>
        </w:tc>
        <w:tc>
          <w:tcPr>
            <w:tcW w:w="196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12.7</w:t>
            </w:r>
          </w:p>
        </w:tc>
        <w:tc>
          <w:tcPr>
            <w:tcW w:w="1958"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2.12</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90%</w:t>
            </w:r>
          </w:p>
        </w:tc>
        <w:tc>
          <w:tcPr>
            <w:tcW w:w="196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12.5</w:t>
            </w:r>
          </w:p>
        </w:tc>
        <w:tc>
          <w:tcPr>
            <w:tcW w:w="1958"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2.08</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80%</w:t>
            </w:r>
          </w:p>
        </w:tc>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12.42</w:t>
            </w:r>
          </w:p>
        </w:tc>
        <w:tc>
          <w:tcPr>
            <w:tcW w:w="1958"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2.07</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70%</w:t>
            </w:r>
          </w:p>
        </w:tc>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12.32</w:t>
            </w:r>
          </w:p>
        </w:tc>
        <w:tc>
          <w:tcPr>
            <w:tcW w:w="1958"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2.05</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60%</w:t>
            </w:r>
          </w:p>
        </w:tc>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12.20</w:t>
            </w:r>
          </w:p>
        </w:tc>
        <w:tc>
          <w:tcPr>
            <w:tcW w:w="1958"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2.03</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50%</w:t>
            </w:r>
          </w:p>
        </w:tc>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12.06</w:t>
            </w:r>
          </w:p>
        </w:tc>
        <w:tc>
          <w:tcPr>
            <w:tcW w:w="1958"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2.01</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40%</w:t>
            </w:r>
          </w:p>
        </w:tc>
        <w:tc>
          <w:tcPr>
            <w:tcW w:w="1961"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11.9</w:t>
            </w:r>
          </w:p>
        </w:tc>
        <w:tc>
          <w:tcPr>
            <w:tcW w:w="1958" w:type="dxa"/>
            <w:tcBorders>
              <w:top w:val="outset" w:sz="6" w:space="0" w:color="auto"/>
              <w:left w:val="outset" w:sz="6" w:space="0" w:color="auto"/>
              <w:bottom w:val="outset" w:sz="6" w:space="0" w:color="auto"/>
              <w:right w:val="outset" w:sz="6" w:space="0" w:color="auto"/>
            </w:tcBorders>
            <w:shd w:val="clear" w:color="auto" w:fill="00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1.98</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30%</w:t>
            </w:r>
          </w:p>
        </w:tc>
        <w:tc>
          <w:tcPr>
            <w:tcW w:w="1961"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11.75</w:t>
            </w:r>
          </w:p>
        </w:tc>
        <w:tc>
          <w:tcPr>
            <w:tcW w:w="1958"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1.96</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20%</w:t>
            </w:r>
          </w:p>
        </w:tc>
        <w:tc>
          <w:tcPr>
            <w:tcW w:w="1961"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11.58</w:t>
            </w:r>
          </w:p>
        </w:tc>
        <w:tc>
          <w:tcPr>
            <w:tcW w:w="1958"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color w:val="000000"/>
                <w:sz w:val="19"/>
                <w:szCs w:val="19"/>
              </w:rPr>
              <w:t>1.93</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b/>
                <w:bCs/>
                <w:color w:val="FFFFFF"/>
                <w:sz w:val="19"/>
                <w:szCs w:val="19"/>
              </w:rPr>
              <w:t>10%</w:t>
            </w:r>
          </w:p>
        </w:tc>
        <w:tc>
          <w:tcPr>
            <w:tcW w:w="1961"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b/>
                <w:bCs/>
                <w:color w:val="FFFFFF"/>
                <w:sz w:val="19"/>
                <w:szCs w:val="19"/>
              </w:rPr>
              <w:t>11.31</w:t>
            </w:r>
          </w:p>
        </w:tc>
        <w:tc>
          <w:tcPr>
            <w:tcW w:w="1958"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b/>
                <w:bCs/>
                <w:color w:val="FFFFFF"/>
                <w:sz w:val="19"/>
                <w:szCs w:val="19"/>
              </w:rPr>
              <w:t>1.89</w:t>
            </w:r>
          </w:p>
        </w:tc>
      </w:tr>
      <w:tr w:rsidR="00BD5312" w:rsidRPr="00BD5312" w:rsidTr="00BD5312">
        <w:trPr>
          <w:tblCellSpacing w:w="15" w:type="dxa"/>
        </w:trPr>
        <w:tc>
          <w:tcPr>
            <w:tcW w:w="1961"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b/>
                <w:bCs/>
                <w:color w:val="FFFFFF"/>
                <w:sz w:val="19"/>
                <w:szCs w:val="19"/>
              </w:rPr>
              <w:t>0</w:t>
            </w:r>
          </w:p>
        </w:tc>
        <w:tc>
          <w:tcPr>
            <w:tcW w:w="1961"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b/>
                <w:bCs/>
                <w:color w:val="FFFFFF"/>
                <w:sz w:val="19"/>
                <w:szCs w:val="19"/>
              </w:rPr>
              <w:t>10.5</w:t>
            </w:r>
          </w:p>
        </w:tc>
        <w:tc>
          <w:tcPr>
            <w:tcW w:w="1958"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BD5312" w:rsidRPr="00BD5312" w:rsidRDefault="00BD5312" w:rsidP="00BD5312">
            <w:pPr>
              <w:spacing w:after="0" w:line="240" w:lineRule="auto"/>
              <w:jc w:val="center"/>
              <w:rPr>
                <w:rFonts w:ascii="Arial" w:eastAsia="Times New Roman" w:hAnsi="Arial" w:cs="Arial"/>
                <w:color w:val="000000"/>
                <w:sz w:val="19"/>
                <w:szCs w:val="19"/>
              </w:rPr>
            </w:pPr>
            <w:r w:rsidRPr="00BD5312">
              <w:rPr>
                <w:rFonts w:ascii="Arial" w:eastAsia="Times New Roman" w:hAnsi="Arial" w:cs="Arial"/>
                <w:b/>
                <w:bCs/>
                <w:color w:val="FFFFFF"/>
                <w:sz w:val="19"/>
                <w:szCs w:val="19"/>
              </w:rPr>
              <w:t>1.75</w:t>
            </w:r>
          </w:p>
        </w:tc>
      </w:tr>
    </w:tbl>
    <w:p w:rsidR="00BD5312" w:rsidRDefault="00BD5312"/>
    <w:p w:rsidR="00114542" w:rsidRDefault="00114542"/>
    <w:p w:rsidR="00114542" w:rsidRDefault="00114542"/>
    <w:p w:rsidR="00114542" w:rsidRDefault="00114542" w:rsidP="00114542">
      <w:r>
        <w:t>Battery charging takes place in 3 basic stages: Bulk, Absorption, and Float.</w:t>
      </w:r>
    </w:p>
    <w:p w:rsidR="00114542" w:rsidRDefault="00114542" w:rsidP="00114542"/>
    <w:p w:rsidR="00114542" w:rsidRDefault="00114542" w:rsidP="00114542">
      <w:pPr>
        <w:pStyle w:val="ListParagraph"/>
        <w:numPr>
          <w:ilvl w:val="0"/>
          <w:numId w:val="1"/>
        </w:numPr>
      </w:pPr>
      <w:r w:rsidRPr="00114542">
        <w:rPr>
          <w:b/>
        </w:rPr>
        <w:t>Bulk Charge</w:t>
      </w:r>
      <w:r>
        <w:t xml:space="preserve"> - The first stage of 3-stage battery charging. Current is sent to batteries at the maximum safe rate they will accept until voltage rises to near (80-90%) full charge level. Voltages at this stage typically range from 10.5 volts to 15 volts. There is no "correct" voltage for bulk charging, but there may be limits on the maximum current that the </w:t>
      </w:r>
      <w:r>
        <w:t>battery and/or wiring can take.</w:t>
      </w:r>
    </w:p>
    <w:p w:rsidR="00114542" w:rsidRDefault="00114542" w:rsidP="00114542">
      <w:pPr>
        <w:pStyle w:val="ListParagraph"/>
        <w:numPr>
          <w:ilvl w:val="0"/>
          <w:numId w:val="1"/>
        </w:numPr>
      </w:pPr>
      <w:r w:rsidRPr="00114542">
        <w:rPr>
          <w:b/>
        </w:rPr>
        <w:t>Absorption Charge</w:t>
      </w:r>
      <w:r>
        <w:t>: The 2nd stage of 3-stage battery charging. Voltage remains constant and current gradually tapers off as internal resistance increases during charging. It is during this stage that the charger puts out maximum voltage. Voltages at this stage are typically around 14.2 to 15.5 volts. (The internal resistance gradually goes up because there is less and less to be convert</w:t>
      </w:r>
      <w:r>
        <w:t>ed back to normal full charge).</w:t>
      </w:r>
    </w:p>
    <w:p w:rsidR="00114542" w:rsidRDefault="00114542" w:rsidP="00114542">
      <w:pPr>
        <w:pStyle w:val="ListParagraph"/>
        <w:numPr>
          <w:ilvl w:val="0"/>
          <w:numId w:val="1"/>
        </w:numPr>
      </w:pPr>
      <w:r w:rsidRPr="00227A33">
        <w:rPr>
          <w:b/>
        </w:rPr>
        <w:t>Float Charge</w:t>
      </w:r>
      <w:r>
        <w:t xml:space="preserve">: The 3rd stage of 3-stage battery charging. After batteries reach full charge, charging voltage is reduced to a lower level (typically 12.8 to 13.2) to reduce gassing and prolong battery life. </w:t>
      </w:r>
      <w:bookmarkStart w:id="0" w:name="_GoBack"/>
      <w:bookmarkEnd w:id="0"/>
    </w:p>
    <w:sectPr w:rsidR="00114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F3196"/>
    <w:multiLevelType w:val="hybridMultilevel"/>
    <w:tmpl w:val="232EE524"/>
    <w:lvl w:ilvl="0" w:tplc="D8E436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98"/>
    <w:rsid w:val="00094532"/>
    <w:rsid w:val="00114542"/>
    <w:rsid w:val="00227A33"/>
    <w:rsid w:val="0063294A"/>
    <w:rsid w:val="00693F2C"/>
    <w:rsid w:val="00797981"/>
    <w:rsid w:val="00BD5312"/>
    <w:rsid w:val="00DC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5312"/>
    <w:rPr>
      <w:b/>
      <w:bCs/>
    </w:rPr>
  </w:style>
  <w:style w:type="paragraph" w:styleId="ListParagraph">
    <w:name w:val="List Paragraph"/>
    <w:basedOn w:val="Normal"/>
    <w:uiPriority w:val="34"/>
    <w:qFormat/>
    <w:rsid w:val="001145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5312"/>
    <w:rPr>
      <w:b/>
      <w:bCs/>
    </w:rPr>
  </w:style>
  <w:style w:type="paragraph" w:styleId="ListParagraph">
    <w:name w:val="List Paragraph"/>
    <w:basedOn w:val="Normal"/>
    <w:uiPriority w:val="34"/>
    <w:qFormat/>
    <w:rsid w:val="00114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471315">
      <w:bodyDiv w:val="1"/>
      <w:marLeft w:val="0"/>
      <w:marRight w:val="0"/>
      <w:marTop w:val="0"/>
      <w:marBottom w:val="0"/>
      <w:divBdr>
        <w:top w:val="none" w:sz="0" w:space="0" w:color="auto"/>
        <w:left w:val="none" w:sz="0" w:space="0" w:color="auto"/>
        <w:bottom w:val="none" w:sz="0" w:space="0" w:color="auto"/>
        <w:right w:val="none" w:sz="0" w:space="0" w:color="auto"/>
      </w:divBdr>
    </w:div>
    <w:div w:id="21268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dc:creator>
  <cp:lastModifiedBy>Cristi</cp:lastModifiedBy>
  <cp:revision>6</cp:revision>
  <dcterms:created xsi:type="dcterms:W3CDTF">2014-04-03T20:11:00Z</dcterms:created>
  <dcterms:modified xsi:type="dcterms:W3CDTF">2014-04-03T21:14:00Z</dcterms:modified>
</cp:coreProperties>
</file>