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3985">
      <w:pPr>
        <w:keepNext/>
        <w:keepLines/>
        <w:spacing w:before="0" w:after="0"/>
        <w:jc w:val="center"/>
      </w:pPr>
      <w:r>
        <w:drawing>
          <wp:inline distT="0" distB="0" distL="114300" distR="114300">
            <wp:extent cx="1051560" cy="1051560"/>
            <wp:effectExtent l="0" t="0" r="2540" b="2540"/>
            <wp:docPr id="1" name="Picture 1" descr="图 1 ZISU 品牌标识" title="图 1 ZISU 品牌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ZISU 品牌标识" title="图 1 ZISU 品牌标识"/>
                    <pic:cNvPicPr>
                      <a:picLocks noChangeAspect="1"/>
                    </pic:cNvPicPr>
                  </pic:nvPicPr>
                  <pic:blipFill>
                    <a:blip r:embed="rId7"/>
                    <a:stretch>
                      <a:fillRect/>
                    </a:stretch>
                  </pic:blipFill>
                  <pic:spPr>
                    <a:xfrm>
                      <a:off x="0" y="0"/>
                      <a:ext cx="1051560" cy="1051560"/>
                    </a:xfrm>
                    <a:prstGeom prst="rect">
                      <a:avLst/>
                    </a:prstGeom>
                  </pic:spPr>
                </pic:pic>
              </a:graphicData>
            </a:graphic>
          </wp:inline>
        </w:drawing>
      </w:r>
    </w:p>
    <w:p w14:paraId="6FF0ADA3">
      <w:pPr>
        <w:pStyle w:val="33"/>
        <w:spacing w:before="320" w:after="240"/>
        <w:jc w:val="center"/>
      </w:pPr>
      <w:r>
        <w:rPr>
          <w:rFonts w:ascii="微软雅黑" w:hAnsi="微软雅黑" w:eastAsia="微软雅黑"/>
          <w:b/>
          <w:color w:val="000000"/>
          <w:sz w:val="56"/>
        </w:rPr>
        <w:t xml:space="preserve">织枢 </w:t>
      </w:r>
      <w:r>
        <w:rPr>
          <w:rFonts w:hint="eastAsia" w:ascii="微软雅黑" w:hAnsi="微软雅黑" w:eastAsia="微软雅黑"/>
          <w:b/>
          <w:color w:val="000000"/>
          <w:sz w:val="56"/>
          <w:lang w:eastAsia="zh-CN"/>
        </w:rPr>
        <w:t>（</w:t>
      </w:r>
      <w:r>
        <w:rPr>
          <w:rFonts w:ascii="微软雅黑" w:hAnsi="微软雅黑" w:eastAsia="微软雅黑"/>
          <w:b/>
          <w:color w:val="000000"/>
          <w:sz w:val="56"/>
        </w:rPr>
        <w:t xml:space="preserve">ZISU </w:t>
      </w:r>
      <w:r>
        <w:rPr>
          <w:rFonts w:hint="eastAsia" w:ascii="微软雅黑" w:hAnsi="微软雅黑" w:eastAsia="微软雅黑"/>
          <w:b/>
          <w:color w:val="000000"/>
          <w:sz w:val="56"/>
          <w:lang w:eastAsia="zh-CN"/>
        </w:rPr>
        <w:t>）</w:t>
      </w:r>
      <w:r>
        <w:rPr>
          <w:rFonts w:ascii="微软雅黑" w:hAnsi="微软雅黑" w:eastAsia="微软雅黑"/>
          <w:b/>
          <w:color w:val="000000"/>
          <w:sz w:val="56"/>
        </w:rPr>
        <w:t>商业计划书</w:t>
      </w:r>
    </w:p>
    <w:p w14:paraId="1BFFC721">
      <w:pPr>
        <w:jc w:val="center"/>
      </w:pPr>
      <w:r>
        <w:t>面向多 Agent 协作场景的任务记忆体与动态编排系统</w:t>
      </w:r>
    </w:p>
    <w:p w14:paraId="008EC1F9">
      <w:pPr>
        <w:spacing w:before="1120"/>
        <w:jc w:val="center"/>
      </w:pPr>
      <w:r>
        <w:t>以多层记忆为底座，以协同执行为中枢</w:t>
      </w:r>
    </w:p>
    <w:p w14:paraId="6D22F0D4">
      <w:pPr>
        <w:jc w:val="center"/>
      </w:pPr>
      <w:r>
        <w:rPr>
          <w:rFonts w:ascii="微软雅黑" w:hAnsi="微软雅黑" w:eastAsia="微软雅黑"/>
          <w:b w:val="0"/>
          <w:color w:val="666666"/>
          <w:sz w:val="22"/>
        </w:rPr>
        <w:t>项目名称：织枢（ZISU）</w:t>
      </w:r>
    </w:p>
    <w:p w14:paraId="24777052">
      <w:pPr>
        <w:jc w:val="center"/>
      </w:pPr>
      <w:r>
        <w:t>所属赛题：面向多 Agent 协作的 Agent 记忆体系统</w:t>
      </w:r>
    </w:p>
    <w:p w14:paraId="2B187838">
      <w:r>
        <w:br w:type="page"/>
      </w:r>
    </w:p>
    <w:sdt>
      <w:sdtPr>
        <w:rPr>
          <w:rFonts w:ascii="宋体" w:hAnsi="宋体" w:eastAsia="宋体" w:cstheme="minorBidi"/>
          <w:sz w:val="21"/>
          <w:szCs w:val="22"/>
          <w:lang w:val="en-US" w:eastAsia="en-US" w:bidi="ar-SA"/>
        </w:rPr>
        <w:id w:val="147473990"/>
        <w15:color w:val="DBDBDB"/>
        <w:docPartObj>
          <w:docPartGallery w:val="Table of Contents"/>
          <w:docPartUnique/>
        </w:docPartObj>
      </w:sdtPr>
      <w:sdtEndPr>
        <w:rPr>
          <w:rFonts w:ascii="微软雅黑" w:hAnsi="微软雅黑" w:eastAsia="微软雅黑" w:cstheme="minorBidi"/>
          <w:color w:val="000000"/>
          <w:sz w:val="21"/>
          <w:szCs w:val="22"/>
          <w:lang w:val="en-US" w:eastAsia="en-US" w:bidi="ar-SA"/>
        </w:rPr>
      </w:sdtEndPr>
      <w:sdtContent>
        <w:p w14:paraId="5BBF22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C4A053B">
          <w:pPr>
            <w:pStyle w:val="26"/>
            <w:tabs>
              <w:tab w:val="right" w:leader="dot" w:pos="10080"/>
            </w:tabs>
          </w:pPr>
          <w:r>
            <w:rPr>
              <w:rFonts w:ascii="微软雅黑" w:hAnsi="微软雅黑" w:eastAsia="微软雅黑"/>
              <w:b w:val="0"/>
              <w:color w:val="000000"/>
              <w:sz w:val="22"/>
            </w:rPr>
            <w:fldChar w:fldCharType="begin"/>
          </w:r>
          <w:r>
            <w:rPr>
              <w:rFonts w:ascii="微软雅黑" w:hAnsi="微软雅黑" w:eastAsia="微软雅黑"/>
              <w:b w:val="0"/>
              <w:color w:val="000000"/>
              <w:sz w:val="22"/>
            </w:rPr>
            <w:instrText xml:space="preserve">TOC \o "1-3" \h \u </w:instrText>
          </w:r>
          <w:r>
            <w:rPr>
              <w:rFonts w:ascii="微软雅黑" w:hAnsi="微软雅黑" w:eastAsia="微软雅黑"/>
              <w:b w:val="0"/>
              <w:color w:val="000000"/>
              <w:sz w:val="22"/>
            </w:rPr>
            <w:fldChar w:fldCharType="separate"/>
          </w:r>
          <w:r>
            <w:rPr>
              <w:rFonts w:ascii="微软雅黑" w:hAnsi="微软雅黑" w:eastAsia="微软雅黑"/>
              <w:color w:val="000000"/>
            </w:rPr>
            <w:fldChar w:fldCharType="begin"/>
          </w:r>
          <w:r>
            <w:rPr>
              <w:rFonts w:ascii="微软雅黑" w:hAnsi="微软雅黑" w:eastAsia="微软雅黑"/>
            </w:rPr>
            <w:instrText xml:space="preserve"> HYPERLINK \l _Toc14313 </w:instrText>
          </w:r>
          <w:r>
            <w:rPr>
              <w:rFonts w:ascii="微软雅黑" w:hAnsi="微软雅黑" w:eastAsia="微软雅黑"/>
            </w:rPr>
            <w:fldChar w:fldCharType="separate"/>
          </w:r>
          <w:r>
            <w:rPr>
              <w:rFonts w:ascii="微软雅黑" w:hAnsi="微软雅黑" w:eastAsia="微软雅黑"/>
            </w:rPr>
            <w:t>一、执行摘要</w:t>
          </w:r>
          <w:r>
            <w:tab/>
          </w:r>
          <w:r>
            <w:fldChar w:fldCharType="begin"/>
          </w:r>
          <w:r>
            <w:instrText xml:space="preserve"> PAGEREF _Toc14313 \h </w:instrText>
          </w:r>
          <w:r>
            <w:fldChar w:fldCharType="separate"/>
          </w:r>
          <w:r>
            <w:t>4</w:t>
          </w:r>
          <w:r>
            <w:fldChar w:fldCharType="end"/>
          </w:r>
          <w:r>
            <w:rPr>
              <w:rFonts w:ascii="微软雅黑" w:hAnsi="微软雅黑" w:eastAsia="微软雅黑"/>
              <w:color w:val="000000"/>
            </w:rPr>
            <w:fldChar w:fldCharType="end"/>
          </w:r>
        </w:p>
        <w:p w14:paraId="30F9C499">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_Toc7786 </w:instrText>
          </w:r>
          <w:r>
            <w:rPr>
              <w:rFonts w:ascii="微软雅黑" w:hAnsi="微软雅黑" w:eastAsia="微软雅黑"/>
            </w:rPr>
            <w:fldChar w:fldCharType="separate"/>
          </w:r>
          <w:r>
            <w:rPr>
              <w:rFonts w:ascii="微软雅黑" w:hAnsi="微软雅黑" w:eastAsia="微软雅黑"/>
            </w:rPr>
            <w:t>二、项目背景与市场机会</w:t>
          </w:r>
          <w:r>
            <w:tab/>
          </w:r>
          <w:r>
            <w:fldChar w:fldCharType="begin"/>
          </w:r>
          <w:r>
            <w:instrText xml:space="preserve"> PAGEREF _Toc7786 \h </w:instrText>
          </w:r>
          <w:r>
            <w:fldChar w:fldCharType="separate"/>
          </w:r>
          <w:r>
            <w:t>5</w:t>
          </w:r>
          <w:r>
            <w:fldChar w:fldCharType="end"/>
          </w:r>
          <w:r>
            <w:rPr>
              <w:rFonts w:ascii="微软雅黑" w:hAnsi="微软雅黑" w:eastAsia="微软雅黑"/>
              <w:color w:val="000000"/>
            </w:rPr>
            <w:fldChar w:fldCharType="end"/>
          </w:r>
        </w:p>
        <w:p w14:paraId="1865C823">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_Toc15671 </w:instrText>
          </w:r>
          <w:r>
            <w:rPr>
              <w:rFonts w:ascii="微软雅黑" w:hAnsi="微软雅黑" w:eastAsia="微软雅黑"/>
            </w:rPr>
            <w:fldChar w:fldCharType="separate"/>
          </w:r>
          <w:r>
            <w:rPr>
              <w:rFonts w:ascii="微软雅黑" w:hAnsi="微软雅黑" w:eastAsia="微软雅黑"/>
            </w:rPr>
            <w:t>2.1 行业痛点</w:t>
          </w:r>
          <w:r>
            <w:tab/>
          </w:r>
          <w:r>
            <w:fldChar w:fldCharType="begin"/>
          </w:r>
          <w:r>
            <w:instrText xml:space="preserve"> PAGEREF _Toc15671 \h </w:instrText>
          </w:r>
          <w:r>
            <w:fldChar w:fldCharType="separate"/>
          </w:r>
          <w:r>
            <w:t>5</w:t>
          </w:r>
          <w:r>
            <w:fldChar w:fldCharType="end"/>
          </w:r>
          <w:r>
            <w:rPr>
              <w:rFonts w:ascii="微软雅黑" w:hAnsi="微软雅黑" w:eastAsia="微软雅黑"/>
              <w:color w:val="000000"/>
            </w:rPr>
            <w:fldChar w:fldCharType="end"/>
          </w:r>
        </w:p>
        <w:p w14:paraId="45B9FBDF">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_Toc9363 </w:instrText>
          </w:r>
          <w:r>
            <w:rPr>
              <w:rFonts w:ascii="微软雅黑" w:hAnsi="微软雅黑" w:eastAsia="微软雅黑"/>
            </w:rPr>
            <w:fldChar w:fldCharType="separate"/>
          </w:r>
          <w:r>
            <w:rPr>
              <w:rFonts w:ascii="微软雅黑" w:hAnsi="微软雅黑" w:eastAsia="微软雅黑"/>
            </w:rPr>
            <w:t>2.2 市场机会</w:t>
          </w:r>
          <w:r>
            <w:tab/>
          </w:r>
          <w:r>
            <w:fldChar w:fldCharType="begin"/>
          </w:r>
          <w:r>
            <w:instrText xml:space="preserve"> PAGEREF _Toc9363 \h </w:instrText>
          </w:r>
          <w:r>
            <w:fldChar w:fldCharType="separate"/>
          </w:r>
          <w:r>
            <w:t>5</w:t>
          </w:r>
          <w:r>
            <w:fldChar w:fldCharType="end"/>
          </w:r>
          <w:r>
            <w:rPr>
              <w:rFonts w:ascii="微软雅黑" w:hAnsi="微软雅黑" w:eastAsia="微软雅黑"/>
              <w:color w:val="000000"/>
            </w:rPr>
            <w:fldChar w:fldCharType="end"/>
          </w:r>
        </w:p>
        <w:p w14:paraId="4D362DE6">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_Toc13095 </w:instrText>
          </w:r>
          <w:r>
            <w:rPr>
              <w:rFonts w:ascii="微软雅黑" w:hAnsi="微软雅黑" w:eastAsia="微软雅黑"/>
            </w:rPr>
            <w:fldChar w:fldCharType="separate"/>
          </w:r>
          <w:r>
            <w:rPr>
              <w:rFonts w:ascii="微软雅黑" w:hAnsi="微软雅黑" w:eastAsia="微软雅黑"/>
            </w:rPr>
            <w:t>三、产品与解决方案</w:t>
          </w:r>
          <w:r>
            <w:tab/>
          </w:r>
          <w:r>
            <w:fldChar w:fldCharType="begin"/>
          </w:r>
          <w:r>
            <w:instrText xml:space="preserve"> PAGEREF _Toc13095 \h </w:instrText>
          </w:r>
          <w:r>
            <w:fldChar w:fldCharType="separate"/>
          </w:r>
          <w:r>
            <w:t>6</w:t>
          </w:r>
          <w:r>
            <w:fldChar w:fldCharType="end"/>
          </w:r>
          <w:r>
            <w:rPr>
              <w:rFonts w:ascii="微软雅黑" w:hAnsi="微软雅黑" w:eastAsia="微软雅黑"/>
              <w:color w:val="000000"/>
            </w:rPr>
            <w:fldChar w:fldCharType="end"/>
          </w:r>
        </w:p>
        <w:p w14:paraId="0AB6EF7B">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_Toc18856 </w:instrText>
          </w:r>
          <w:r>
            <w:rPr>
              <w:rFonts w:ascii="微软雅黑" w:hAnsi="微软雅黑" w:eastAsia="微软雅黑"/>
            </w:rPr>
            <w:fldChar w:fldCharType="separate"/>
          </w:r>
          <w:r>
            <w:rPr>
              <w:rFonts w:ascii="微软雅黑" w:hAnsi="微软雅黑" w:eastAsia="微软雅黑"/>
            </w:rPr>
            <w:t>3.1 产品定位</w:t>
          </w:r>
          <w:r>
            <w:tab/>
          </w:r>
          <w:r>
            <w:fldChar w:fldCharType="begin"/>
          </w:r>
          <w:r>
            <w:instrText xml:space="preserve"> PAGEREF _Toc18856 \h </w:instrText>
          </w:r>
          <w:r>
            <w:fldChar w:fldCharType="separate"/>
          </w:r>
          <w:r>
            <w:t>6</w:t>
          </w:r>
          <w:r>
            <w:fldChar w:fldCharType="end"/>
          </w:r>
          <w:r>
            <w:rPr>
              <w:rFonts w:ascii="微软雅黑" w:hAnsi="微软雅黑" w:eastAsia="微软雅黑"/>
              <w:color w:val="000000"/>
            </w:rPr>
            <w:fldChar w:fldCharType="end"/>
          </w:r>
        </w:p>
        <w:p w14:paraId="2A9CA50B">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_Toc20188 </w:instrText>
          </w:r>
          <w:r>
            <w:rPr>
              <w:rFonts w:ascii="微软雅黑" w:hAnsi="微软雅黑" w:eastAsia="微软雅黑"/>
            </w:rPr>
            <w:fldChar w:fldCharType="separate"/>
          </w:r>
          <w:r>
            <w:rPr>
              <w:rFonts w:ascii="微软雅黑" w:hAnsi="微软雅黑" w:eastAsia="微软雅黑"/>
            </w:rPr>
            <w:t>3.2 产品架构与能力模块</w:t>
          </w:r>
          <w:r>
            <w:tab/>
          </w:r>
          <w:r>
            <w:fldChar w:fldCharType="begin"/>
          </w:r>
          <w:r>
            <w:instrText xml:space="preserve"> PAGEREF _Toc20188 \h </w:instrText>
          </w:r>
          <w:r>
            <w:fldChar w:fldCharType="separate"/>
          </w:r>
          <w:r>
            <w:t>6</w:t>
          </w:r>
          <w:r>
            <w:fldChar w:fldCharType="end"/>
          </w:r>
          <w:r>
            <w:rPr>
              <w:rFonts w:ascii="微软雅黑" w:hAnsi="微软雅黑" w:eastAsia="微软雅黑"/>
              <w:color w:val="000000"/>
            </w:rPr>
            <w:fldChar w:fldCharType="end"/>
          </w:r>
        </w:p>
        <w:p w14:paraId="59F3052A">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_Toc30406 </w:instrText>
          </w:r>
          <w:r>
            <w:rPr>
              <w:rFonts w:ascii="微软雅黑" w:hAnsi="微软雅黑" w:eastAsia="微软雅黑"/>
            </w:rPr>
            <w:fldChar w:fldCharType="separate"/>
          </w:r>
          <w:r>
            <w:rPr>
              <w:rFonts w:ascii="微软雅黑" w:hAnsi="微软雅黑" w:eastAsia="微软雅黑"/>
            </w:rPr>
            <w:t>3.3 用户使用路径</w:t>
          </w:r>
          <w:r>
            <w:tab/>
          </w:r>
          <w:r>
            <w:fldChar w:fldCharType="begin"/>
          </w:r>
          <w:r>
            <w:instrText xml:space="preserve"> PAGEREF _Toc30406 \h </w:instrText>
          </w:r>
          <w:r>
            <w:fldChar w:fldCharType="separate"/>
          </w:r>
          <w:r>
            <w:t>7</w:t>
          </w:r>
          <w:r>
            <w:fldChar w:fldCharType="end"/>
          </w:r>
          <w:r>
            <w:rPr>
              <w:rFonts w:ascii="微软雅黑" w:hAnsi="微软雅黑" w:eastAsia="微软雅黑"/>
              <w:color w:val="000000"/>
            </w:rPr>
            <w:fldChar w:fldCharType="end"/>
          </w:r>
        </w:p>
        <w:p w14:paraId="0E8E7BE5">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_Toc25445 </w:instrText>
          </w:r>
          <w:r>
            <w:rPr>
              <w:rFonts w:ascii="微软雅黑" w:hAnsi="微软雅黑" w:eastAsia="微软雅黑"/>
            </w:rPr>
            <w:fldChar w:fldCharType="separate"/>
          </w:r>
          <w:r>
            <w:rPr>
              <w:rFonts w:ascii="微软雅黑" w:hAnsi="微软雅黑" w:eastAsia="微软雅黑"/>
            </w:rPr>
            <w:t>四、核心技术与验证基础</w:t>
          </w:r>
          <w:r>
            <w:tab/>
          </w:r>
          <w:r>
            <w:fldChar w:fldCharType="begin"/>
          </w:r>
          <w:r>
            <w:instrText xml:space="preserve"> PAGEREF _Toc25445 \h </w:instrText>
          </w:r>
          <w:r>
            <w:fldChar w:fldCharType="separate"/>
          </w:r>
          <w:r>
            <w:t>12</w:t>
          </w:r>
          <w:r>
            <w:fldChar w:fldCharType="end"/>
          </w:r>
          <w:r>
            <w:rPr>
              <w:rFonts w:ascii="微软雅黑" w:hAnsi="微软雅黑" w:eastAsia="微软雅黑"/>
              <w:color w:val="000000"/>
            </w:rPr>
            <w:fldChar w:fldCharType="end"/>
          </w:r>
        </w:p>
        <w:p w14:paraId="293293EB">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_Toc3999 </w:instrText>
          </w:r>
          <w:r>
            <w:rPr>
              <w:rFonts w:ascii="微软雅黑" w:hAnsi="微软雅黑" w:eastAsia="微软雅黑"/>
            </w:rPr>
            <w:fldChar w:fldCharType="separate"/>
          </w:r>
          <w:r>
            <w:rPr>
              <w:rFonts w:ascii="微软雅黑" w:hAnsi="微软雅黑" w:eastAsia="微软雅黑"/>
            </w:rPr>
            <w:t>4.1 三项核心机制</w:t>
          </w:r>
          <w:r>
            <w:tab/>
          </w:r>
          <w:r>
            <w:fldChar w:fldCharType="begin"/>
          </w:r>
          <w:r>
            <w:instrText xml:space="preserve"> PAGEREF _Toc3999 \h </w:instrText>
          </w:r>
          <w:r>
            <w:fldChar w:fldCharType="separate"/>
          </w:r>
          <w:r>
            <w:t>12</w:t>
          </w:r>
          <w:r>
            <w:fldChar w:fldCharType="end"/>
          </w:r>
          <w:r>
            <w:rPr>
              <w:rFonts w:ascii="微软雅黑" w:hAnsi="微软雅黑" w:eastAsia="微软雅黑"/>
              <w:color w:val="000000"/>
            </w:rPr>
            <w:fldChar w:fldCharType="end"/>
          </w:r>
        </w:p>
        <w:p w14:paraId="6E1A8E09">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_Toc5918 </w:instrText>
          </w:r>
          <w:r>
            <w:rPr>
              <w:rFonts w:ascii="微软雅黑" w:hAnsi="微软雅黑" w:eastAsia="微软雅黑"/>
            </w:rPr>
            <w:fldChar w:fldCharType="separate"/>
          </w:r>
          <w:r>
            <w:rPr>
              <w:rFonts w:ascii="微软雅黑" w:hAnsi="微软雅黑" w:eastAsia="微软雅黑"/>
            </w:rPr>
            <w:t>4.2 已有验证基础</w:t>
          </w:r>
          <w:r>
            <w:tab/>
          </w:r>
          <w:r>
            <w:fldChar w:fldCharType="begin"/>
          </w:r>
          <w:r>
            <w:instrText xml:space="preserve"> PAGEREF _Toc5918 \h </w:instrText>
          </w:r>
          <w:r>
            <w:fldChar w:fldCharType="separate"/>
          </w:r>
          <w:r>
            <w:t>14</w:t>
          </w:r>
          <w:r>
            <w:fldChar w:fldCharType="end"/>
          </w:r>
          <w:r>
            <w:rPr>
              <w:rFonts w:ascii="微软雅黑" w:hAnsi="微软雅黑" w:eastAsia="微软雅黑"/>
              <w:color w:val="000000"/>
            </w:rPr>
            <w:fldChar w:fldCharType="end"/>
          </w:r>
        </w:p>
        <w:p w14:paraId="57F40728">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_Toc29894 </w:instrText>
          </w:r>
          <w:r>
            <w:rPr>
              <w:rFonts w:ascii="微软雅黑" w:hAnsi="微软雅黑" w:eastAsia="微软雅黑"/>
            </w:rPr>
            <w:fldChar w:fldCharType="separate"/>
          </w:r>
          <w:r>
            <w:rPr>
              <w:rFonts w:ascii="微软雅黑" w:hAnsi="微软雅黑" w:eastAsia="微软雅黑"/>
            </w:rPr>
            <w:t>五、目标客户与应用场景</w:t>
          </w:r>
          <w:r>
            <w:tab/>
          </w:r>
          <w:r>
            <w:fldChar w:fldCharType="begin"/>
          </w:r>
          <w:r>
            <w:instrText xml:space="preserve"> PAGEREF _Toc29894 \h </w:instrText>
          </w:r>
          <w:r>
            <w:fldChar w:fldCharType="separate"/>
          </w:r>
          <w:r>
            <w:t>15</w:t>
          </w:r>
          <w:r>
            <w:fldChar w:fldCharType="end"/>
          </w:r>
          <w:r>
            <w:rPr>
              <w:rFonts w:ascii="微软雅黑" w:hAnsi="微软雅黑" w:eastAsia="微软雅黑"/>
              <w:color w:val="000000"/>
            </w:rPr>
            <w:fldChar w:fldCharType="end"/>
          </w:r>
        </w:p>
        <w:p w14:paraId="32C68929">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_Toc30032 </w:instrText>
          </w:r>
          <w:r>
            <w:rPr>
              <w:rFonts w:ascii="微软雅黑" w:hAnsi="微软雅黑" w:eastAsia="微软雅黑"/>
            </w:rPr>
            <w:fldChar w:fldCharType="separate"/>
          </w:r>
          <w:r>
            <w:rPr>
              <w:rFonts w:ascii="微软雅黑" w:hAnsi="微软雅黑" w:eastAsia="微软雅黑"/>
            </w:rPr>
            <w:t>5.1 优先客户画像</w:t>
          </w:r>
          <w:r>
            <w:tab/>
          </w:r>
          <w:r>
            <w:fldChar w:fldCharType="begin"/>
          </w:r>
          <w:r>
            <w:instrText xml:space="preserve"> PAGEREF _Toc30032 \h </w:instrText>
          </w:r>
          <w:r>
            <w:fldChar w:fldCharType="separate"/>
          </w:r>
          <w:r>
            <w:t>15</w:t>
          </w:r>
          <w:r>
            <w:fldChar w:fldCharType="end"/>
          </w:r>
          <w:r>
            <w:rPr>
              <w:rFonts w:ascii="微软雅黑" w:hAnsi="微软雅黑" w:eastAsia="微软雅黑"/>
              <w:color w:val="000000"/>
            </w:rPr>
            <w:fldChar w:fldCharType="end"/>
          </w:r>
        </w:p>
        <w:p w14:paraId="00655151">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_Toc1373 </w:instrText>
          </w:r>
          <w:r>
            <w:rPr>
              <w:rFonts w:ascii="微软雅黑" w:hAnsi="微软雅黑" w:eastAsia="微软雅黑"/>
            </w:rPr>
            <w:fldChar w:fldCharType="separate"/>
          </w:r>
          <w:r>
            <w:rPr>
              <w:rFonts w:ascii="微软雅黑" w:hAnsi="微软雅黑" w:eastAsia="微软雅黑"/>
            </w:rPr>
            <w:t>5.2 首期应用场景</w:t>
          </w:r>
          <w:r>
            <w:tab/>
          </w:r>
          <w:r>
            <w:fldChar w:fldCharType="begin"/>
          </w:r>
          <w:r>
            <w:instrText xml:space="preserve"> PAGEREF _Toc1373 \h </w:instrText>
          </w:r>
          <w:r>
            <w:fldChar w:fldCharType="separate"/>
          </w:r>
          <w:r>
            <w:t>15</w:t>
          </w:r>
          <w:r>
            <w:fldChar w:fldCharType="end"/>
          </w:r>
          <w:r>
            <w:rPr>
              <w:rFonts w:ascii="微软雅黑" w:hAnsi="微软雅黑" w:eastAsia="微软雅黑"/>
              <w:color w:val="000000"/>
            </w:rPr>
            <w:fldChar w:fldCharType="end"/>
          </w:r>
        </w:p>
        <w:p w14:paraId="30BC9623">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_Toc17830 </w:instrText>
          </w:r>
          <w:r>
            <w:rPr>
              <w:rFonts w:ascii="微软雅黑" w:hAnsi="微软雅黑" w:eastAsia="微软雅黑"/>
            </w:rPr>
            <w:fldChar w:fldCharType="separate"/>
          </w:r>
          <w:r>
            <w:rPr>
              <w:rFonts w:ascii="微软雅黑" w:hAnsi="微软雅黑" w:eastAsia="微软雅黑"/>
            </w:rPr>
            <w:t>六、商业模式与盈利路径</w:t>
          </w:r>
          <w:r>
            <w:tab/>
          </w:r>
          <w:r>
            <w:fldChar w:fldCharType="begin"/>
          </w:r>
          <w:r>
            <w:instrText xml:space="preserve"> PAGEREF _Toc17830 \h </w:instrText>
          </w:r>
          <w:r>
            <w:fldChar w:fldCharType="separate"/>
          </w:r>
          <w:r>
            <w:t>15</w:t>
          </w:r>
          <w:r>
            <w:fldChar w:fldCharType="end"/>
          </w:r>
          <w:r>
            <w:rPr>
              <w:rFonts w:ascii="微软雅黑" w:hAnsi="微软雅黑" w:eastAsia="微软雅黑"/>
              <w:color w:val="000000"/>
            </w:rPr>
            <w:fldChar w:fldCharType="end"/>
          </w:r>
        </w:p>
        <w:p w14:paraId="4A8D5A11">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_Toc811 </w:instrText>
          </w:r>
          <w:r>
            <w:rPr>
              <w:rFonts w:ascii="微软雅黑" w:hAnsi="微软雅黑" w:eastAsia="微软雅黑"/>
            </w:rPr>
            <w:fldChar w:fldCharType="separate"/>
          </w:r>
          <w:r>
            <w:rPr>
              <w:rFonts w:ascii="微软雅黑" w:hAnsi="微软雅黑" w:eastAsia="微软雅黑"/>
            </w:rPr>
            <w:t>6.1 商业模式设计</w:t>
          </w:r>
          <w:r>
            <w:tab/>
          </w:r>
          <w:r>
            <w:fldChar w:fldCharType="begin"/>
          </w:r>
          <w:r>
            <w:instrText xml:space="preserve"> PAGEREF _Toc811 \h </w:instrText>
          </w:r>
          <w:r>
            <w:fldChar w:fldCharType="separate"/>
          </w:r>
          <w:r>
            <w:t>15</w:t>
          </w:r>
          <w:r>
            <w:fldChar w:fldCharType="end"/>
          </w:r>
          <w:r>
            <w:rPr>
              <w:rFonts w:ascii="微软雅黑" w:hAnsi="微软雅黑" w:eastAsia="微软雅黑"/>
              <w:color w:val="000000"/>
            </w:rPr>
            <w:fldChar w:fldCharType="end"/>
          </w:r>
        </w:p>
        <w:p w14:paraId="28D81305">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_Toc8301 </w:instrText>
          </w:r>
          <w:r>
            <w:rPr>
              <w:rFonts w:ascii="微软雅黑" w:hAnsi="微软雅黑" w:eastAsia="微软雅黑"/>
            </w:rPr>
            <w:fldChar w:fldCharType="separate"/>
          </w:r>
          <w:r>
            <w:rPr>
              <w:rFonts w:ascii="微软雅黑" w:hAnsi="微软雅黑" w:eastAsia="微软雅黑"/>
            </w:rPr>
            <w:t>6.2 单位经济模型</w:t>
          </w:r>
          <w:r>
            <w:tab/>
          </w:r>
          <w:r>
            <w:fldChar w:fldCharType="begin"/>
          </w:r>
          <w:r>
            <w:instrText xml:space="preserve"> PAGEREF _Toc8301 \h </w:instrText>
          </w:r>
          <w:r>
            <w:fldChar w:fldCharType="separate"/>
          </w:r>
          <w:r>
            <w:t>16</w:t>
          </w:r>
          <w:r>
            <w:fldChar w:fldCharType="end"/>
          </w:r>
          <w:r>
            <w:rPr>
              <w:rFonts w:ascii="微软雅黑" w:hAnsi="微软雅黑" w:eastAsia="微软雅黑"/>
              <w:color w:val="000000"/>
            </w:rPr>
            <w:fldChar w:fldCharType="end"/>
          </w:r>
        </w:p>
        <w:p w14:paraId="5C704DE9">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_Toc5219 </w:instrText>
          </w:r>
          <w:r>
            <w:rPr>
              <w:rFonts w:ascii="微软雅黑" w:hAnsi="微软雅黑" w:eastAsia="微软雅黑"/>
            </w:rPr>
            <w:fldChar w:fldCharType="separate"/>
          </w:r>
          <w:r>
            <w:rPr>
              <w:rFonts w:ascii="微软雅黑" w:hAnsi="微软雅黑" w:eastAsia="微软雅黑"/>
            </w:rPr>
            <w:t>七、市场进入与营销策略</w:t>
          </w:r>
          <w:r>
            <w:tab/>
          </w:r>
          <w:r>
            <w:fldChar w:fldCharType="begin"/>
          </w:r>
          <w:r>
            <w:instrText xml:space="preserve"> PAGEREF _Toc5219 \h </w:instrText>
          </w:r>
          <w:r>
            <w:fldChar w:fldCharType="separate"/>
          </w:r>
          <w:r>
            <w:t>16</w:t>
          </w:r>
          <w:r>
            <w:fldChar w:fldCharType="end"/>
          </w:r>
          <w:r>
            <w:rPr>
              <w:rFonts w:ascii="微软雅黑" w:hAnsi="微软雅黑" w:eastAsia="微软雅黑"/>
              <w:color w:val="000000"/>
            </w:rPr>
            <w:fldChar w:fldCharType="end"/>
          </w:r>
        </w:p>
        <w:p w14:paraId="43F7F758">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_Toc11710 </w:instrText>
          </w:r>
          <w:r>
            <w:rPr>
              <w:rFonts w:ascii="微软雅黑" w:hAnsi="微软雅黑" w:eastAsia="微软雅黑"/>
            </w:rPr>
            <w:fldChar w:fldCharType="separate"/>
          </w:r>
          <w:r>
            <w:rPr>
              <w:rFonts w:ascii="微软雅黑" w:hAnsi="微软雅黑" w:eastAsia="微软雅黑"/>
            </w:rPr>
            <w:t>7.1 获客路径</w:t>
          </w:r>
          <w:r>
            <w:tab/>
          </w:r>
          <w:r>
            <w:fldChar w:fldCharType="begin"/>
          </w:r>
          <w:r>
            <w:instrText xml:space="preserve"> PAGEREF _Toc11710 \h </w:instrText>
          </w:r>
          <w:r>
            <w:fldChar w:fldCharType="separate"/>
          </w:r>
          <w:r>
            <w:t>16</w:t>
          </w:r>
          <w:r>
            <w:fldChar w:fldCharType="end"/>
          </w:r>
          <w:r>
            <w:rPr>
              <w:rFonts w:ascii="微软雅黑" w:hAnsi="微软雅黑" w:eastAsia="微软雅黑"/>
              <w:color w:val="000000"/>
            </w:rPr>
            <w:fldChar w:fldCharType="end"/>
          </w:r>
        </w:p>
        <w:p w14:paraId="06C31EFE">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_Toc14501 </w:instrText>
          </w:r>
          <w:r>
            <w:rPr>
              <w:rFonts w:ascii="微软雅黑" w:hAnsi="微软雅黑" w:eastAsia="微软雅黑"/>
            </w:rPr>
            <w:fldChar w:fldCharType="separate"/>
          </w:r>
          <w:r>
            <w:rPr>
              <w:rFonts w:ascii="微软雅黑" w:hAnsi="微软雅黑" w:eastAsia="微软雅黑"/>
            </w:rPr>
            <w:t>7.2 品牌与营销原则</w:t>
          </w:r>
          <w:r>
            <w:tab/>
          </w:r>
          <w:r>
            <w:fldChar w:fldCharType="begin"/>
          </w:r>
          <w:r>
            <w:instrText xml:space="preserve"> PAGEREF _Toc14501 \h </w:instrText>
          </w:r>
          <w:r>
            <w:fldChar w:fldCharType="separate"/>
          </w:r>
          <w:r>
            <w:t>17</w:t>
          </w:r>
          <w:r>
            <w:fldChar w:fldCharType="end"/>
          </w:r>
          <w:r>
            <w:rPr>
              <w:rFonts w:ascii="微软雅黑" w:hAnsi="微软雅黑" w:eastAsia="微软雅黑"/>
              <w:color w:val="000000"/>
            </w:rPr>
            <w:fldChar w:fldCharType="end"/>
          </w:r>
        </w:p>
        <w:p w14:paraId="05B689ED">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_Toc12029 </w:instrText>
          </w:r>
          <w:r>
            <w:rPr>
              <w:rFonts w:ascii="微软雅黑" w:hAnsi="微软雅黑" w:eastAsia="微软雅黑"/>
            </w:rPr>
            <w:fldChar w:fldCharType="separate"/>
          </w:r>
          <w:r>
            <w:rPr>
              <w:rFonts w:ascii="微软雅黑" w:hAnsi="微软雅黑" w:eastAsia="微软雅黑"/>
            </w:rPr>
            <w:t>八、竞争格局与差异化定位</w:t>
          </w:r>
          <w:r>
            <w:tab/>
          </w:r>
          <w:r>
            <w:fldChar w:fldCharType="begin"/>
          </w:r>
          <w:r>
            <w:instrText xml:space="preserve"> PAGEREF _Toc12029 \h </w:instrText>
          </w:r>
          <w:r>
            <w:fldChar w:fldCharType="separate"/>
          </w:r>
          <w:r>
            <w:t>17</w:t>
          </w:r>
          <w:r>
            <w:fldChar w:fldCharType="end"/>
          </w:r>
          <w:r>
            <w:rPr>
              <w:rFonts w:ascii="微软雅黑" w:hAnsi="微软雅黑" w:eastAsia="微软雅黑"/>
              <w:color w:val="000000"/>
            </w:rPr>
            <w:fldChar w:fldCharType="end"/>
          </w:r>
        </w:p>
        <w:p w14:paraId="19BBAB38">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_Toc29436 </w:instrText>
          </w:r>
          <w:r>
            <w:rPr>
              <w:rFonts w:ascii="微软雅黑" w:hAnsi="微软雅黑" w:eastAsia="微软雅黑"/>
            </w:rPr>
            <w:fldChar w:fldCharType="separate"/>
          </w:r>
          <w:r>
            <w:rPr>
              <w:rFonts w:ascii="微软雅黑" w:hAnsi="微软雅黑" w:eastAsia="微软雅黑"/>
            </w:rPr>
            <w:t>8.1 差异化定位</w:t>
          </w:r>
          <w:r>
            <w:tab/>
          </w:r>
          <w:r>
            <w:fldChar w:fldCharType="begin"/>
          </w:r>
          <w:r>
            <w:instrText xml:space="preserve"> PAGEREF _Toc29436 \h </w:instrText>
          </w:r>
          <w:r>
            <w:fldChar w:fldCharType="separate"/>
          </w:r>
          <w:r>
            <w:t>17</w:t>
          </w:r>
          <w:r>
            <w:fldChar w:fldCharType="end"/>
          </w:r>
          <w:r>
            <w:rPr>
              <w:rFonts w:ascii="微软雅黑" w:hAnsi="微软雅黑" w:eastAsia="微软雅黑"/>
              <w:color w:val="000000"/>
            </w:rPr>
            <w:fldChar w:fldCharType="end"/>
          </w:r>
        </w:p>
        <w:p w14:paraId="718B020D">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_Toc11608 </w:instrText>
          </w:r>
          <w:r>
            <w:rPr>
              <w:rFonts w:ascii="微软雅黑" w:hAnsi="微软雅黑" w:eastAsia="微软雅黑"/>
            </w:rPr>
            <w:fldChar w:fldCharType="separate"/>
          </w:r>
          <w:r>
            <w:rPr>
              <w:rFonts w:ascii="微软雅黑" w:hAnsi="微软雅黑" w:eastAsia="微软雅黑"/>
            </w:rPr>
            <w:t>九、发展规划与运营实施</w:t>
          </w:r>
          <w:r>
            <w:tab/>
          </w:r>
          <w:r>
            <w:fldChar w:fldCharType="begin"/>
          </w:r>
          <w:r>
            <w:instrText xml:space="preserve"> PAGEREF _Toc11608 \h </w:instrText>
          </w:r>
          <w:r>
            <w:fldChar w:fldCharType="separate"/>
          </w:r>
          <w:r>
            <w:t>18</w:t>
          </w:r>
          <w:r>
            <w:fldChar w:fldCharType="end"/>
          </w:r>
          <w:r>
            <w:rPr>
              <w:rFonts w:ascii="微软雅黑" w:hAnsi="微软雅黑" w:eastAsia="微软雅黑"/>
              <w:color w:val="000000"/>
            </w:rPr>
            <w:fldChar w:fldCharType="end"/>
          </w:r>
        </w:p>
        <w:p w14:paraId="56892451">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_Toc14572 </w:instrText>
          </w:r>
          <w:r>
            <w:rPr>
              <w:rFonts w:ascii="微软雅黑" w:hAnsi="微软雅黑" w:eastAsia="微软雅黑"/>
            </w:rPr>
            <w:fldChar w:fldCharType="separate"/>
          </w:r>
          <w:r>
            <w:rPr>
              <w:rFonts w:ascii="微软雅黑" w:hAnsi="微软雅黑" w:eastAsia="微软雅黑"/>
            </w:rPr>
            <w:t>9.1 运营闭环</w:t>
          </w:r>
          <w:r>
            <w:tab/>
          </w:r>
          <w:r>
            <w:fldChar w:fldCharType="begin"/>
          </w:r>
          <w:r>
            <w:instrText xml:space="preserve"> PAGEREF _Toc14572 \h </w:instrText>
          </w:r>
          <w:r>
            <w:fldChar w:fldCharType="separate"/>
          </w:r>
          <w:r>
            <w:t>18</w:t>
          </w:r>
          <w:r>
            <w:fldChar w:fldCharType="end"/>
          </w:r>
          <w:r>
            <w:rPr>
              <w:rFonts w:ascii="微软雅黑" w:hAnsi="微软雅黑" w:eastAsia="微软雅黑"/>
              <w:color w:val="000000"/>
            </w:rPr>
            <w:fldChar w:fldCharType="end"/>
          </w:r>
        </w:p>
        <w:p w14:paraId="238BE00A">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_Toc15653 </w:instrText>
          </w:r>
          <w:r>
            <w:rPr>
              <w:rFonts w:ascii="微软雅黑" w:hAnsi="微软雅黑" w:eastAsia="微软雅黑"/>
            </w:rPr>
            <w:fldChar w:fldCharType="separate"/>
          </w:r>
          <w:r>
            <w:rPr>
              <w:rFonts w:ascii="微软雅黑" w:hAnsi="微软雅黑" w:eastAsia="微软雅黑"/>
            </w:rPr>
            <w:t>十、财务测算框架与融资规划</w:t>
          </w:r>
          <w:r>
            <w:tab/>
          </w:r>
          <w:r>
            <w:fldChar w:fldCharType="begin"/>
          </w:r>
          <w:r>
            <w:instrText xml:space="preserve"> PAGEREF _Toc15653 \h </w:instrText>
          </w:r>
          <w:r>
            <w:fldChar w:fldCharType="separate"/>
          </w:r>
          <w:r>
            <w:t>18</w:t>
          </w:r>
          <w:r>
            <w:fldChar w:fldCharType="end"/>
          </w:r>
          <w:r>
            <w:rPr>
              <w:rFonts w:ascii="微软雅黑" w:hAnsi="微软雅黑" w:eastAsia="微软雅黑"/>
              <w:color w:val="000000"/>
            </w:rPr>
            <w:fldChar w:fldCharType="end"/>
          </w:r>
        </w:p>
        <w:p w14:paraId="4F969FD3">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_Toc30413 </w:instrText>
          </w:r>
          <w:r>
            <w:rPr>
              <w:rFonts w:ascii="微软雅黑" w:hAnsi="微软雅黑" w:eastAsia="微软雅黑"/>
            </w:rPr>
            <w:fldChar w:fldCharType="separate"/>
          </w:r>
          <w:r>
            <w:rPr>
              <w:rFonts w:ascii="微软雅黑" w:hAnsi="微软雅黑" w:eastAsia="微软雅黑"/>
            </w:rPr>
            <w:t>10.1 财务测算原则</w:t>
          </w:r>
          <w:r>
            <w:tab/>
          </w:r>
          <w:r>
            <w:fldChar w:fldCharType="begin"/>
          </w:r>
          <w:r>
            <w:instrText xml:space="preserve"> PAGEREF _Toc30413 \h </w:instrText>
          </w:r>
          <w:r>
            <w:fldChar w:fldCharType="separate"/>
          </w:r>
          <w:r>
            <w:t>18</w:t>
          </w:r>
          <w:r>
            <w:fldChar w:fldCharType="end"/>
          </w:r>
          <w:r>
            <w:rPr>
              <w:rFonts w:ascii="微软雅黑" w:hAnsi="微软雅黑" w:eastAsia="微软雅黑"/>
              <w:color w:val="000000"/>
            </w:rPr>
            <w:fldChar w:fldCharType="end"/>
          </w:r>
        </w:p>
        <w:p w14:paraId="364826BF">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_Toc1362 </w:instrText>
          </w:r>
          <w:r>
            <w:rPr>
              <w:rFonts w:ascii="微软雅黑" w:hAnsi="微软雅黑" w:eastAsia="微软雅黑"/>
            </w:rPr>
            <w:fldChar w:fldCharType="separate"/>
          </w:r>
          <w:r>
            <w:rPr>
              <w:rFonts w:ascii="微软雅黑" w:hAnsi="微软雅黑" w:eastAsia="微软雅黑"/>
            </w:rPr>
            <w:t>10.2 融资规划</w:t>
          </w:r>
          <w:r>
            <w:tab/>
          </w:r>
          <w:r>
            <w:fldChar w:fldCharType="begin"/>
          </w:r>
          <w:r>
            <w:instrText xml:space="preserve"> PAGEREF _Toc1362 \h </w:instrText>
          </w:r>
          <w:r>
            <w:fldChar w:fldCharType="separate"/>
          </w:r>
          <w:r>
            <w:t>19</w:t>
          </w:r>
          <w:r>
            <w:fldChar w:fldCharType="end"/>
          </w:r>
          <w:r>
            <w:rPr>
              <w:rFonts w:ascii="微软雅黑" w:hAnsi="微软雅黑" w:eastAsia="微软雅黑"/>
              <w:color w:val="000000"/>
            </w:rPr>
            <w:fldChar w:fldCharType="end"/>
          </w:r>
        </w:p>
        <w:p w14:paraId="58D735DA">
          <w:pPr>
            <w:pStyle w:val="26"/>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_Toc15354 </w:instrText>
          </w:r>
          <w:r>
            <w:rPr>
              <w:rFonts w:ascii="微软雅黑" w:hAnsi="微软雅黑" w:eastAsia="微软雅黑"/>
            </w:rPr>
            <w:fldChar w:fldCharType="separate"/>
          </w:r>
          <w:r>
            <w:rPr>
              <w:rFonts w:ascii="微软雅黑" w:hAnsi="微软雅黑" w:eastAsia="微软雅黑"/>
            </w:rPr>
            <w:t>十一、团队建设、社会价值与风险管理</w:t>
          </w:r>
          <w:r>
            <w:tab/>
          </w:r>
          <w:r>
            <w:fldChar w:fldCharType="begin"/>
          </w:r>
          <w:r>
            <w:instrText xml:space="preserve"> PAGEREF _Toc15354 \h </w:instrText>
          </w:r>
          <w:r>
            <w:fldChar w:fldCharType="separate"/>
          </w:r>
          <w:r>
            <w:t>19</w:t>
          </w:r>
          <w:r>
            <w:fldChar w:fldCharType="end"/>
          </w:r>
          <w:r>
            <w:rPr>
              <w:rFonts w:ascii="微软雅黑" w:hAnsi="微软雅黑" w:eastAsia="微软雅黑"/>
              <w:color w:val="000000"/>
            </w:rPr>
            <w:fldChar w:fldCharType="end"/>
          </w:r>
        </w:p>
        <w:p w14:paraId="4258404E">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_Toc29515 </w:instrText>
          </w:r>
          <w:r>
            <w:rPr>
              <w:rFonts w:ascii="微软雅黑" w:hAnsi="微软雅黑" w:eastAsia="微软雅黑"/>
            </w:rPr>
            <w:fldChar w:fldCharType="separate"/>
          </w:r>
          <w:r>
            <w:rPr>
              <w:rFonts w:ascii="微软雅黑" w:hAnsi="微软雅黑" w:eastAsia="微软雅黑"/>
            </w:rPr>
            <w:t>11.1 团队建设</w:t>
          </w:r>
          <w:r>
            <w:tab/>
          </w:r>
          <w:r>
            <w:fldChar w:fldCharType="begin"/>
          </w:r>
          <w:r>
            <w:instrText xml:space="preserve"> PAGEREF _Toc29515 \h </w:instrText>
          </w:r>
          <w:r>
            <w:fldChar w:fldCharType="separate"/>
          </w:r>
          <w:r>
            <w:t>19</w:t>
          </w:r>
          <w:r>
            <w:fldChar w:fldCharType="end"/>
          </w:r>
          <w:r>
            <w:rPr>
              <w:rFonts w:ascii="微软雅黑" w:hAnsi="微软雅黑" w:eastAsia="微软雅黑"/>
              <w:color w:val="000000"/>
            </w:rPr>
            <w:fldChar w:fldCharType="end"/>
          </w:r>
        </w:p>
        <w:p w14:paraId="4931FDC2">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_Toc30124 </w:instrText>
          </w:r>
          <w:r>
            <w:rPr>
              <w:rFonts w:ascii="微软雅黑" w:hAnsi="微软雅黑" w:eastAsia="微软雅黑"/>
            </w:rPr>
            <w:fldChar w:fldCharType="separate"/>
          </w:r>
          <w:r>
            <w:rPr>
              <w:rFonts w:ascii="微软雅黑" w:hAnsi="微软雅黑" w:eastAsia="微软雅黑"/>
            </w:rPr>
            <w:t>11.2 社会价值</w:t>
          </w:r>
          <w:r>
            <w:tab/>
          </w:r>
          <w:r>
            <w:fldChar w:fldCharType="begin"/>
          </w:r>
          <w:r>
            <w:instrText xml:space="preserve"> PAGEREF _Toc30124 \h </w:instrText>
          </w:r>
          <w:r>
            <w:fldChar w:fldCharType="separate"/>
          </w:r>
          <w:r>
            <w:t>20</w:t>
          </w:r>
          <w:r>
            <w:fldChar w:fldCharType="end"/>
          </w:r>
          <w:r>
            <w:rPr>
              <w:rFonts w:ascii="微软雅黑" w:hAnsi="微软雅黑" w:eastAsia="微软雅黑"/>
              <w:color w:val="000000"/>
            </w:rPr>
            <w:fldChar w:fldCharType="end"/>
          </w:r>
        </w:p>
        <w:p w14:paraId="009F7537">
          <w:pPr>
            <w:pStyle w:val="29"/>
            <w:tabs>
              <w:tab w:val="right" w:leader="dot" w:pos="10080"/>
            </w:tabs>
          </w:pPr>
          <w:r>
            <w:rPr>
              <w:rFonts w:ascii="微软雅黑" w:hAnsi="微软雅黑" w:eastAsia="微软雅黑"/>
              <w:color w:val="000000"/>
            </w:rPr>
            <w:fldChar w:fldCharType="begin"/>
          </w:r>
          <w:r>
            <w:rPr>
              <w:rFonts w:ascii="微软雅黑" w:hAnsi="微软雅黑" w:eastAsia="微软雅黑"/>
            </w:rPr>
            <w:instrText xml:space="preserve"> HYPERLINK \l _Toc1784 </w:instrText>
          </w:r>
          <w:r>
            <w:rPr>
              <w:rFonts w:ascii="微软雅黑" w:hAnsi="微软雅黑" w:eastAsia="微软雅黑"/>
            </w:rPr>
            <w:fldChar w:fldCharType="separate"/>
          </w:r>
          <w:r>
            <w:rPr>
              <w:rFonts w:ascii="微软雅黑" w:hAnsi="微软雅黑" w:eastAsia="微软雅黑"/>
            </w:rPr>
            <w:t>11.3 风险与应对</w:t>
          </w:r>
          <w:r>
            <w:tab/>
          </w:r>
          <w:r>
            <w:fldChar w:fldCharType="begin"/>
          </w:r>
          <w:r>
            <w:instrText xml:space="preserve"> PAGEREF _Toc1784 \h </w:instrText>
          </w:r>
          <w:r>
            <w:fldChar w:fldCharType="separate"/>
          </w:r>
          <w:r>
            <w:t>20</w:t>
          </w:r>
          <w:r>
            <w:fldChar w:fldCharType="end"/>
          </w:r>
          <w:r>
            <w:rPr>
              <w:rFonts w:ascii="微软雅黑" w:hAnsi="微软雅黑" w:eastAsia="微软雅黑"/>
              <w:color w:val="000000"/>
            </w:rPr>
            <w:fldChar w:fldCharType="end"/>
          </w:r>
        </w:p>
        <w:p w14:paraId="1967D6F5">
          <w:pPr>
            <w:pStyle w:val="29"/>
            <w:tabs>
              <w:tab w:val="right" w:leader="dot" w:pos="10080"/>
            </w:tabs>
            <w:ind w:left="0" w:leftChars="0" w:firstLine="0" w:firstLineChars="0"/>
          </w:pPr>
          <w:r>
            <w:rPr>
              <w:rFonts w:hint="eastAsia"/>
              <w:color w:val="000000"/>
              <w:lang w:val="en-US" w:eastAsia="zh-CN"/>
            </w:rPr>
            <w:t>十二、</w:t>
          </w:r>
          <w:r>
            <w:rPr>
              <w:rFonts w:ascii="微软雅黑" w:hAnsi="微软雅黑" w:eastAsia="微软雅黑"/>
              <w:color w:val="000000"/>
            </w:rPr>
            <w:fldChar w:fldCharType="begin"/>
          </w:r>
          <w:r>
            <w:rPr>
              <w:rFonts w:ascii="微软雅黑" w:hAnsi="微软雅黑" w:eastAsia="微软雅黑"/>
            </w:rPr>
            <w:instrText xml:space="preserve"> HYPERLINK \l _Toc5495 </w:instrText>
          </w:r>
          <w:r>
            <w:rPr>
              <w:rFonts w:ascii="微软雅黑" w:hAnsi="微软雅黑" w:eastAsia="微软雅黑"/>
            </w:rPr>
            <w:fldChar w:fldCharType="separate"/>
          </w:r>
          <w:r>
            <w:rPr>
              <w:rFonts w:ascii="微软雅黑" w:hAnsi="微软雅黑" w:eastAsia="微软雅黑"/>
            </w:rPr>
            <w:t>参考资料说明</w:t>
          </w:r>
          <w:r>
            <w:tab/>
          </w:r>
          <w:r>
            <w:fldChar w:fldCharType="begin"/>
          </w:r>
          <w:r>
            <w:instrText xml:space="preserve"> PAGEREF _Toc5495 \h </w:instrText>
          </w:r>
          <w:r>
            <w:fldChar w:fldCharType="separate"/>
          </w:r>
          <w:r>
            <w:t>20</w:t>
          </w:r>
          <w:r>
            <w:fldChar w:fldCharType="end"/>
          </w:r>
          <w:r>
            <w:rPr>
              <w:rFonts w:ascii="微软雅黑" w:hAnsi="微软雅黑" w:eastAsia="微软雅黑"/>
              <w:color w:val="000000"/>
            </w:rPr>
            <w:fldChar w:fldCharType="end"/>
          </w:r>
        </w:p>
        <w:p w14:paraId="076D17E3">
          <w:pPr>
            <w:spacing w:after="100"/>
            <w:rPr>
              <w:rFonts w:ascii="微软雅黑" w:hAnsi="微软雅黑" w:eastAsia="微软雅黑" w:cstheme="minorBidi"/>
              <w:color w:val="000000"/>
              <w:sz w:val="21"/>
              <w:szCs w:val="22"/>
              <w:lang w:val="en-US" w:eastAsia="en-US" w:bidi="ar-SA"/>
            </w:rPr>
          </w:pPr>
          <w:r>
            <w:rPr>
              <w:rFonts w:ascii="微软雅黑" w:hAnsi="微软雅黑" w:eastAsia="微软雅黑"/>
              <w:color w:val="000000"/>
            </w:rPr>
            <w:fldChar w:fldCharType="end"/>
          </w:r>
        </w:p>
      </w:sdtContent>
    </w:sdt>
    <w:p w14:paraId="328FC51A">
      <w:pPr>
        <w:spacing w:after="100"/>
        <w:rPr>
          <w:rFonts w:ascii="微软雅黑" w:hAnsi="微软雅黑" w:eastAsia="微软雅黑" w:cstheme="minorBidi"/>
          <w:color w:val="000000"/>
          <w:sz w:val="21"/>
          <w:szCs w:val="22"/>
          <w:lang w:val="en-US" w:eastAsia="en-US" w:bidi="ar-SA"/>
        </w:rPr>
      </w:pPr>
    </w:p>
    <w:p w14:paraId="3F6F58A5">
      <w:pPr>
        <w:spacing w:after="100"/>
      </w:pPr>
      <w:r>
        <w:br w:type="page"/>
      </w:r>
    </w:p>
    <w:p w14:paraId="77D8F3A8">
      <w:pPr>
        <w:pStyle w:val="3"/>
        <w:spacing w:before="300" w:after="140"/>
      </w:pPr>
      <w:bookmarkStart w:id="0" w:name="_Toc14313"/>
      <w:r>
        <w:rPr>
          <w:rFonts w:ascii="微软雅黑" w:hAnsi="微软雅黑" w:eastAsia="微软雅黑"/>
          <w:b/>
          <w:color w:val="000000"/>
          <w:sz w:val="30"/>
        </w:rPr>
        <w:t>一、执行摘要</w:t>
      </w:r>
      <w:bookmarkEnd w:id="0"/>
    </w:p>
    <w:p w14:paraId="229EF20E">
      <w:pPr>
        <w:spacing w:after="140" w:line="348" w:lineRule="auto"/>
        <w:ind w:firstLine="403"/>
      </w:pPr>
      <w:r>
        <w:t>织枢（ZISU）是一套面向多 Agent 协作场景的任务记忆体与动态编排系统。系统以规划 Agent、执行 Agent、检索 Agent 和评估 Agent 等角色协同为基本组织方式，将任务目标、过程状态、角色经验、共享知识和用户偏好沉淀为可管理的记忆资产。面对复杂任务中的上下文割裂、状态丢失、经验难复用、记忆冲突和信息冗余等问题，织枢提供记忆写入、检索、共享、更新、压缩、遗忘、权限隔离与调用留痕能力，使协作过程从依赖临时对话上下文转向可追溯、可复用、可解释的状态管理。</w:t>
      </w:r>
    </w:p>
    <w:p w14:paraId="0232DD59">
      <w:pPr>
        <w:spacing w:after="140" w:line="348" w:lineRule="auto"/>
        <w:ind w:firstLine="403"/>
      </w:pPr>
      <w:r>
        <w:rPr>
          <w:rFonts w:ascii="微软雅黑" w:hAnsi="微软雅黑" w:eastAsia="微软雅黑"/>
          <w:b w:val="0"/>
          <w:color w:val="000000"/>
          <w:sz w:val="21"/>
        </w:rPr>
        <w:t>平台面向的不是“问一个问题、返回一段答案”的单点助手，而是需要持续数十步推进的任务执行过程。例如，一项项目材料交付任务需要先读取多个文件、抽取要求、规划章节、分配撰写与核验工作、处理资料冲突、检查篇幅与格式，最后形成可提交成果。织枢让这一过程在统一画布中可配置、在运行中心可观察、在出现工具失败或资源异常时可恢复，而不是依赖模型临时记忆。</w:t>
      </w:r>
    </w:p>
    <w:p w14:paraId="0C4C2E39">
      <w:pPr>
        <w:spacing w:after="140" w:line="348" w:lineRule="auto"/>
        <w:ind w:firstLine="403"/>
      </w:pPr>
      <w:r>
        <w:rPr>
          <w:rFonts w:ascii="微软雅黑" w:hAnsi="微软雅黑" w:eastAsia="微软雅黑"/>
          <w:b w:val="0"/>
          <w:color w:val="000000"/>
          <w:sz w:val="21"/>
        </w:rPr>
        <w:t>技术验证方面，项目在基于 LoCoMo 构建的 100 条多轮任务评测中取得 90% 的目标保持率、85% 的约束保持指标和 91% 的中断恢复率；平均上下文为 954 tokens，较全上下文基线降低约 92.9%。这些结果证明了在给定数据、模型配置和扰动条件下，状态账本、检索唤醒、预算控制和检查点恢复能够协同维持任务连续性；它们不被表述为所有真实业务场景的直接收益承诺。</w:t>
      </w:r>
    </w:p>
    <w:p w14:paraId="40FE56EA">
      <w:pPr>
        <w:spacing w:after="140" w:line="348" w:lineRule="auto"/>
        <w:ind w:firstLine="403"/>
        <w:rPr>
          <w:rFonts w:hint="eastAsia"/>
          <w:b w:val="0"/>
          <w:color w:val="000000"/>
          <w:sz w:val="21"/>
          <w:lang w:val="en-US" w:eastAsia="zh-CN"/>
        </w:rPr>
      </w:pPr>
      <w:r>
        <w:rPr>
          <w:rFonts w:ascii="微软雅黑" w:hAnsi="微软雅黑" w:eastAsia="微软雅黑"/>
          <w:b w:val="0"/>
          <w:color w:val="000000"/>
          <w:sz w:val="21"/>
        </w:rPr>
        <w:t>织枢的商业价值由三件事构成：第一，将原本依赖个人经验的复杂流程沉淀为可复用的工作流、技能和知识资产；第二，将“谁做、依据什么做、为何返工或切换资源”变成可审计的过程记录；第三，在不确定的模型、工具和资源环境中，通过质量门、审批和恢复机制降低任务失控风险</w:t>
      </w:r>
      <w:r>
        <w:rPr>
          <w:rFonts w:hint="eastAsia"/>
          <w:b w:val="0"/>
          <w:color w:val="000000"/>
          <w:sz w:val="21"/>
          <w:lang w:eastAsia="zh-CN"/>
        </w:rPr>
        <w:t>，</w:t>
      </w:r>
      <w:r>
        <w:rPr>
          <w:rFonts w:hint="eastAsia"/>
          <w:b w:val="0"/>
          <w:color w:val="000000"/>
          <w:sz w:val="21"/>
          <w:lang w:val="en-US" w:eastAsia="zh-CN"/>
        </w:rPr>
        <w:t>保证任务完成且有效；第四，用户自定义配置智能体，并可实现静态编排与动态编排，方便应用于各种使用场景。</w:t>
      </w:r>
    </w:p>
    <w:p w14:paraId="272D9755">
      <w:pPr>
        <w:spacing w:after="140" w:line="348" w:lineRule="auto"/>
        <w:ind w:firstLine="403"/>
        <w:rPr>
          <w:rFonts w:hint="default"/>
          <w:b w:val="0"/>
          <w:color w:val="000000"/>
          <w:sz w:val="21"/>
          <w:lang w:val="en-US" w:eastAsia="zh-CN"/>
        </w:rPr>
      </w:pPr>
      <w:r>
        <w:t>目前，织枢已形成面向赛题要求的系统原型：支持不少于三类 Agent 角色协作，支持任务记忆、角色记忆、共享知识记忆和用户偏好记忆等类型，并提供新增、检索、更新、删除、冲突检测、权限隔离及调用记录展示。验证将覆盖至少两类示例任务，包括联合报告生成与企业知识问答；在相同任务条件下，以未启用结构化记忆体的基线模式对照启用记忆体的协作模式，观察关键历史信息召回、重复沟通、协作一致性与任务完成质量等指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671"/>
        <w:gridCol w:w="3816"/>
      </w:tblGrid>
      <w:tr w14:paraId="0EF7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7D4C739">
            <w:pPr>
              <w:spacing w:before="40" w:after="40" w:line="240" w:lineRule="auto"/>
              <w:jc w:val="center"/>
            </w:pPr>
            <w:r>
              <w:rPr>
                <w:rFonts w:ascii="微软雅黑" w:hAnsi="微软雅黑" w:eastAsia="微软雅黑"/>
                <w:b/>
                <w:color w:val="FFFFFF"/>
                <w:sz w:val="19"/>
              </w:rPr>
              <w:t>问题</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293AD9E">
            <w:pPr>
              <w:spacing w:before="40" w:after="40" w:line="240" w:lineRule="auto"/>
              <w:jc w:val="center"/>
            </w:pPr>
            <w:r>
              <w:rPr>
                <w:rFonts w:ascii="微软雅黑" w:hAnsi="微软雅黑" w:eastAsia="微软雅黑"/>
                <w:b/>
                <w:color w:val="FFFFFF"/>
                <w:sz w:val="19"/>
              </w:rPr>
              <w:t>织枢的产品回答</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8372440">
            <w:pPr>
              <w:spacing w:before="40" w:after="40" w:line="240" w:lineRule="auto"/>
              <w:jc w:val="center"/>
            </w:pPr>
            <w:r>
              <w:rPr>
                <w:rFonts w:ascii="微软雅黑" w:hAnsi="微软雅黑" w:eastAsia="微软雅黑"/>
                <w:b/>
                <w:color w:val="FFFFFF"/>
                <w:sz w:val="19"/>
              </w:rPr>
              <w:t>用户价值</w:t>
            </w:r>
          </w:p>
        </w:tc>
      </w:tr>
      <w:tr w14:paraId="3113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9C70259">
            <w:pPr>
              <w:spacing w:before="40" w:after="40"/>
            </w:pPr>
            <w:r>
              <w:rPr>
                <w:rFonts w:ascii="微软雅黑" w:hAnsi="微软雅黑" w:eastAsia="微软雅黑"/>
                <w:b w:val="0"/>
                <w:color w:val="000000"/>
                <w:sz w:val="18"/>
              </w:rPr>
              <w:t>目标与约束被后续对话稀释</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41078EA">
            <w:pPr>
              <w:spacing w:before="40" w:after="40"/>
            </w:pPr>
            <w:r>
              <w:rPr>
                <w:rFonts w:ascii="微软雅黑" w:hAnsi="微软雅黑" w:eastAsia="微软雅黑"/>
                <w:b w:val="0"/>
                <w:color w:val="000000"/>
                <w:sz w:val="18"/>
              </w:rPr>
              <w:t>Ledger 固定注入 + 四级记忆检索 + 原文归档 + Checkpoint</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61D4813">
            <w:pPr>
              <w:spacing w:before="40" w:after="40"/>
            </w:pPr>
            <w:r>
              <w:rPr>
                <w:rFonts w:ascii="微软雅黑" w:hAnsi="微软雅黑" w:eastAsia="微软雅黑"/>
                <w:b w:val="0"/>
                <w:color w:val="000000"/>
                <w:sz w:val="18"/>
              </w:rPr>
              <w:t>每步都能重建任务锚点；中断后可从状态和证据继续</w:t>
            </w:r>
          </w:p>
        </w:tc>
      </w:tr>
      <w:tr w14:paraId="3873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D76AFD1">
            <w:pPr>
              <w:spacing w:before="40" w:after="40"/>
            </w:pPr>
            <w:r>
              <w:rPr>
                <w:rFonts w:ascii="微软雅黑" w:hAnsi="微软雅黑" w:eastAsia="微软雅黑"/>
                <w:b w:val="0"/>
                <w:color w:val="000000"/>
                <w:sz w:val="18"/>
              </w:rPr>
              <w:t>固定角色协作与广播导致冗余、误传和失配</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81EBE85">
            <w:pPr>
              <w:spacing w:before="40" w:after="40"/>
            </w:pPr>
            <w:r>
              <w:rPr>
                <w:rFonts w:ascii="微软雅黑" w:hAnsi="微软雅黑" w:eastAsia="微软雅黑"/>
                <w:b w:val="0"/>
                <w:color w:val="000000"/>
                <w:sz w:val="18"/>
              </w:rPr>
              <w:t>TODO 驱动的硬过滤、评分、Top K、Handoff、Fallback 与 Capsule</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436FC7F">
            <w:pPr>
              <w:spacing w:before="40" w:after="40"/>
            </w:pPr>
            <w:r>
              <w:rPr>
                <w:rFonts w:ascii="微软雅黑" w:hAnsi="微软雅黑" w:eastAsia="微软雅黑"/>
                <w:b w:val="0"/>
                <w:color w:val="000000"/>
                <w:sz w:val="18"/>
              </w:rPr>
              <w:t>只激活匹配成员；让消息按接收者职责定向投递</w:t>
            </w:r>
          </w:p>
        </w:tc>
      </w:tr>
      <w:tr w14:paraId="78A1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384300C">
            <w:pPr>
              <w:spacing w:before="40" w:after="40"/>
            </w:pPr>
            <w:r>
              <w:rPr>
                <w:rFonts w:ascii="微软雅黑" w:hAnsi="微软雅黑" w:eastAsia="微软雅黑"/>
                <w:b w:val="0"/>
                <w:color w:val="000000"/>
                <w:sz w:val="18"/>
              </w:rPr>
              <w:t>工具、模型和外部操作缺少边界</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0837EF9">
            <w:pPr>
              <w:spacing w:before="40" w:after="40"/>
            </w:pPr>
            <w:r>
              <w:rPr>
                <w:rFonts w:ascii="微软雅黑" w:hAnsi="微软雅黑" w:eastAsia="微软雅黑"/>
                <w:b w:val="0"/>
                <w:color w:val="000000"/>
                <w:sz w:val="18"/>
              </w:rPr>
              <w:t>资源目录、风险审批、版本快照、审计事件和受控执行器</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1A635B6">
            <w:pPr>
              <w:spacing w:before="40" w:after="40"/>
            </w:pPr>
            <w:r>
              <w:rPr>
                <w:rFonts w:ascii="微软雅黑" w:hAnsi="微软雅黑" w:eastAsia="微软雅黑"/>
                <w:b w:val="0"/>
                <w:color w:val="000000"/>
                <w:sz w:val="18"/>
              </w:rPr>
              <w:t>可核查调用依据、影响范围和操作结果</w:t>
            </w:r>
          </w:p>
        </w:tc>
      </w:tr>
      <w:tr w14:paraId="0D19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87F9557">
            <w:pPr>
              <w:spacing w:before="40" w:after="40"/>
            </w:pPr>
            <w:r>
              <w:rPr>
                <w:rFonts w:ascii="微软雅黑" w:hAnsi="微软雅黑" w:eastAsia="微软雅黑"/>
                <w:b w:val="0"/>
                <w:color w:val="000000"/>
                <w:sz w:val="18"/>
              </w:rPr>
              <w:t>敏感数据、时延和强推理需求相互冲突</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C11AF73">
            <w:pPr>
              <w:spacing w:before="40" w:after="40"/>
            </w:pPr>
            <w:r>
              <w:rPr>
                <w:rFonts w:ascii="微软雅黑" w:hAnsi="微软雅黑" w:eastAsia="微软雅黑"/>
                <w:b w:val="0"/>
                <w:color w:val="000000"/>
                <w:sz w:val="18"/>
              </w:rPr>
              <w:t>任务画像 + Trusted Workspace Policy + DEVICE EDGE CLOUD 调度</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D2B40F9">
            <w:pPr>
              <w:spacing w:before="40" w:after="40"/>
            </w:pPr>
            <w:r>
              <w:rPr>
                <w:rFonts w:ascii="微软雅黑" w:hAnsi="微软雅黑" w:eastAsia="微软雅黑"/>
                <w:b w:val="0"/>
                <w:color w:val="000000"/>
                <w:sz w:val="18"/>
              </w:rPr>
              <w:t>将安全、时延、成本和能力纳入一次可回放的选择</w:t>
            </w:r>
          </w:p>
        </w:tc>
      </w:tr>
    </w:tbl>
    <w:p w14:paraId="57A69BE0">
      <w:pPr>
        <w:spacing w:after="40"/>
      </w:pPr>
    </w:p>
    <w:p w14:paraId="1C02DAD1">
      <w:pPr>
        <w:pStyle w:val="3"/>
        <w:spacing w:before="300" w:after="140"/>
      </w:pPr>
      <w:bookmarkStart w:id="1" w:name="_Toc7786"/>
      <w:r>
        <w:rPr>
          <w:rFonts w:ascii="微软雅黑" w:hAnsi="微软雅黑" w:eastAsia="微软雅黑"/>
          <w:b/>
          <w:color w:val="000000"/>
          <w:sz w:val="30"/>
        </w:rPr>
        <w:t>二、项目背景与市场机会</w:t>
      </w:r>
      <w:bookmarkEnd w:id="1"/>
    </w:p>
    <w:p w14:paraId="1259E73E">
      <w:pPr>
        <w:pStyle w:val="4"/>
        <w:spacing w:before="200" w:after="140"/>
      </w:pPr>
      <w:bookmarkStart w:id="2" w:name="_Toc15671"/>
      <w:r>
        <w:rPr>
          <w:rFonts w:ascii="微软雅黑" w:hAnsi="微软雅黑" w:eastAsia="微软雅黑"/>
          <w:b/>
          <w:color w:val="000000"/>
          <w:sz w:val="24"/>
        </w:rPr>
        <w:t>2.1 行业痛点</w:t>
      </w:r>
      <w:bookmarkEnd w:id="2"/>
    </w:p>
    <w:p w14:paraId="04A9CACB">
      <w:pPr>
        <w:spacing w:after="140" w:line="348" w:lineRule="auto"/>
        <w:ind w:firstLine="403"/>
      </w:pPr>
      <w:r>
        <w:rPr>
          <w:rFonts w:ascii="微软雅黑" w:hAnsi="微软雅黑" w:eastAsia="微软雅黑"/>
          <w:b w:val="0"/>
          <w:color w:val="000000"/>
          <w:sz w:val="21"/>
        </w:rPr>
        <w:t>企业使用智能体时，最先遇到的往往不是模型“不会回答”，而是任务一旦变长就难以管理：早期目标被后续对话淹没，新增约束没有同步给每个参与者，多个智能体反复传递同一段历史，工具调用失败后没有可验证的恢复位置，敏感数据又不能无差别外送。传统工作流能够保证固定步骤，却缺乏对开放式任务的自适应判断；通用聊天助手能够生成内容，却难以对复杂过程负责。</w:t>
      </w:r>
    </w:p>
    <w:p w14:paraId="069CE50F">
      <w:pPr>
        <w:spacing w:after="140" w:line="348" w:lineRule="auto"/>
        <w:ind w:firstLine="403"/>
      </w:pPr>
      <w:r>
        <w:rPr>
          <w:rFonts w:ascii="微软雅黑" w:hAnsi="微软雅黑" w:eastAsia="微软雅黑"/>
          <w:b w:val="0"/>
          <w:color w:val="000000"/>
          <w:sz w:val="21"/>
        </w:rPr>
        <w:t>织枢将上述问题转化为四类可工程化处理的对象：以 Context Ledger 保存不可丢失的目标、硬约束、计划与关键事实；以分层记忆和原文归档按需提供证据；以任务画像和能力目录选择真正需要参与的智能体、工具和知识；以检查点、质量门、审批与调度记录处理异常。这样，复杂任务不再依赖一段不断变长的 Prompt，而成为可观察、可控制、可恢复的运行过程。</w:t>
      </w:r>
    </w:p>
    <w:p w14:paraId="56A06D4B">
      <w:pPr>
        <w:pStyle w:val="4"/>
        <w:spacing w:before="200" w:after="140"/>
      </w:pPr>
      <w:bookmarkStart w:id="3" w:name="_Toc9363"/>
      <w:r>
        <w:rPr>
          <w:rFonts w:ascii="微软雅黑" w:hAnsi="微软雅黑" w:eastAsia="微软雅黑"/>
          <w:b/>
          <w:color w:val="000000"/>
          <w:sz w:val="24"/>
        </w:rPr>
        <w:t>2.2 市场机会</w:t>
      </w:r>
      <w:bookmarkEnd w:id="3"/>
    </w:p>
    <w:p w14:paraId="6ED41581">
      <w:pPr>
        <w:spacing w:after="140" w:line="348" w:lineRule="auto"/>
        <w:ind w:firstLine="403"/>
      </w:pPr>
      <w:r>
        <w:rPr>
          <w:rFonts w:ascii="微软雅黑" w:hAnsi="微软雅黑" w:eastAsia="微软雅黑"/>
          <w:b w:val="0"/>
          <w:color w:val="000000"/>
          <w:sz w:val="21"/>
        </w:rPr>
        <w:t>织枢聚焦企业级“复杂任务执行层”机会：它位于基础模型、企业数据和业务系统之上，向上交付可用的智能体应用，向下统一管理模型、工具、知识和运行资源。首期不与通用办公聊天工具争夺简单问答入口，而是聚焦高价值、强流程、强合规且需要过程留痕的任务，例如研发知识协同、项目文档交付、专业报告生产和跨系统流程自动化。</w:t>
      </w:r>
    </w:p>
    <w:p w14:paraId="0F31E9B4">
      <w:pPr>
        <w:spacing w:after="140" w:line="348" w:lineRule="auto"/>
        <w:ind w:firstLine="403"/>
      </w:pPr>
      <w:r>
        <w:rPr>
          <w:rFonts w:ascii="微软雅黑" w:hAnsi="微软雅黑" w:eastAsia="微软雅黑"/>
          <w:b w:val="0"/>
          <w:color w:val="000000"/>
          <w:sz w:val="21"/>
        </w:rPr>
        <w:t>从采购视角看，客户愿意为三类结果付费：任务完成质量可验收、过程风险可审计、交付资产可复用。因此，织枢的市场进入策略将以可量化的试点任务为单位，而不是以泛化的“AI 平台能力”销售。每个试点都应同时验证效率、质量、合规和复用四项指标。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664"/>
        <w:gridCol w:w="3240"/>
      </w:tblGrid>
      <w:tr w14:paraId="602F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D52AE54">
            <w:pPr>
              <w:spacing w:before="40" w:after="40" w:line="240" w:lineRule="auto"/>
              <w:jc w:val="center"/>
            </w:pPr>
            <w:r>
              <w:rPr>
                <w:rFonts w:ascii="微软雅黑" w:hAnsi="微软雅黑" w:eastAsia="微软雅黑"/>
                <w:b/>
                <w:color w:val="FFFFFF"/>
                <w:sz w:val="19"/>
              </w:rPr>
              <w:t>市场层次</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FB79FC6">
            <w:pPr>
              <w:spacing w:before="40" w:after="40" w:line="240" w:lineRule="auto"/>
              <w:jc w:val="center"/>
            </w:pPr>
            <w:r>
              <w:rPr>
                <w:rFonts w:ascii="微软雅黑" w:hAnsi="微软雅黑" w:eastAsia="微软雅黑"/>
                <w:b/>
                <w:color w:val="FFFFFF"/>
                <w:sz w:val="19"/>
              </w:rPr>
              <w:t>服务对象</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127A842">
            <w:pPr>
              <w:spacing w:before="40" w:after="40" w:line="240" w:lineRule="auto"/>
              <w:jc w:val="center"/>
            </w:pPr>
            <w:r>
              <w:rPr>
                <w:rFonts w:ascii="微软雅黑" w:hAnsi="微软雅黑" w:eastAsia="微软雅黑"/>
                <w:b/>
                <w:color w:val="FFFFFF"/>
                <w:sz w:val="19"/>
              </w:rPr>
              <w:t>织枢切入点</w:t>
            </w:r>
          </w:p>
        </w:tc>
      </w:tr>
      <w:tr w14:paraId="7D10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9DEDB88">
            <w:pPr>
              <w:spacing w:before="40" w:after="40" w:line="240" w:lineRule="auto"/>
              <w:jc w:val="center"/>
            </w:pPr>
            <w:r>
              <w:rPr>
                <w:rFonts w:ascii="微软雅黑" w:hAnsi="微软雅黑" w:eastAsia="微软雅黑"/>
                <w:b w:val="0"/>
                <w:color w:val="000000"/>
                <w:sz w:val="18"/>
              </w:rPr>
              <w:t>TAM 总可服务市场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4C1D32E">
            <w:pPr>
              <w:spacing w:before="40" w:after="40" w:line="240" w:lineRule="auto"/>
              <w:jc w:val="left"/>
            </w:pPr>
            <w:r>
              <w:rPr>
                <w:rFonts w:ascii="微软雅黑" w:hAnsi="微软雅黑" w:eastAsia="微软雅黑"/>
                <w:b w:val="0"/>
                <w:color w:val="000000"/>
                <w:sz w:val="18"/>
              </w:rPr>
              <w:t>采用 AI 应用、自动化或知识管理的组织</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43689B">
            <w:pPr>
              <w:spacing w:before="40" w:after="40" w:line="240" w:lineRule="auto"/>
              <w:jc w:val="center"/>
            </w:pPr>
            <w:r>
              <w:rPr>
                <w:rFonts w:ascii="微软雅黑" w:hAnsi="微软雅黑" w:eastAsia="微软雅黑"/>
                <w:b w:val="0"/>
                <w:color w:val="000000"/>
                <w:sz w:val="18"/>
              </w:rPr>
              <w:t>企业级智能体运行与治理需求</w:t>
            </w:r>
          </w:p>
        </w:tc>
      </w:tr>
      <w:tr w14:paraId="6E01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75ECDEF">
            <w:pPr>
              <w:spacing w:before="40" w:after="40" w:line="240" w:lineRule="auto"/>
              <w:jc w:val="center"/>
            </w:pPr>
            <w:r>
              <w:rPr>
                <w:rFonts w:ascii="微软雅黑" w:hAnsi="微软雅黑" w:eastAsia="微软雅黑"/>
                <w:b w:val="0"/>
                <w:color w:val="000000"/>
                <w:sz w:val="18"/>
              </w:rPr>
              <w:t>SAM 可服务市场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76D8CE1">
            <w:pPr>
              <w:spacing w:before="40" w:after="40" w:line="240" w:lineRule="auto"/>
              <w:jc w:val="left"/>
            </w:pPr>
            <w:r>
              <w:rPr>
                <w:rFonts w:ascii="微软雅黑" w:hAnsi="微软雅黑" w:eastAsia="微软雅黑"/>
                <w:b w:val="0"/>
                <w:color w:val="000000"/>
                <w:sz w:val="18"/>
              </w:rPr>
              <w:t>有私有部署、任务审计或复杂流程要求的政企及中大型团队</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A979380">
            <w:pPr>
              <w:spacing w:before="40" w:after="40" w:line="240" w:lineRule="auto"/>
              <w:jc w:val="center"/>
            </w:pPr>
            <w:r>
              <w:rPr>
                <w:rFonts w:ascii="微软雅黑" w:hAnsi="微软雅黑" w:eastAsia="微软雅黑"/>
                <w:b w:val="0"/>
                <w:color w:val="000000"/>
                <w:sz w:val="18"/>
              </w:rPr>
              <w:t>长程任务协同平台与定制实施</w:t>
            </w:r>
          </w:p>
        </w:tc>
      </w:tr>
      <w:tr w14:paraId="28DD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0E2E917">
            <w:pPr>
              <w:spacing w:before="40" w:after="40" w:line="240" w:lineRule="auto"/>
              <w:jc w:val="center"/>
            </w:pPr>
            <w:r>
              <w:rPr>
                <w:rFonts w:ascii="微软雅黑" w:hAnsi="微软雅黑" w:eastAsia="微软雅黑"/>
                <w:b w:val="0"/>
                <w:color w:val="000000"/>
                <w:sz w:val="18"/>
              </w:rPr>
              <w:t>SOM 初期可获得市场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90D770F">
            <w:pPr>
              <w:spacing w:before="40" w:after="40" w:line="240" w:lineRule="auto"/>
              <w:jc w:val="left"/>
            </w:pPr>
            <w:r>
              <w:rPr>
                <w:rFonts w:ascii="微软雅黑" w:hAnsi="微软雅黑" w:eastAsia="微软雅黑"/>
                <w:b w:val="0"/>
                <w:color w:val="000000"/>
                <w:sz w:val="18"/>
              </w:rPr>
              <w:t>高校科研、软件研发、专业服务与区域创新企业</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AA3DD7">
            <w:pPr>
              <w:spacing w:before="40" w:after="40" w:line="240" w:lineRule="auto"/>
              <w:jc w:val="left"/>
            </w:pPr>
            <w:r>
              <w:rPr>
                <w:rFonts w:ascii="微软雅黑" w:hAnsi="微软雅黑" w:eastAsia="微软雅黑"/>
                <w:b w:val="0"/>
                <w:color w:val="000000"/>
                <w:sz w:val="18"/>
              </w:rPr>
              <w:t>试点项目、私有化部署、行业工作流模板</w:t>
            </w:r>
          </w:p>
        </w:tc>
      </w:tr>
    </w:tbl>
    <w:p w14:paraId="0A82C706">
      <w:pPr>
        <w:spacing w:before="300" w:after="140"/>
        <w:rPr>
          <w:rFonts w:ascii="微软雅黑" w:hAnsi="微软雅黑" w:eastAsia="微软雅黑"/>
          <w:b/>
          <w:color w:val="000000"/>
          <w:sz w:val="30"/>
        </w:rPr>
      </w:pPr>
    </w:p>
    <w:p w14:paraId="7B47DA2B">
      <w:pPr>
        <w:pStyle w:val="3"/>
        <w:spacing w:before="300" w:after="140"/>
      </w:pPr>
      <w:bookmarkStart w:id="4" w:name="_Toc13095"/>
      <w:r>
        <w:rPr>
          <w:rFonts w:ascii="微软雅黑" w:hAnsi="微软雅黑" w:eastAsia="微软雅黑"/>
          <w:b/>
          <w:color w:val="000000"/>
          <w:sz w:val="30"/>
        </w:rPr>
        <w:t>三、产品与解决方案</w:t>
      </w:r>
      <w:bookmarkEnd w:id="4"/>
    </w:p>
    <w:p w14:paraId="65A4566C">
      <w:pPr>
        <w:pStyle w:val="4"/>
        <w:spacing w:before="200" w:after="140"/>
      </w:pPr>
      <w:bookmarkStart w:id="5" w:name="_Toc18856"/>
      <w:r>
        <w:rPr>
          <w:rFonts w:ascii="微软雅黑" w:hAnsi="微软雅黑" w:eastAsia="微软雅黑"/>
          <w:b/>
          <w:color w:val="000000"/>
          <w:sz w:val="24"/>
        </w:rPr>
        <w:t>3.1 产品定位</w:t>
      </w:r>
      <w:bookmarkEnd w:id="5"/>
    </w:p>
    <w:p w14:paraId="516F65CA">
      <w:pPr>
        <w:spacing w:after="140" w:line="348" w:lineRule="auto"/>
        <w:ind w:firstLine="403"/>
      </w:pPr>
      <w:r>
        <w:t>织枢定位为“面向多 Agent 协作场景的任务记忆体与动态编排系统”。它不是一组孤立的 Agent，也不只是串联 API 的画布工具，而是将任务状态、记忆资产、协作关系、能力资源和运行证据统一管理的系统。业务人员定义目标、约束和验收标准；开发与运维人员配置模型、工具、知识库、记忆库与权限策略；管理者则通过任务中心与调用轨迹审阅过程和结果。</w:t>
      </w:r>
    </w:p>
    <w:p w14:paraId="3FE46BBD">
      <w:pPr>
        <w:spacing w:after="140" w:line="348" w:lineRule="auto"/>
        <w:ind w:firstLine="403"/>
      </w:pPr>
      <w:r>
        <w:rPr>
          <w:rFonts w:ascii="微软雅黑" w:hAnsi="微软雅黑" w:eastAsia="微软雅黑"/>
          <w:b w:val="0"/>
          <w:color w:val="000000"/>
          <w:sz w:val="21"/>
        </w:rPr>
        <w:t>一次典型运行遵循“任务进入 - 规划拆解 - 资源匹配 - 执行协作 - 质量校验 - 结果汇聚 - 经验沉淀”的主线。规划器将总目标生成带依赖关系和验收条件的 TODO；动态团队根据当前 TODO 选择能力、工具和知识均匹配的成员；每条协作消息以结构化 Capsule 携带主张、证据、约束变化和下一步行动；质量门决定通过、返工或重规划；最终结果及其证据、版本、资源选择和异常处理过程都被保留。</w:t>
      </w:r>
    </w:p>
    <w:p w14:paraId="3302F50A">
      <w:pPr>
        <w:spacing w:after="140" w:line="348" w:lineRule="auto"/>
        <w:ind w:firstLine="403"/>
      </w:pPr>
      <w:r>
        <w:rPr>
          <w:rFonts w:ascii="微软雅黑" w:hAnsi="微软雅黑" w:eastAsia="微软雅黑"/>
          <w:b w:val="0"/>
          <w:color w:val="000000"/>
          <w:sz w:val="21"/>
        </w:rPr>
        <w:t>这一产品化设计的意义在于：用户既能使用模型的开放式推理能力，又不会把关键流程完全交给不可解释的自由对话。固定工作流负责边界、审批和可达路径，动态团队只在受控范围内重组；系统既可以面对不同任务灵活调用能力，也能回答“为什么选择该成员、为何使用该工具、为什么改由边缘资源执行”。</w:t>
      </w:r>
    </w:p>
    <w:p w14:paraId="0FE7C950">
      <w:pPr>
        <w:pStyle w:val="4"/>
        <w:spacing w:before="200" w:after="140"/>
      </w:pPr>
      <w:bookmarkStart w:id="6" w:name="_Toc20188"/>
      <w:r>
        <w:rPr>
          <w:rFonts w:ascii="微软雅黑" w:hAnsi="微软雅黑" w:eastAsia="微软雅黑"/>
          <w:b/>
          <w:color w:val="000000"/>
          <w:sz w:val="24"/>
        </w:rPr>
        <w:t>3.2 产品架构与能力模块</w:t>
      </w:r>
      <w:bookmarkEnd w:id="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311"/>
        <w:gridCol w:w="4608"/>
      </w:tblGrid>
      <w:tr w14:paraId="7175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82F5361">
            <w:pPr>
              <w:spacing w:before="40" w:after="40" w:line="240" w:lineRule="auto"/>
              <w:jc w:val="center"/>
            </w:pPr>
            <w:r>
              <w:rPr>
                <w:rFonts w:ascii="微软雅黑" w:hAnsi="微软雅黑" w:eastAsia="微软雅黑"/>
                <w:b/>
                <w:color w:val="FFFFFF"/>
                <w:sz w:val="19"/>
              </w:rPr>
              <w:t>产品层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D9E2F77">
            <w:pPr>
              <w:spacing w:before="40" w:after="40" w:line="240" w:lineRule="auto"/>
              <w:jc w:val="center"/>
            </w:pPr>
            <w:r>
              <w:rPr>
                <w:rFonts w:ascii="微软雅黑" w:hAnsi="微软雅黑" w:eastAsia="微软雅黑"/>
                <w:b/>
                <w:color w:val="FFFFFF"/>
                <w:sz w:val="19"/>
              </w:rPr>
              <w:t>核心模块</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A99A107">
            <w:pPr>
              <w:spacing w:before="40" w:after="40" w:line="240" w:lineRule="auto"/>
              <w:jc w:val="center"/>
            </w:pPr>
            <w:r>
              <w:rPr>
                <w:rFonts w:ascii="微软雅黑" w:hAnsi="微软雅黑" w:eastAsia="微软雅黑"/>
                <w:b/>
                <w:color w:val="FFFFFF"/>
                <w:sz w:val="19"/>
              </w:rPr>
              <w:t>面向用户的能力</w:t>
            </w:r>
          </w:p>
        </w:tc>
      </w:tr>
      <w:tr w14:paraId="34FE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997D902">
            <w:pPr>
              <w:spacing w:before="40" w:after="40" w:line="240" w:lineRule="auto"/>
              <w:jc w:val="center"/>
            </w:pPr>
            <w:r>
              <w:rPr>
                <w:rFonts w:ascii="微软雅黑" w:hAnsi="微软雅黑" w:eastAsia="微软雅黑"/>
                <w:b w:val="0"/>
                <w:color w:val="000000"/>
                <w:sz w:val="18"/>
              </w:rPr>
              <w:t>任务连续性层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EE1A27D">
            <w:pPr>
              <w:spacing w:before="40" w:after="40" w:line="240" w:lineRule="auto"/>
              <w:jc w:val="left"/>
            </w:pPr>
            <w:r>
              <w:rPr>
                <w:rFonts w:ascii="微软雅黑" w:hAnsi="微软雅黑" w:eastAsia="微软雅黑"/>
                <w:b w:val="0"/>
                <w:color w:val="000000"/>
                <w:sz w:val="18"/>
              </w:rPr>
              <w:t>Context Ledger、四级记忆、原文归档、检查点</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CCBBE3B">
            <w:pPr>
              <w:spacing w:before="40" w:after="40" w:line="240" w:lineRule="auto"/>
              <w:jc w:val="left"/>
            </w:pPr>
            <w:r>
              <w:rPr>
                <w:rFonts w:ascii="微软雅黑" w:hAnsi="微软雅黑" w:eastAsia="微软雅黑"/>
                <w:b w:val="0"/>
                <w:color w:val="000000"/>
                <w:sz w:val="18"/>
              </w:rPr>
              <w:t>维持目标、约束、事实和进度，支持异常恢复</w:t>
            </w:r>
          </w:p>
        </w:tc>
      </w:tr>
      <w:tr w14:paraId="1565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84F691E">
            <w:pPr>
              <w:spacing w:before="40" w:after="40" w:line="240" w:lineRule="auto"/>
              <w:jc w:val="center"/>
            </w:pPr>
            <w:r>
              <w:rPr>
                <w:rFonts w:hint="eastAsia"/>
                <w:b w:val="0"/>
                <w:color w:val="000000"/>
                <w:sz w:val="18"/>
                <w:lang w:val="en-US" w:eastAsia="zh-CN"/>
              </w:rPr>
              <w:t>动态</w:t>
            </w:r>
            <w:r>
              <w:rPr>
                <w:rFonts w:ascii="微软雅黑" w:hAnsi="微软雅黑" w:eastAsia="微软雅黑"/>
                <w:b w:val="0"/>
                <w:color w:val="000000"/>
                <w:sz w:val="18"/>
              </w:rPr>
              <w:t>协同编排层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AB57E3F">
            <w:pPr>
              <w:spacing w:before="40" w:after="40" w:line="240" w:lineRule="auto"/>
              <w:jc w:val="left"/>
            </w:pPr>
            <w:r>
              <w:rPr>
                <w:rFonts w:ascii="微软雅黑" w:hAnsi="微软雅黑" w:eastAsia="微软雅黑"/>
                <w:b w:val="0"/>
                <w:color w:val="000000"/>
                <w:sz w:val="18"/>
              </w:rPr>
              <w:t>规划器、动态团队、质量门、结果汇聚器</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4D0A2C9">
            <w:pPr>
              <w:spacing w:before="40" w:after="40" w:line="240" w:lineRule="auto"/>
              <w:jc w:val="left"/>
            </w:pPr>
            <w:r>
              <w:rPr>
                <w:rFonts w:ascii="微软雅黑" w:hAnsi="微软雅黑" w:eastAsia="微软雅黑"/>
                <w:b w:val="0"/>
                <w:color w:val="000000"/>
                <w:sz w:val="18"/>
              </w:rPr>
              <w:t>按任务拆解、按能力选人、返工或重规划</w:t>
            </w:r>
          </w:p>
        </w:tc>
      </w:tr>
      <w:tr w14:paraId="2D2E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CB4028">
            <w:pPr>
              <w:spacing w:before="40" w:after="40" w:line="240" w:lineRule="auto"/>
              <w:jc w:val="center"/>
            </w:pPr>
            <w:r>
              <w:rPr>
                <w:rFonts w:ascii="微软雅黑" w:hAnsi="微软雅黑" w:eastAsia="微软雅黑"/>
                <w:b w:val="0"/>
                <w:color w:val="000000"/>
                <w:sz w:val="18"/>
              </w:rPr>
              <w:t>通信治理层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7894874">
            <w:pPr>
              <w:spacing w:before="40" w:after="40" w:line="240" w:lineRule="auto"/>
              <w:jc w:val="left"/>
            </w:pPr>
            <w:r>
              <w:rPr>
                <w:rFonts w:ascii="微软雅黑" w:hAnsi="微软雅黑" w:eastAsia="微软雅黑"/>
                <w:b w:val="0"/>
                <w:color w:val="000000"/>
                <w:sz w:val="18"/>
              </w:rPr>
              <w:t>MessageCapsule、私有邮箱、状态增量、时态证据</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C0D4F81">
            <w:pPr>
              <w:spacing w:before="40" w:after="40" w:line="240" w:lineRule="auto"/>
              <w:jc w:val="left"/>
            </w:pPr>
            <w:r>
              <w:rPr>
                <w:rFonts w:ascii="微软雅黑" w:hAnsi="微软雅黑" w:eastAsia="微软雅黑"/>
                <w:b w:val="0"/>
                <w:color w:val="000000"/>
                <w:sz w:val="18"/>
              </w:rPr>
              <w:t>减少重复传递，</w:t>
            </w:r>
            <w:r>
              <w:rPr>
                <w:rFonts w:hint="eastAsia"/>
                <w:b w:val="0"/>
                <w:color w:val="000000"/>
                <w:sz w:val="18"/>
                <w:lang w:val="en-US" w:eastAsia="zh-CN"/>
              </w:rPr>
              <w:t>实现低熵通信，</w:t>
            </w:r>
            <w:r>
              <w:rPr>
                <w:rFonts w:ascii="微软雅黑" w:hAnsi="微软雅黑" w:eastAsia="微软雅黑"/>
                <w:b w:val="0"/>
                <w:color w:val="000000"/>
                <w:sz w:val="18"/>
              </w:rPr>
              <w:t>保留来源与约束变化</w:t>
            </w:r>
          </w:p>
        </w:tc>
      </w:tr>
      <w:tr w14:paraId="2C77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62CB949">
            <w:pPr>
              <w:spacing w:before="40" w:after="40" w:line="240" w:lineRule="auto"/>
              <w:jc w:val="center"/>
            </w:pPr>
            <w:r>
              <w:rPr>
                <w:rFonts w:ascii="微软雅黑" w:hAnsi="微软雅黑" w:eastAsia="微软雅黑"/>
                <w:b w:val="0"/>
                <w:color w:val="000000"/>
                <w:sz w:val="18"/>
              </w:rPr>
              <w:t>资源执行层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889B8B0">
            <w:pPr>
              <w:spacing w:before="40" w:after="40" w:line="240" w:lineRule="auto"/>
              <w:jc w:val="left"/>
            </w:pPr>
            <w:r>
              <w:rPr>
                <w:rFonts w:ascii="微软雅黑" w:hAnsi="微软雅黑" w:eastAsia="微软雅黑"/>
                <w:b w:val="0"/>
                <w:color w:val="000000"/>
                <w:sz w:val="18"/>
              </w:rPr>
              <w:t>模型连接、端边云调度、执行器、脱敏与审计</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95E7F85">
            <w:pPr>
              <w:spacing w:before="40" w:after="40" w:line="240" w:lineRule="auto"/>
              <w:jc w:val="left"/>
            </w:pPr>
            <w:r>
              <w:rPr>
                <w:rFonts w:ascii="微软雅黑" w:hAnsi="微软雅黑" w:eastAsia="微软雅黑"/>
                <w:b w:val="0"/>
                <w:color w:val="000000"/>
                <w:sz w:val="18"/>
              </w:rPr>
              <w:t>按实时性、复杂度、敏感度选择执行位置</w:t>
            </w:r>
          </w:p>
        </w:tc>
      </w:tr>
      <w:tr w14:paraId="7192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F427E9">
            <w:pPr>
              <w:spacing w:before="40" w:after="40" w:line="240" w:lineRule="auto"/>
              <w:jc w:val="center"/>
            </w:pPr>
            <w:r>
              <w:rPr>
                <w:rFonts w:ascii="微软雅黑" w:hAnsi="微软雅黑" w:eastAsia="微软雅黑"/>
                <w:b w:val="0"/>
                <w:color w:val="000000"/>
                <w:sz w:val="18"/>
              </w:rPr>
              <w:t>应用运营层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62B4356">
            <w:pPr>
              <w:spacing w:before="40" w:after="40" w:line="240" w:lineRule="auto"/>
              <w:jc w:val="left"/>
            </w:pPr>
            <w:r>
              <w:rPr>
                <w:rFonts w:ascii="微软雅黑" w:hAnsi="微软雅黑" w:eastAsia="微软雅黑"/>
                <w:b w:val="0"/>
                <w:color w:val="000000"/>
                <w:sz w:val="18"/>
              </w:rPr>
              <w:t>应用管理、MCP/工具、Skill、知识库、版本与运行中心</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67B5828">
            <w:pPr>
              <w:spacing w:before="40" w:after="40" w:line="240" w:lineRule="auto"/>
              <w:jc w:val="left"/>
              <w:rPr>
                <w:rFonts w:hint="default" w:eastAsia="微软雅黑"/>
                <w:lang w:val="en-US" w:eastAsia="zh-CN"/>
              </w:rPr>
            </w:pPr>
            <w:r>
              <w:rPr>
                <w:rFonts w:ascii="微软雅黑" w:hAnsi="微软雅黑" w:eastAsia="微软雅黑"/>
                <w:b w:val="0"/>
                <w:color w:val="000000"/>
                <w:sz w:val="18"/>
              </w:rPr>
              <w:t>构建、发布、观察、复盘和复用智能体应用</w:t>
            </w:r>
            <w:r>
              <w:rPr>
                <w:rFonts w:hint="eastAsia"/>
                <w:b w:val="0"/>
                <w:color w:val="000000"/>
                <w:sz w:val="18"/>
                <w:lang w:eastAsia="zh-CN"/>
              </w:rPr>
              <w:t>，</w:t>
            </w:r>
            <w:r>
              <w:rPr>
                <w:rFonts w:hint="eastAsia"/>
                <w:b w:val="0"/>
                <w:color w:val="000000"/>
                <w:sz w:val="18"/>
                <w:lang w:val="en-US" w:eastAsia="zh-CN"/>
              </w:rPr>
              <w:t>回答更准确</w:t>
            </w:r>
          </w:p>
        </w:tc>
      </w:tr>
    </w:tbl>
    <w:p w14:paraId="792E0153">
      <w:pPr>
        <w:spacing w:after="40"/>
      </w:pPr>
      <w:r>
        <w:t>织枢的记忆体由四类记忆共同构成：任务记忆记录目标、计划、待办、关键事实和检查点；角色记忆沉淀各 Agent 的职责边界、历史表现与可复用经验；共享知识记忆保存经授权的团队事实、证据与行业资料；用户偏好记忆保存交付格式、沟通方式和长期约束。系统以记忆条目的来源、可信度、时效、权限范围和关联任务为元数据，支持新增、检索、更新、删除、压缩和遗忘。调用时，规划 Agent 按任务阶段召回目标与约束，执行与检索 Agent 在自身权限范围内获取证据，评估 Agent 对冲突、过期或低置信度记忆进行校验；每次调用、写入、拒绝和覆盖均形成可解释记录。</w:t>
      </w:r>
    </w:p>
    <w:p w14:paraId="71276F65">
      <w:pPr>
        <w:pStyle w:val="4"/>
        <w:spacing w:before="200" w:after="140"/>
      </w:pPr>
      <w:bookmarkStart w:id="7" w:name="_Toc30406"/>
      <w:r>
        <w:rPr>
          <w:rFonts w:ascii="微软雅黑" w:hAnsi="微软雅黑" w:eastAsia="微软雅黑"/>
          <w:b/>
          <w:color w:val="000000"/>
          <w:sz w:val="24"/>
        </w:rPr>
        <w:t>3.3 用户使用路径</w:t>
      </w:r>
      <w:bookmarkEnd w:id="7"/>
    </w:p>
    <w:p w14:paraId="07D7C9D3">
      <w:pPr>
        <w:spacing w:after="140" w:line="348" w:lineRule="auto"/>
        <w:ind w:firstLine="403"/>
        <w:rPr>
          <w:rFonts w:ascii="微软雅黑" w:hAnsi="微软雅黑" w:eastAsia="微软雅黑"/>
          <w:b w:val="0"/>
          <w:color w:val="000000"/>
          <w:sz w:val="21"/>
        </w:rPr>
      </w:pPr>
      <w:r>
        <w:t>用户以“配置模型与记忆资产 - 创建规划、执行、检索和评估等 Agent 角色 - 编排协作流程 - 在线调试 - 审批与运行观测 - 发布版本 - 复盘复用”的路径使用织枢。业务人员从模板和可视化页面开始；开发人员接入模型、MCP、脚本工具、企业知识库和记忆库；管理者通过调用轨迹查看记忆何时被写入、由谁检索、是否发生冲突、是否因权限或可信度被拒绝，以及如何影响任务拆解、返工或恢复。</w:t>
      </w:r>
    </w:p>
    <w:p w14:paraId="5A0C8743">
      <w:pPr>
        <w:keepNext/>
        <w:keepLines/>
        <w:spacing w:before="120" w:after="0" w:line="348" w:lineRule="auto"/>
        <w:ind w:firstLine="403"/>
        <w:jc w:val="center"/>
      </w:pPr>
      <w:r>
        <w:drawing>
          <wp:inline distT="0" distB="0" distL="114300" distR="114300">
            <wp:extent cx="5669280" cy="3056890"/>
            <wp:effectExtent l="0" t="0" r="5080" b="5715"/>
            <wp:docPr id="2" name="图片 1" descr="图 2 ZISU 快速开始页面" title="图 2 ZISU 快速开始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 2 ZISU 快速开始页面" title="图 2 ZISU 快速开始页面"/>
                    <pic:cNvPicPr>
                      <a:picLocks noChangeAspect="1"/>
                    </pic:cNvPicPr>
                  </pic:nvPicPr>
                  <pic:blipFill>
                    <a:blip r:embed="rId8"/>
                    <a:stretch>
                      <a:fillRect/>
                    </a:stretch>
                  </pic:blipFill>
                  <pic:spPr>
                    <a:xfrm>
                      <a:off x="0" y="0"/>
                      <a:ext cx="6395720" cy="3448685"/>
                    </a:xfrm>
                    <a:prstGeom prst="rect">
                      <a:avLst/>
                    </a:prstGeom>
                    <a:noFill/>
                    <a:ln>
                      <a:noFill/>
                    </a:ln>
                  </pic:spPr>
                </pic:pic>
              </a:graphicData>
            </a:graphic>
          </wp:inline>
        </w:drawing>
      </w:r>
    </w:p>
    <w:p w14:paraId="13B0C82B">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1</w:t>
      </w:r>
      <w:r>
        <w:rPr>
          <w:rFonts w:ascii="宋体" w:hAnsi="宋体" w:eastAsia="宋体"/>
          <w:sz w:val="21"/>
        </w:rPr>
        <w:t xml:space="preserve"> ZISU 快速开始页面</w:t>
      </w:r>
    </w:p>
    <w:p w14:paraId="4483FAE6">
      <w:pPr>
        <w:keepNext/>
        <w:keepLines/>
        <w:spacing w:before="120" w:after="0" w:line="348" w:lineRule="auto"/>
        <w:ind w:firstLine="403"/>
        <w:jc w:val="center"/>
      </w:pPr>
      <w:r>
        <w:drawing>
          <wp:inline distT="0" distB="0" distL="114300" distR="114300">
            <wp:extent cx="5669280" cy="3049905"/>
            <wp:effectExtent l="0" t="0" r="4445" b="6985"/>
            <wp:docPr id="3" name="图片 2" descr="图 3 ZISU 工作流编排与测试界面" title="图 3 ZISU 工作流编排与测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 3 ZISU 工作流编排与测试界面" title="图 3 ZISU 工作流编排与测试界面"/>
                    <pic:cNvPicPr>
                      <a:picLocks noChangeAspect="1"/>
                    </pic:cNvPicPr>
                  </pic:nvPicPr>
                  <pic:blipFill>
                    <a:blip r:embed="rId9"/>
                    <a:stretch>
                      <a:fillRect/>
                    </a:stretch>
                  </pic:blipFill>
                  <pic:spPr>
                    <a:xfrm>
                      <a:off x="0" y="0"/>
                      <a:ext cx="6383655" cy="3434715"/>
                    </a:xfrm>
                    <a:prstGeom prst="rect">
                      <a:avLst/>
                    </a:prstGeom>
                    <a:noFill/>
                    <a:ln>
                      <a:noFill/>
                    </a:ln>
                  </pic:spPr>
                </pic:pic>
              </a:graphicData>
            </a:graphic>
          </wp:inline>
        </w:drawing>
      </w:r>
    </w:p>
    <w:p w14:paraId="37F38B80">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2</w:t>
      </w:r>
      <w:r>
        <w:rPr>
          <w:rFonts w:ascii="宋体" w:hAnsi="宋体" w:eastAsia="宋体"/>
          <w:sz w:val="21"/>
        </w:rPr>
        <w:t xml:space="preserve"> ZISU 工作流编排与测试界面</w:t>
      </w:r>
    </w:p>
    <w:p w14:paraId="649C6426">
      <w:pPr>
        <w:keepNext/>
        <w:keepLines/>
        <w:spacing w:before="120" w:after="0" w:line="348" w:lineRule="auto"/>
        <w:ind w:firstLine="403"/>
        <w:jc w:val="center"/>
      </w:pPr>
      <w:r>
        <w:drawing>
          <wp:inline distT="0" distB="0" distL="114300" distR="114300">
            <wp:extent cx="5669280" cy="3056255"/>
            <wp:effectExtent l="0" t="0" r="9525" b="8890"/>
            <wp:docPr id="6" name="图片 5" descr="图 4 ZISU 智能体团队配置界面" title="图 4 ZISU 智能体团队配置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 4 ZISU 智能体团队配置界面" title="图 4 ZISU 智能体团队配置界面"/>
                    <pic:cNvPicPr>
                      <a:picLocks noChangeAspect="1"/>
                    </pic:cNvPicPr>
                  </pic:nvPicPr>
                  <pic:blipFill>
                    <a:blip r:embed="rId10"/>
                    <a:stretch>
                      <a:fillRect/>
                    </a:stretch>
                  </pic:blipFill>
                  <pic:spPr>
                    <a:xfrm>
                      <a:off x="0" y="0"/>
                      <a:ext cx="6391275" cy="3445510"/>
                    </a:xfrm>
                    <a:prstGeom prst="rect">
                      <a:avLst/>
                    </a:prstGeom>
                    <a:noFill/>
                    <a:ln>
                      <a:noFill/>
                    </a:ln>
                  </pic:spPr>
                </pic:pic>
              </a:graphicData>
            </a:graphic>
          </wp:inline>
        </w:drawing>
      </w:r>
    </w:p>
    <w:p w14:paraId="71AEF067">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3</w:t>
      </w:r>
      <w:r>
        <w:rPr>
          <w:rFonts w:ascii="宋体" w:hAnsi="宋体" w:eastAsia="宋体"/>
          <w:sz w:val="21"/>
        </w:rPr>
        <w:t xml:space="preserve"> ZISU 智能体团队配置界面</w:t>
      </w:r>
    </w:p>
    <w:p w14:paraId="116AF286">
      <w:pPr>
        <w:keepNext/>
        <w:keepLines/>
        <w:spacing w:before="120" w:after="0" w:line="348" w:lineRule="auto"/>
        <w:ind w:firstLine="403"/>
        <w:jc w:val="center"/>
      </w:pPr>
      <w:r>
        <w:drawing>
          <wp:inline distT="0" distB="0" distL="114300" distR="114300">
            <wp:extent cx="5669280" cy="3064510"/>
            <wp:effectExtent l="0" t="0" r="5080" b="9525"/>
            <wp:docPr id="4" name="图片 3" descr="图 5 ZISU 任务中心界面" title="图 5 ZISU 任务中心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 5 ZISU 任务中心界面" title="图 5 ZISU 任务中心界面"/>
                    <pic:cNvPicPr>
                      <a:picLocks noChangeAspect="1"/>
                    </pic:cNvPicPr>
                  </pic:nvPicPr>
                  <pic:blipFill>
                    <a:blip r:embed="rId11"/>
                    <a:stretch>
                      <a:fillRect/>
                    </a:stretch>
                  </pic:blipFill>
                  <pic:spPr>
                    <a:xfrm>
                      <a:off x="0" y="0"/>
                      <a:ext cx="6395720" cy="3457575"/>
                    </a:xfrm>
                    <a:prstGeom prst="rect">
                      <a:avLst/>
                    </a:prstGeom>
                    <a:noFill/>
                    <a:ln>
                      <a:noFill/>
                    </a:ln>
                  </pic:spPr>
                </pic:pic>
              </a:graphicData>
            </a:graphic>
          </wp:inline>
        </w:drawing>
      </w:r>
    </w:p>
    <w:p w14:paraId="6A26CCF5">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4</w:t>
      </w:r>
      <w:r>
        <w:rPr>
          <w:rFonts w:ascii="宋体" w:hAnsi="宋体" w:eastAsia="宋体"/>
          <w:sz w:val="21"/>
        </w:rPr>
        <w:t xml:space="preserve"> ZISU 任务中心界面</w:t>
      </w:r>
    </w:p>
    <w:p w14:paraId="7DB874F8">
      <w:pPr>
        <w:keepNext/>
        <w:keepLines/>
        <w:spacing w:before="120" w:after="0" w:line="348" w:lineRule="auto"/>
        <w:ind w:firstLine="403"/>
        <w:jc w:val="center"/>
      </w:pPr>
      <w:r>
        <w:drawing>
          <wp:inline distT="0" distB="0" distL="114300" distR="114300">
            <wp:extent cx="5669280" cy="3025775"/>
            <wp:effectExtent l="0" t="0" r="4445" b="1905"/>
            <wp:docPr id="5" name="图片 4" descr="图 6 ZISU 工作流全景配置界面" title="图 6 ZISU 工作流全景配置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 6 ZISU 工作流全景配置界面" title="图 6 ZISU 工作流全景配置界面"/>
                    <pic:cNvPicPr>
                      <a:picLocks noChangeAspect="1"/>
                    </pic:cNvPicPr>
                  </pic:nvPicPr>
                  <pic:blipFill>
                    <a:blip r:embed="rId12"/>
                    <a:stretch>
                      <a:fillRect/>
                    </a:stretch>
                  </pic:blipFill>
                  <pic:spPr>
                    <a:xfrm>
                      <a:off x="0" y="0"/>
                      <a:ext cx="6396355" cy="3414395"/>
                    </a:xfrm>
                    <a:prstGeom prst="rect">
                      <a:avLst/>
                    </a:prstGeom>
                    <a:noFill/>
                    <a:ln>
                      <a:noFill/>
                    </a:ln>
                  </pic:spPr>
                </pic:pic>
              </a:graphicData>
            </a:graphic>
          </wp:inline>
        </w:drawing>
      </w:r>
    </w:p>
    <w:p w14:paraId="126FCD45">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5</w:t>
      </w:r>
      <w:r>
        <w:rPr>
          <w:rFonts w:ascii="宋体" w:hAnsi="宋体" w:eastAsia="宋体"/>
          <w:sz w:val="21"/>
        </w:rPr>
        <w:t xml:space="preserve"> ZISU 工作流全景配置界面</w:t>
      </w:r>
    </w:p>
    <w:p w14:paraId="37EB1FC2">
      <w:pPr>
        <w:keepNext/>
        <w:keepLines/>
        <w:spacing w:before="120" w:after="0" w:line="348" w:lineRule="auto"/>
        <w:ind w:firstLine="403"/>
        <w:jc w:val="center"/>
      </w:pPr>
      <w:r>
        <w:drawing>
          <wp:inline distT="0" distB="0" distL="114300" distR="114300">
            <wp:extent cx="5669280" cy="3065780"/>
            <wp:effectExtent l="0" t="0" r="2540" b="6985"/>
            <wp:docPr id="7" name="图片 6" descr="图 7 ZISU Skill 管理界面" title="图 7 ZISU Skill 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 7 ZISU Skill 管理界面" title="图 7 ZISU Skill 管理界面"/>
                    <pic:cNvPicPr>
                      <a:picLocks noChangeAspect="1"/>
                    </pic:cNvPicPr>
                  </pic:nvPicPr>
                  <pic:blipFill>
                    <a:blip r:embed="rId13"/>
                    <a:stretch>
                      <a:fillRect/>
                    </a:stretch>
                  </pic:blipFill>
                  <pic:spPr>
                    <a:xfrm>
                      <a:off x="0" y="0"/>
                      <a:ext cx="6398260" cy="3460115"/>
                    </a:xfrm>
                    <a:prstGeom prst="rect">
                      <a:avLst/>
                    </a:prstGeom>
                    <a:noFill/>
                    <a:ln>
                      <a:noFill/>
                    </a:ln>
                  </pic:spPr>
                </pic:pic>
              </a:graphicData>
            </a:graphic>
          </wp:inline>
        </w:drawing>
      </w:r>
    </w:p>
    <w:p w14:paraId="2CD01A69">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6</w:t>
      </w:r>
      <w:r>
        <w:rPr>
          <w:rFonts w:ascii="宋体" w:hAnsi="宋体" w:eastAsia="宋体"/>
          <w:sz w:val="21"/>
        </w:rPr>
        <w:t xml:space="preserve"> ZISU Skill 管理界面</w:t>
      </w:r>
    </w:p>
    <w:p w14:paraId="6AAD376C">
      <w:pPr>
        <w:keepNext/>
        <w:keepLines/>
        <w:spacing w:before="120" w:after="0" w:line="348" w:lineRule="auto"/>
        <w:ind w:firstLine="403"/>
        <w:jc w:val="center"/>
      </w:pPr>
      <w:r>
        <w:drawing>
          <wp:inline distT="0" distB="0" distL="114300" distR="114300">
            <wp:extent cx="5669280" cy="3114675"/>
            <wp:effectExtent l="0" t="0" r="1905" b="8890"/>
            <wp:docPr id="8" name="图片 7" descr="图 8 ZISU MCP 管理界面" title="图 8 ZISU MCP 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图 8 ZISU MCP 管理界面" title="图 8 ZISU MCP 管理界面"/>
                    <pic:cNvPicPr>
                      <a:picLocks noChangeAspect="1"/>
                    </pic:cNvPicPr>
                  </pic:nvPicPr>
                  <pic:blipFill>
                    <a:blip r:embed="rId14"/>
                    <a:stretch>
                      <a:fillRect/>
                    </a:stretch>
                  </pic:blipFill>
                  <pic:spPr>
                    <a:xfrm>
                      <a:off x="0" y="0"/>
                      <a:ext cx="6386195" cy="3509010"/>
                    </a:xfrm>
                    <a:prstGeom prst="rect">
                      <a:avLst/>
                    </a:prstGeom>
                    <a:noFill/>
                    <a:ln>
                      <a:noFill/>
                    </a:ln>
                  </pic:spPr>
                </pic:pic>
              </a:graphicData>
            </a:graphic>
          </wp:inline>
        </w:drawing>
      </w:r>
    </w:p>
    <w:p w14:paraId="0B172AFC">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7</w:t>
      </w:r>
      <w:r>
        <w:rPr>
          <w:rFonts w:ascii="宋体" w:hAnsi="宋体" w:eastAsia="宋体"/>
          <w:sz w:val="21"/>
        </w:rPr>
        <w:t xml:space="preserve"> ZISU MCP 管理界面</w:t>
      </w:r>
    </w:p>
    <w:p w14:paraId="73B9A0CF">
      <w:pPr>
        <w:keepNext/>
        <w:keepLines/>
        <w:spacing w:before="120" w:after="0" w:line="348" w:lineRule="auto"/>
        <w:ind w:firstLine="403"/>
        <w:jc w:val="center"/>
      </w:pPr>
      <w:r>
        <w:drawing>
          <wp:inline distT="0" distB="0" distL="114300" distR="114300">
            <wp:extent cx="5669280" cy="3037205"/>
            <wp:effectExtent l="0" t="0" r="6350" b="3175"/>
            <wp:docPr id="9" name="图片 8" descr="图 9 ZISU 知识库管理界面" title="图 9 ZISU 知识库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 9 ZISU 知识库管理界面" title="图 9 ZISU 知识库管理界面"/>
                    <pic:cNvPicPr>
                      <a:picLocks noChangeAspect="1"/>
                    </pic:cNvPicPr>
                  </pic:nvPicPr>
                  <pic:blipFill>
                    <a:blip r:embed="rId15"/>
                    <a:stretch>
                      <a:fillRect/>
                    </a:stretch>
                  </pic:blipFill>
                  <pic:spPr>
                    <a:xfrm>
                      <a:off x="0" y="0"/>
                      <a:ext cx="6394450" cy="3425825"/>
                    </a:xfrm>
                    <a:prstGeom prst="rect">
                      <a:avLst/>
                    </a:prstGeom>
                    <a:noFill/>
                    <a:ln>
                      <a:noFill/>
                    </a:ln>
                  </pic:spPr>
                </pic:pic>
              </a:graphicData>
            </a:graphic>
          </wp:inline>
        </w:drawing>
      </w:r>
    </w:p>
    <w:p w14:paraId="11CE41E9">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8</w:t>
      </w:r>
      <w:r>
        <w:rPr>
          <w:rFonts w:ascii="宋体" w:hAnsi="宋体" w:eastAsia="宋体"/>
          <w:sz w:val="21"/>
        </w:rPr>
        <w:t xml:space="preserve"> ZISU 知识库管理界面</w:t>
      </w:r>
    </w:p>
    <w:p w14:paraId="1BACECD4">
      <w:pPr>
        <w:keepNext/>
        <w:keepLines/>
        <w:spacing w:before="120" w:after="0" w:line="348" w:lineRule="auto"/>
        <w:ind w:firstLine="403"/>
        <w:jc w:val="center"/>
      </w:pPr>
      <w:r>
        <w:drawing>
          <wp:inline distT="0" distB="0" distL="114300" distR="114300">
            <wp:extent cx="5669280" cy="3039110"/>
            <wp:effectExtent l="0" t="0" r="11430" b="3810"/>
            <wp:docPr id="10" name="图片 9" descr="图 10 ZISU 模型连接管理界面" title="图 10 ZISU 模型连接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 10 ZISU 模型连接管理界面" title="图 10 ZISU 模型连接管理界面"/>
                    <pic:cNvPicPr>
                      <a:picLocks noChangeAspect="1"/>
                    </pic:cNvPicPr>
                  </pic:nvPicPr>
                  <pic:blipFill>
                    <a:blip r:embed="rId16"/>
                    <a:stretch>
                      <a:fillRect/>
                    </a:stretch>
                  </pic:blipFill>
                  <pic:spPr>
                    <a:xfrm>
                      <a:off x="0" y="0"/>
                      <a:ext cx="6389370" cy="3425190"/>
                    </a:xfrm>
                    <a:prstGeom prst="rect">
                      <a:avLst/>
                    </a:prstGeom>
                    <a:noFill/>
                    <a:ln>
                      <a:noFill/>
                    </a:ln>
                  </pic:spPr>
                </pic:pic>
              </a:graphicData>
            </a:graphic>
          </wp:inline>
        </w:drawing>
      </w:r>
    </w:p>
    <w:p w14:paraId="23EE9387">
      <w:pPr>
        <w:pStyle w:val="166"/>
        <w:keepNext w:val="0"/>
        <w:keepLines/>
        <w:spacing w:before="40" w:after="160"/>
        <w:jc w:val="center"/>
      </w:pPr>
      <w:r>
        <w:rPr>
          <w:rFonts w:ascii="宋体" w:hAnsi="宋体" w:eastAsia="宋体"/>
          <w:sz w:val="21"/>
        </w:rPr>
        <w:t xml:space="preserve">图 </w:t>
      </w:r>
      <w:r>
        <w:rPr>
          <w:rFonts w:hint="eastAsia" w:eastAsia="宋体"/>
          <w:sz w:val="21"/>
          <w:lang w:val="en-US" w:eastAsia="zh-CN"/>
        </w:rPr>
        <w:t>9</w:t>
      </w:r>
      <w:r>
        <w:rPr>
          <w:rFonts w:ascii="宋体" w:hAnsi="宋体" w:eastAsia="宋体"/>
          <w:sz w:val="21"/>
        </w:rPr>
        <w:t xml:space="preserve"> ZISU 模型连接管理界面</w:t>
      </w:r>
    </w:p>
    <w:p w14:paraId="14638295">
      <w:pPr>
        <w:keepNext/>
        <w:keepLines/>
        <w:spacing w:before="120" w:after="0" w:line="348" w:lineRule="auto"/>
        <w:ind w:firstLine="403"/>
        <w:jc w:val="center"/>
      </w:pPr>
      <w:r>
        <w:drawing>
          <wp:inline distT="0" distB="0" distL="114300" distR="114300">
            <wp:extent cx="5669280" cy="3088640"/>
            <wp:effectExtent l="0" t="0" r="3175" b="6350"/>
            <wp:docPr id="13" name="图片 12" descr="图 11 ZISU 记忆库创建界面" title="图 11 ZISU 记忆库创建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图 11 ZISU 记忆库创建界面" title="图 11 ZISU 记忆库创建界面"/>
                    <pic:cNvPicPr>
                      <a:picLocks noChangeAspect="1"/>
                    </pic:cNvPicPr>
                  </pic:nvPicPr>
                  <pic:blipFill>
                    <a:blip r:embed="rId17"/>
                    <a:stretch>
                      <a:fillRect/>
                    </a:stretch>
                  </pic:blipFill>
                  <pic:spPr>
                    <a:xfrm>
                      <a:off x="0" y="0"/>
                      <a:ext cx="6397625" cy="3486150"/>
                    </a:xfrm>
                    <a:prstGeom prst="rect">
                      <a:avLst/>
                    </a:prstGeom>
                    <a:noFill/>
                    <a:ln>
                      <a:noFill/>
                    </a:ln>
                  </pic:spPr>
                </pic:pic>
              </a:graphicData>
            </a:graphic>
          </wp:inline>
        </w:drawing>
      </w:r>
    </w:p>
    <w:p w14:paraId="52B7557C">
      <w:pPr>
        <w:pStyle w:val="166"/>
        <w:keepNext w:val="0"/>
        <w:keepLines/>
        <w:spacing w:before="40" w:after="160"/>
        <w:jc w:val="center"/>
      </w:pPr>
      <w:r>
        <w:rPr>
          <w:rFonts w:ascii="宋体" w:hAnsi="宋体" w:eastAsia="宋体"/>
          <w:sz w:val="21"/>
        </w:rPr>
        <w:t>图 1</w:t>
      </w:r>
      <w:r>
        <w:rPr>
          <w:rFonts w:hint="eastAsia" w:eastAsia="宋体"/>
          <w:sz w:val="21"/>
          <w:lang w:val="en-US" w:eastAsia="zh-CN"/>
        </w:rPr>
        <w:t>0</w:t>
      </w:r>
      <w:r>
        <w:rPr>
          <w:rFonts w:ascii="宋体" w:hAnsi="宋体" w:eastAsia="宋体"/>
          <w:sz w:val="21"/>
        </w:rPr>
        <w:t xml:space="preserve"> ZISU 记忆库创建界面</w:t>
      </w:r>
    </w:p>
    <w:p w14:paraId="0FD5D877">
      <w:pPr>
        <w:keepNext/>
        <w:keepLines/>
        <w:spacing w:before="120" w:after="0" w:line="348" w:lineRule="auto"/>
        <w:ind w:firstLine="403"/>
        <w:jc w:val="center"/>
        <w:rPr>
          <w:rFonts w:ascii="微软雅黑" w:hAnsi="微软雅黑" w:eastAsia="微软雅黑"/>
          <w:b/>
          <w:color w:val="7F6000"/>
          <w:sz w:val="20"/>
        </w:rPr>
      </w:pPr>
      <w:r>
        <w:drawing>
          <wp:inline distT="0" distB="0" distL="114300" distR="114300">
            <wp:extent cx="5669280" cy="3529965"/>
            <wp:effectExtent l="0" t="0" r="1905" b="3175"/>
            <wp:docPr id="12" name="图片 11" descr="图 12 ZISU Skill 检索命中测试界面" title="图 12 ZISU Skill 检索命中测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图 12 ZISU Skill 检索命中测试界面" title="图 12 ZISU Skill 检索命中测试界面"/>
                    <pic:cNvPicPr>
                      <a:picLocks noChangeAspect="1"/>
                    </pic:cNvPicPr>
                  </pic:nvPicPr>
                  <pic:blipFill>
                    <a:blip r:embed="rId18"/>
                    <a:stretch>
                      <a:fillRect/>
                    </a:stretch>
                  </pic:blipFill>
                  <pic:spPr>
                    <a:xfrm>
                      <a:off x="0" y="0"/>
                      <a:ext cx="6398895" cy="3984625"/>
                    </a:xfrm>
                    <a:prstGeom prst="rect">
                      <a:avLst/>
                    </a:prstGeom>
                    <a:noFill/>
                    <a:ln>
                      <a:noFill/>
                    </a:ln>
                  </pic:spPr>
                </pic:pic>
              </a:graphicData>
            </a:graphic>
          </wp:inline>
        </w:drawing>
      </w:r>
    </w:p>
    <w:p w14:paraId="072ED5BB">
      <w:pPr>
        <w:pStyle w:val="166"/>
        <w:keepNext w:val="0"/>
        <w:keepLines/>
        <w:spacing w:before="40" w:after="160"/>
        <w:jc w:val="center"/>
      </w:pPr>
      <w:r>
        <w:rPr>
          <w:rFonts w:ascii="宋体" w:hAnsi="宋体" w:eastAsia="宋体"/>
          <w:sz w:val="21"/>
        </w:rPr>
        <w:t>图 1</w:t>
      </w:r>
      <w:r>
        <w:rPr>
          <w:rFonts w:hint="eastAsia" w:eastAsia="宋体"/>
          <w:sz w:val="21"/>
          <w:lang w:val="en-US" w:eastAsia="zh-CN"/>
        </w:rPr>
        <w:t>1</w:t>
      </w:r>
      <w:r>
        <w:rPr>
          <w:rFonts w:ascii="宋体" w:hAnsi="宋体" w:eastAsia="宋体"/>
          <w:sz w:val="21"/>
        </w:rPr>
        <w:t xml:space="preserve"> ZISU Skill 检索命中测试界面</w:t>
      </w:r>
    </w:p>
    <w:p w14:paraId="33EA2935">
      <w:pPr>
        <w:pStyle w:val="3"/>
        <w:spacing w:before="300" w:after="140"/>
      </w:pPr>
      <w:bookmarkStart w:id="8" w:name="_Toc25445"/>
      <w:r>
        <w:rPr>
          <w:rFonts w:ascii="微软雅黑" w:hAnsi="微软雅黑" w:eastAsia="微软雅黑"/>
          <w:b/>
          <w:color w:val="000000"/>
          <w:sz w:val="30"/>
        </w:rPr>
        <w:t>四、核心技术与验证基础</w:t>
      </w:r>
      <w:bookmarkEnd w:id="8"/>
    </w:p>
    <w:p w14:paraId="3A129350">
      <w:pPr>
        <w:pStyle w:val="4"/>
        <w:spacing w:before="200" w:after="140"/>
      </w:pPr>
      <w:bookmarkStart w:id="9" w:name="_Toc3999"/>
      <w:r>
        <w:rPr>
          <w:rFonts w:ascii="微软雅黑" w:hAnsi="微软雅黑" w:eastAsia="微软雅黑"/>
          <w:b/>
          <w:color w:val="000000"/>
          <w:sz w:val="24"/>
        </w:rPr>
        <w:t>4.1 三项核心机制</w:t>
      </w:r>
      <w:bookmarkEnd w:id="9"/>
    </w:p>
    <w:p w14:paraId="391AB955">
      <w:pPr>
        <w:spacing w:after="140" w:line="348" w:lineRule="auto"/>
        <w:ind w:firstLine="0"/>
      </w:pPr>
      <w:r>
        <w:rPr>
          <w:rFonts w:ascii="微软雅黑" w:hAnsi="微软雅黑" w:eastAsia="微软雅黑"/>
          <w:b/>
          <w:color w:val="000000"/>
          <w:sz w:val="24"/>
        </w:rPr>
        <w:t>4.1.1 任务状态连续性：从 Prompt 记忆转向外部状态管理</w:t>
      </w:r>
    </w:p>
    <w:p w14:paraId="51C97E7E">
      <w:pPr>
        <w:spacing w:after="140" w:line="348" w:lineRule="auto"/>
        <w:ind w:firstLine="403"/>
      </w:pPr>
      <w:r>
        <w:rPr>
          <w:rFonts w:ascii="微软雅黑" w:hAnsi="微软雅黑" w:eastAsia="微软雅黑"/>
          <w:b w:val="0"/>
          <w:color w:val="000000"/>
          <w:sz w:val="21"/>
        </w:rPr>
        <w:t>织枢将长程任务的关键状态拆为四类：Context Ledger 保存原始目标、硬约束、当前计划、待办、关键事实、预算与下一动作；Memory Store 按 WORKING、TASK、PROJECT、GLOBAL 四层保存可检索记忆；Cold Archive 保存完整会话片段、工具</w:t>
      </w:r>
      <w:bookmarkStart w:id="32" w:name="_GoBack"/>
      <w:bookmarkEnd w:id="32"/>
      <w:r>
        <w:rPr>
          <w:rFonts w:ascii="微软雅黑" w:hAnsi="微软雅黑" w:eastAsia="微软雅黑"/>
          <w:b w:val="0"/>
          <w:color w:val="000000"/>
          <w:sz w:val="21"/>
        </w:rPr>
        <w:t>结果与原文证据；Checkpoint 保存账本快照、图执行前沿和归档引用。节点调用前，系统先装配稳定任务锚点，再按当前角色和子任务检索证据，最后通过预算闸门决定是否执行。</w:t>
      </w:r>
    </w:p>
    <w:p w14:paraId="1A637DA4">
      <w:pPr>
        <w:spacing w:after="140" w:line="348" w:lineRule="auto"/>
        <w:ind w:firstLine="403"/>
      </w:pPr>
      <w:r>
        <w:rPr>
          <w:rFonts w:ascii="微软雅黑" w:hAnsi="微软雅黑" w:eastAsia="微软雅黑"/>
          <w:b w:val="0"/>
          <w:color w:val="000000"/>
          <w:sz w:val="21"/>
        </w:rPr>
        <w:t>该机制的实现意义是将“模型是否记得”转化为可检查的系统责任：即使检索失败，原始目标和约束仍由 Ledger 稳定注入；即使运行被中断，系统也可以恢复账本、前沿节点和证据引用，而不是重发旧提示词让模型猜测进度。</w:t>
      </w:r>
    </w:p>
    <w:p w14:paraId="2C42D2FC">
      <w:pPr>
        <w:spacing w:after="140" w:line="348" w:lineRule="auto"/>
        <w:ind w:firstLine="0"/>
      </w:pPr>
      <w:r>
        <w:rPr>
          <w:rFonts w:ascii="微软雅黑" w:hAnsi="微软雅黑" w:eastAsia="微软雅黑"/>
          <w:b/>
          <w:color w:val="000000"/>
          <w:sz w:val="24"/>
        </w:rPr>
        <w:t>4.1.2 动态协作：以任务状态驱动成员选择与消息治理</w:t>
      </w:r>
    </w:p>
    <w:p w14:paraId="35BF9EE2">
      <w:pPr>
        <w:spacing w:after="140" w:line="348" w:lineRule="auto"/>
        <w:ind w:firstLine="403"/>
      </w:pPr>
      <w:r>
        <w:rPr>
          <w:rFonts w:ascii="微软雅黑" w:hAnsi="微软雅黑" w:eastAsia="微软雅黑"/>
          <w:b w:val="0"/>
          <w:color w:val="000000"/>
          <w:sz w:val="21"/>
        </w:rPr>
        <w:t>每个智能体成员不只拥有一个角色名称，还具有能力、模型、工具、Skill、知识库、历史表现、成本、时延和失败风险等画像。系统先按必需资源进行硬过滤，再用语义匹配、资源覆盖、历史成功率、成本、时延与风险进行可解释评分，只激活有限数量的候选成员。成员若发现能力缺口可提出结构化 Handoff 请求；成员失败时，Supervisor 从未使用的可行候选中选择 Fallback 成员。</w:t>
      </w:r>
    </w:p>
    <w:p w14:paraId="299A3DD8">
      <w:pPr>
        <w:spacing w:after="140" w:line="348" w:lineRule="auto"/>
        <w:ind w:firstLine="403"/>
      </w:pPr>
      <w:r>
        <w:rPr>
          <w:rFonts w:ascii="微软雅黑" w:hAnsi="微软雅黑" w:eastAsia="微软雅黑"/>
          <w:b w:val="0"/>
          <w:color w:val="000000"/>
          <w:sz w:val="21"/>
        </w:rPr>
        <w:t>MessageCapsule 将自由文本转化为目标、子任务、主张、证据、约束变化、置信度、来源、生命周期和状态差分等字段。系统对每名接收者独立判断消息贡献度，剪去重复或过期信息，同时保护约束变化和冲突信息不被压缩删除。这使多智能体协作从“所有人看到所有历史”转为“每个角色接收完成当前职责所必需的信息”。</w:t>
      </w:r>
    </w:p>
    <w:p>
      <w:pPr/>
      <w:r>
        <w:t>4.1.2.1 记忆边界与冲突治理：每条记忆都绑定所有者、可见范围、任务生命周期、来源证据、置信度和版本号。私有记忆默认只向所属 Agent 可见；共享记忆需经显式授权后才进入团队范围；用户偏好与敏感信息按最小权限原则隔离。对同一事实的冲突写入，系统不直接覆盖，而是保留候选版本、标注冲突关系并交由评估 Agent 或人工审批决策；低置信度、过期或无证据支撑的记忆可被降权、压缩或遗忘，避免错误记忆持续污染协作过程。</w:t>
      </w:r>
    </w:p>
    <w:p w14:paraId="6F991F48">
      <w:pPr>
        <w:spacing w:after="140" w:line="348" w:lineRule="auto"/>
        <w:ind w:firstLine="0"/>
      </w:pPr>
      <w:r>
        <w:rPr>
          <w:rFonts w:ascii="微软雅黑" w:hAnsi="微软雅黑" w:eastAsia="微软雅黑"/>
          <w:b/>
          <w:color w:val="000000"/>
          <w:sz w:val="24"/>
        </w:rPr>
        <w:t>4.1.3 端边云调度：让安全、时延和推理能力进入同一决策</w:t>
      </w:r>
    </w:p>
    <w:p w14:paraId="0188B649">
      <w:pPr>
        <w:spacing w:after="140" w:line="348" w:lineRule="auto"/>
        <w:ind w:firstLine="403"/>
      </w:pPr>
      <w:r>
        <w:rPr>
          <w:rFonts w:ascii="微软雅黑" w:hAnsi="微软雅黑" w:eastAsia="微软雅黑"/>
          <w:b w:val="0"/>
          <w:color w:val="000000"/>
          <w:sz w:val="21"/>
        </w:rPr>
        <w:t>TIDE Placement 在节点执行前构造任务画像，识别实时性、数据敏感度、任务复杂度和任务类型。调度器结合设备、边缘、云资源的可用性、错误率、负载、队列、时延与成本生成执行方案。公开高复杂任务可优先调用云端强推理；敏感任务优先保留在可信设备或边缘工作区；仅云端可用的敏感任务会触发人工复核标记，并在外送前执行端侧门控与脱敏。</w:t>
      </w:r>
    </w:p>
    <w:p w14:paraId="155FB22C">
      <w:pPr>
        <w:spacing w:after="140" w:line="348" w:lineRule="auto"/>
        <w:ind w:firstLine="403"/>
      </w:pPr>
      <w:r>
        <w:rPr>
          <w:rFonts w:ascii="微软雅黑" w:hAnsi="微软雅黑" w:eastAsia="微软雅黑"/>
          <w:b w:val="0"/>
          <w:color w:val="000000"/>
          <w:sz w:val="21"/>
        </w:rPr>
        <w:t>资源选择不是页面上的标签，而会被写入 ResourceAllocation 并由统一执行器实际分发。若云端限流或可重试失败，运行器把错误反馈给资源监测模块，下一次调度会避开失效资源并回退到边缘或设备。全过程记录任务画像、资源状态、策略命中、推理阶段与执行结果，便于排障和审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680"/>
        <w:gridCol w:w="3168"/>
      </w:tblGrid>
      <w:tr w14:paraId="690B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8C31AE6">
            <w:pPr>
              <w:spacing w:before="40" w:after="40" w:line="240" w:lineRule="auto"/>
              <w:jc w:val="center"/>
            </w:pPr>
            <w:r>
              <w:rPr>
                <w:rFonts w:ascii="微软雅黑" w:hAnsi="微软雅黑" w:eastAsia="微软雅黑"/>
                <w:b/>
                <w:color w:val="FFFFFF"/>
                <w:sz w:val="19"/>
              </w:rPr>
              <w:t>机制</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F07E1C3">
            <w:pPr>
              <w:spacing w:before="40" w:after="40" w:line="240" w:lineRule="auto"/>
              <w:jc w:val="center"/>
            </w:pPr>
            <w:r>
              <w:rPr>
                <w:rFonts w:ascii="微软雅黑" w:hAnsi="微软雅黑" w:eastAsia="微软雅黑"/>
                <w:b/>
                <w:color w:val="FFFFFF"/>
                <w:sz w:val="19"/>
              </w:rPr>
              <w:t>技术要点</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1F7FF0C">
            <w:pPr>
              <w:spacing w:before="40" w:after="40" w:line="240" w:lineRule="auto"/>
              <w:jc w:val="center"/>
            </w:pPr>
            <w:r>
              <w:rPr>
                <w:rFonts w:ascii="微软雅黑" w:hAnsi="微软雅黑" w:eastAsia="微软雅黑"/>
                <w:b/>
                <w:color w:val="FFFFFF"/>
                <w:sz w:val="19"/>
              </w:rPr>
              <w:t>商业化意义</w:t>
            </w:r>
          </w:p>
        </w:tc>
      </w:tr>
      <w:tr w14:paraId="6EED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D56A718">
            <w:pPr>
              <w:spacing w:before="40" w:after="40" w:line="240" w:lineRule="auto"/>
              <w:jc w:val="center"/>
            </w:pPr>
            <w:r>
              <w:rPr>
                <w:rFonts w:ascii="微软雅黑" w:hAnsi="微软雅黑" w:eastAsia="微软雅黑"/>
                <w:b w:val="0"/>
                <w:color w:val="000000"/>
                <w:sz w:val="18"/>
              </w:rPr>
              <w:t>长程上下文连续性</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F6A22E6">
            <w:pPr>
              <w:spacing w:before="40" w:after="40" w:line="240" w:lineRule="auto"/>
              <w:jc w:val="left"/>
            </w:pPr>
            <w:r>
              <w:rPr>
                <w:rFonts w:ascii="微软雅黑" w:hAnsi="微软雅黑" w:eastAsia="微软雅黑"/>
                <w:b w:val="0"/>
                <w:color w:val="000000"/>
                <w:sz w:val="18"/>
              </w:rPr>
              <w:t>将目标、约束、计划、证据、失败和预算外部化，结合分层检索、压缩与检查点恢复</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AA7BDF">
            <w:pPr>
              <w:spacing w:before="40" w:after="40" w:line="240" w:lineRule="auto"/>
              <w:jc w:val="left"/>
            </w:pPr>
            <w:r>
              <w:rPr>
                <w:rFonts w:ascii="微软雅黑" w:hAnsi="微软雅黑" w:eastAsia="微软雅黑"/>
                <w:b w:val="0"/>
                <w:color w:val="000000"/>
                <w:sz w:val="18"/>
              </w:rPr>
              <w:t>让复杂任务可以跨轮次、跨中断持续推进，并保留审计依据</w:t>
            </w:r>
          </w:p>
        </w:tc>
      </w:tr>
      <w:tr w14:paraId="51C7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E491F7C">
            <w:pPr>
              <w:spacing w:before="40" w:after="40" w:line="240" w:lineRule="auto"/>
              <w:jc w:val="center"/>
            </w:pPr>
            <w:r>
              <w:rPr>
                <w:rFonts w:ascii="微软雅黑" w:hAnsi="微软雅黑" w:eastAsia="微软雅黑"/>
                <w:b w:val="0"/>
                <w:color w:val="000000"/>
                <w:sz w:val="18"/>
              </w:rPr>
              <w:t>TIDE Mesh 动态协作</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516B298">
            <w:pPr>
              <w:spacing w:before="40" w:after="40" w:line="240" w:lineRule="auto"/>
              <w:jc w:val="left"/>
            </w:pPr>
            <w:r>
              <w:rPr>
                <w:rFonts w:ascii="微软雅黑" w:hAnsi="微软雅黑" w:eastAsia="微软雅黑"/>
                <w:b w:val="0"/>
                <w:color w:val="000000"/>
                <w:sz w:val="18"/>
              </w:rPr>
              <w:t>按当前 TODO 对智能体能力、工具、Skill、知识和资源进行硬过滤及评分，支持交接和替补</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E3F239C">
            <w:pPr>
              <w:spacing w:before="40" w:after="40" w:line="240" w:lineRule="auto"/>
              <w:jc w:val="left"/>
            </w:pPr>
            <w:r>
              <w:rPr>
                <w:rFonts w:ascii="微软雅黑" w:hAnsi="微软雅黑" w:eastAsia="微软雅黑"/>
                <w:b w:val="0"/>
                <w:color w:val="000000"/>
                <w:sz w:val="18"/>
              </w:rPr>
              <w:t>避免固定团队闲置与无序广播，使协作投入与任务需求匹配</w:t>
            </w:r>
          </w:p>
        </w:tc>
      </w:tr>
      <w:tr w14:paraId="240A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4B66C15">
            <w:pPr>
              <w:spacing w:before="40" w:after="40" w:line="240" w:lineRule="auto"/>
              <w:jc w:val="left"/>
            </w:pPr>
            <w:r>
              <w:rPr>
                <w:rFonts w:ascii="微软雅黑" w:hAnsi="微软雅黑" w:eastAsia="微软雅黑"/>
                <w:b w:val="0"/>
                <w:color w:val="000000"/>
                <w:sz w:val="18"/>
              </w:rPr>
              <w:t>TIDE Placement 自适应调度</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AA84425">
            <w:pPr>
              <w:spacing w:before="40" w:after="40" w:line="240" w:lineRule="auto"/>
              <w:jc w:val="left"/>
            </w:pPr>
            <w:r>
              <w:rPr>
                <w:rFonts w:ascii="微软雅黑" w:hAnsi="微软雅黑" w:eastAsia="微软雅黑"/>
                <w:b w:val="0"/>
                <w:color w:val="000000"/>
                <w:sz w:val="18"/>
              </w:rPr>
              <w:t>综合实时性、敏感度、复杂度和资源状态，在设备、边缘和云之间选择推理路径</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0A9BC41">
            <w:pPr>
              <w:spacing w:before="40" w:after="40" w:line="240" w:lineRule="auto"/>
              <w:jc w:val="left"/>
            </w:pPr>
            <w:r>
              <w:rPr>
                <w:rFonts w:ascii="微软雅黑" w:hAnsi="微软雅黑" w:eastAsia="微软雅黑"/>
                <w:b w:val="0"/>
                <w:color w:val="000000"/>
                <w:sz w:val="18"/>
              </w:rPr>
              <w:t>支持性能、成本和数据边界的可解释权衡</w:t>
            </w:r>
          </w:p>
        </w:tc>
      </w:tr>
    </w:tbl>
    <w:p w14:paraId="10A6FC52">
      <w:pPr>
        <w:spacing w:after="40"/>
      </w:pPr>
    </w:p>
    <w:p w14:paraId="55C25D98">
      <w:pPr>
        <w:pStyle w:val="4"/>
        <w:spacing w:before="200" w:after="140"/>
      </w:pPr>
      <w:bookmarkStart w:id="10" w:name="_Toc5918"/>
      <w:r>
        <w:rPr>
          <w:rFonts w:ascii="微软雅黑" w:hAnsi="微软雅黑" w:eastAsia="微软雅黑"/>
          <w:b/>
          <w:color w:val="000000"/>
          <w:sz w:val="24"/>
        </w:rPr>
        <w:t>4.2 已有验证基础</w:t>
      </w:r>
      <w:bookmarkEnd w:id="10"/>
    </w:p>
    <w:p w14:paraId="0B418127">
      <w:pPr>
        <w:spacing w:after="140" w:line="348" w:lineRule="auto"/>
        <w:ind w:firstLine="0"/>
      </w:pPr>
      <w:r>
        <w:rPr>
          <w:rFonts w:ascii="微软雅黑" w:hAnsi="微软雅黑" w:eastAsia="微软雅黑"/>
          <w:b/>
          <w:color w:val="000000"/>
          <w:sz w:val="24"/>
        </w:rPr>
        <w:t>4.2.1 从技术机制到平台能力</w:t>
      </w:r>
    </w:p>
    <w:p w14:paraId="124B4BF7">
      <w:pPr>
        <w:spacing w:after="140" w:line="348" w:lineRule="auto"/>
        <w:ind w:firstLine="403"/>
      </w:pPr>
      <w:r>
        <w:rPr>
          <w:rFonts w:ascii="微软雅黑" w:hAnsi="微软雅黑" w:eastAsia="微软雅黑"/>
          <w:b w:val="0"/>
          <w:color w:val="000000"/>
          <w:sz w:val="21"/>
        </w:rPr>
        <w:t>上述机制已被接入同一图执行生命周期：节点开始时加载 Ledger、记忆、私有消息和资源分配；节点结束时固化事实、归档长结果、更新 TODO 和检查点；质量门和故障恢复器根据结果驱动下一轮规划。前端的应用管理、工作流画布、任务中心和运行观测并非与底层机制割裂的演示界面，而是将模型、工具、Skill、知识、记忆、审批和运行事件暴露给用户的控制台。</w:t>
      </w:r>
    </w:p>
    <w:p w14:paraId="288510E2">
      <w:pPr>
        <w:spacing w:after="140" w:line="348" w:lineRule="auto"/>
        <w:ind w:firstLine="403"/>
      </w:pPr>
      <w:r>
        <w:rPr>
          <w:rFonts w:ascii="微软雅黑" w:hAnsi="微软雅黑" w:eastAsia="微软雅黑"/>
          <w:b w:val="0"/>
          <w:color w:val="000000"/>
          <w:sz w:val="21"/>
        </w:rPr>
        <w:t>对用户而言，这意味着一次任务不仅得到最终答案，还能看到当前执行到哪一步、哪些智能体被选择、调用了哪些工具、是否发生审批、为何返工、何时切换资源，以及可从哪一个检查点恢复。对客户交付而言，这些事件也是后续复盘、合规说明、流程优化和行业模板沉淀的依据。</w:t>
      </w:r>
    </w:p>
    <w:p w14:paraId="48B9ED4D">
      <w:pPr>
        <w:spacing w:after="140" w:line="348" w:lineRule="auto"/>
        <w:ind w:firstLine="403"/>
        <w:sectPr>
          <w:type w:val="nextPage"/>
          <w:footerReference r:id="rId5" w:type="default"/>
          <w:pgSz w:w="12240" w:h="15840"/>
          <w:pgMar w:top="1037" w:right="1080" w:bottom="979" w:left="1080" w:header="720" w:footer="720" w:gutter="0"/>
          <w:cols w:space="720" w:num="1"/>
          <w:docGrid w:linePitch="360" w:charSpace="0"/>
        </w:sectPr>
      </w:pPr>
      <w:r>
        <w:t>项目已在 LoCoMo 多轮任务构造集上完成上下文连续性实验。表 1 以 Plain Agent 作为未启用结构化记忆体的参考基线，并与不同记忆/上下文策略及完整系统进行对照；完整系统在 100 条任务中取得目标保持率 0.90、约束保持率 0.85、漂移率 0.10、中断恢复率 0.91、预算违规率 0.00，平均上下文为 954 tokens。在相同条件下，全上下文基线平均上下文为 13,440 tokens。表 2 进一步对比固定稀疏编排、仅动态选择和完整动态编排的通过率，用于验证协作成员选择与记忆调用相结合对任务完成效果的影响。</w:t>
      </w:r>
    </w:p>
    <w:p>
      <w:pPr>
        <w:keepNext/>
        <w:spacing w:before="0" w:after="120"/>
        <w:jc w:val="center"/>
      </w:pPr>
      <w:r>
        <w:rPr>
          <w:rFonts w:ascii="Arial" w:hAnsi="Arial" w:eastAsia="宋体"/>
          <w:b/>
          <w:sz w:val="21"/>
        </w:rPr>
        <w:t>表 1 LoCoMo 多轮任务集上的上下文连续性实验结果</w:t>
      </w:r>
    </w:p>
    <w:tbl>
      <w:tblPr>
        <w:tblStyle w:val="35"/>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16"/>
        <w:gridCol w:w="916"/>
        <w:gridCol w:w="916"/>
        <w:gridCol w:w="916"/>
        <w:gridCol w:w="916"/>
        <w:gridCol w:w="916"/>
        <w:gridCol w:w="916"/>
        <w:gridCol w:w="916"/>
        <w:gridCol w:w="916"/>
        <w:gridCol w:w="916"/>
        <w:gridCol w:w="916"/>
      </w:tblGrid>
      <w:tr>
        <w:trPr>
          <w:tblHeader w:val="true"/>
        </w:trPr>
        <w:tc>
          <w:tcPr>
            <w:tcW w:type="dxa" w:w="1944"/>
            <w:shd w:fill="1F4E78"/>
            <w:tcMar>
              <w:top w:w="60" w:type="dxa"/>
              <w:start w:w="65" w:type="dxa"/>
              <w:bottom w:w="60" w:type="dxa"/>
              <w:end w:w="65" w:type="dxa"/>
            </w:tcMar>
            <w:vAlign w:val="center"/>
          </w:tcPr>
          <w:p>
            <w:pPr>
              <w:spacing w:after="0"/>
              <w:jc w:val="center"/>
            </w:pPr>
            <w:r>
              <w:rPr>
                <w:rFonts w:ascii="Arial" w:hAnsi="Arial" w:eastAsia="宋体"/>
                <w:b/>
                <w:color w:val="FFFFFF"/>
                <w:sz w:val="15"/>
              </w:rPr>
              <w:t>Method</w:t>
            </w:r>
          </w:p>
        </w:tc>
        <w:tc>
          <w:tcPr>
            <w:tcW w:type="dxa" w:w="503"/>
            <w:shd w:fill="1F4E78"/>
            <w:tcMar>
              <w:top w:w="60" w:type="dxa"/>
              <w:start w:w="65" w:type="dxa"/>
              <w:bottom w:w="60" w:type="dxa"/>
              <w:end w:w="65" w:type="dxa"/>
            </w:tcMar>
            <w:vAlign w:val="center"/>
          </w:tcPr>
          <w:p>
            <w:pPr>
              <w:spacing w:after="0"/>
              <w:jc w:val="center"/>
            </w:pPr>
            <w:r>
              <w:rPr>
                <w:rFonts w:ascii="Arial" w:hAnsi="Arial" w:eastAsia="宋体"/>
                <w:b/>
                <w:color w:val="FFFFFF"/>
                <w:sz w:val="15"/>
              </w:rPr>
              <w:t>N</w:t>
            </w:r>
          </w:p>
        </w:tc>
        <w:tc>
          <w:tcPr>
            <w:tcW w:type="dxa" w:w="1224"/>
            <w:shd w:fill="1F4E78"/>
            <w:tcMar>
              <w:top w:w="60" w:type="dxa"/>
              <w:start w:w="65" w:type="dxa"/>
              <w:bottom w:w="60" w:type="dxa"/>
              <w:end w:w="65" w:type="dxa"/>
            </w:tcMar>
            <w:vAlign w:val="center"/>
          </w:tcPr>
          <w:p>
            <w:pPr>
              <w:spacing w:after="0"/>
              <w:jc w:val="center"/>
            </w:pPr>
            <w:r>
              <w:rPr>
                <w:rFonts w:ascii="Arial" w:hAnsi="Arial" w:eastAsia="宋体"/>
                <w:b/>
                <w:color w:val="FFFFFF"/>
                <w:sz w:val="15"/>
              </w:rPr>
              <w:t>Evidence Suff.</w:t>
            </w:r>
          </w:p>
        </w:tc>
        <w:tc>
          <w:tcPr>
            <w:tcW w:type="dxa" w:w="1224"/>
            <w:shd w:fill="1F4E78"/>
            <w:tcMar>
              <w:top w:w="60" w:type="dxa"/>
              <w:start w:w="65" w:type="dxa"/>
              <w:bottom w:w="60" w:type="dxa"/>
              <w:end w:w="65" w:type="dxa"/>
            </w:tcMar>
            <w:vAlign w:val="center"/>
          </w:tcPr>
          <w:p>
            <w:pPr>
              <w:spacing w:after="0"/>
              <w:jc w:val="center"/>
            </w:pPr>
            <w:r>
              <w:rPr>
                <w:rFonts w:ascii="Arial" w:hAnsi="Arial" w:eastAsia="宋体"/>
                <w:b/>
                <w:color w:val="FFFFFF"/>
                <w:sz w:val="15"/>
              </w:rPr>
              <w:t>Gold Recall@5</w:t>
            </w:r>
          </w:p>
        </w:tc>
        <w:tc>
          <w:tcPr>
            <w:tcW w:type="dxa" w:w="1224"/>
            <w:shd w:fill="1F4E78"/>
            <w:tcMar>
              <w:top w:w="60" w:type="dxa"/>
              <w:start w:w="65" w:type="dxa"/>
              <w:bottom w:w="60" w:type="dxa"/>
              <w:end w:w="65" w:type="dxa"/>
            </w:tcMar>
            <w:vAlign w:val="center"/>
          </w:tcPr>
          <w:p>
            <w:pPr>
              <w:spacing w:after="0"/>
              <w:jc w:val="center"/>
            </w:pPr>
            <w:r>
              <w:rPr>
                <w:rFonts w:ascii="Arial" w:hAnsi="Arial" w:eastAsia="宋体"/>
                <w:b/>
                <w:color w:val="FFFFFF"/>
                <w:sz w:val="15"/>
              </w:rPr>
              <w:t>Memory Use Acc.</w:t>
            </w:r>
          </w:p>
        </w:tc>
        <w:tc>
          <w:tcPr>
            <w:tcW w:type="dxa" w:w="1152"/>
            <w:shd w:fill="1F4E78"/>
            <w:tcMar>
              <w:top w:w="60" w:type="dxa"/>
              <w:start w:w="65" w:type="dxa"/>
              <w:bottom w:w="60" w:type="dxa"/>
              <w:end w:w="65" w:type="dxa"/>
            </w:tcMar>
            <w:vAlign w:val="center"/>
          </w:tcPr>
          <w:p>
            <w:pPr>
              <w:spacing w:after="0"/>
              <w:jc w:val="center"/>
            </w:pPr>
            <w:r>
              <w:rPr>
                <w:rFonts w:ascii="Arial" w:hAnsi="Arial" w:eastAsia="宋体"/>
                <w:b/>
                <w:color w:val="FFFFFF"/>
                <w:sz w:val="15"/>
              </w:rPr>
              <w:t>Goal Retention</w:t>
            </w:r>
          </w:p>
        </w:tc>
        <w:tc>
          <w:tcPr>
            <w:tcW w:type="dxa" w:w="1152"/>
            <w:shd w:fill="1F4E78"/>
            <w:tcMar>
              <w:top w:w="60" w:type="dxa"/>
              <w:start w:w="65" w:type="dxa"/>
              <w:bottom w:w="60" w:type="dxa"/>
              <w:end w:w="65" w:type="dxa"/>
            </w:tcMar>
            <w:vAlign w:val="center"/>
          </w:tcPr>
          <w:p>
            <w:pPr>
              <w:spacing w:after="0"/>
              <w:jc w:val="center"/>
            </w:pPr>
            <w:r>
              <w:rPr>
                <w:rFonts w:ascii="Arial" w:hAnsi="Arial" w:eastAsia="宋体"/>
                <w:b/>
                <w:color w:val="FFFFFF"/>
                <w:sz w:val="15"/>
              </w:rPr>
              <w:t>Constraint</w:t>
            </w:r>
          </w:p>
        </w:tc>
        <w:tc>
          <w:tcPr>
            <w:tcW w:type="dxa" w:w="1080"/>
            <w:shd w:fill="1F4E78"/>
            <w:tcMar>
              <w:top w:w="60" w:type="dxa"/>
              <w:start w:w="65" w:type="dxa"/>
              <w:bottom w:w="60" w:type="dxa"/>
              <w:end w:w="65" w:type="dxa"/>
            </w:tcMar>
            <w:vAlign w:val="center"/>
          </w:tcPr>
          <w:p>
            <w:pPr>
              <w:spacing w:after="0"/>
              <w:jc w:val="center"/>
            </w:pPr>
            <w:r>
              <w:rPr>
                <w:rFonts w:ascii="Arial" w:hAnsi="Arial" w:eastAsia="宋体"/>
                <w:b/>
                <w:color w:val="FFFFFF"/>
                <w:sz w:val="15"/>
              </w:rPr>
              <w:t>Drift Rate</w:t>
            </w:r>
          </w:p>
        </w:tc>
        <w:tc>
          <w:tcPr>
            <w:tcW w:type="dxa" w:w="1152"/>
            <w:shd w:fill="1F4E78"/>
            <w:tcMar>
              <w:top w:w="60" w:type="dxa"/>
              <w:start w:w="65" w:type="dxa"/>
              <w:bottom w:w="60" w:type="dxa"/>
              <w:end w:w="65" w:type="dxa"/>
            </w:tcMar>
            <w:vAlign w:val="center"/>
          </w:tcPr>
          <w:p>
            <w:pPr>
              <w:spacing w:after="0"/>
              <w:jc w:val="center"/>
            </w:pPr>
            <w:r>
              <w:rPr>
                <w:rFonts w:ascii="Arial" w:hAnsi="Arial" w:eastAsia="宋体"/>
                <w:b/>
                <w:color w:val="FFFFFF"/>
                <w:sz w:val="15"/>
              </w:rPr>
              <w:t>Recovery</w:t>
            </w:r>
          </w:p>
        </w:tc>
        <w:tc>
          <w:tcPr>
            <w:tcW w:type="dxa" w:w="1296"/>
            <w:shd w:fill="1F4E78"/>
            <w:tcMar>
              <w:top w:w="60" w:type="dxa"/>
              <w:start w:w="65" w:type="dxa"/>
              <w:bottom w:w="60" w:type="dxa"/>
              <w:end w:w="65" w:type="dxa"/>
            </w:tcMar>
            <w:vAlign w:val="center"/>
          </w:tcPr>
          <w:p>
            <w:pPr>
              <w:spacing w:after="0"/>
              <w:jc w:val="center"/>
            </w:pPr>
            <w:r>
              <w:rPr>
                <w:rFonts w:ascii="Arial" w:hAnsi="Arial" w:eastAsia="宋体"/>
                <w:b/>
                <w:color w:val="FFFFFF"/>
                <w:sz w:val="15"/>
              </w:rPr>
              <w:t>Budget Violation</w:t>
            </w:r>
          </w:p>
        </w:tc>
        <w:tc>
          <w:tcPr>
            <w:tcW w:type="dxa" w:w="1728"/>
            <w:shd w:fill="1F4E78"/>
            <w:tcMar>
              <w:top w:w="60" w:type="dxa"/>
              <w:start w:w="65" w:type="dxa"/>
              <w:bottom w:w="60" w:type="dxa"/>
              <w:end w:w="65" w:type="dxa"/>
            </w:tcMar>
            <w:vAlign w:val="center"/>
          </w:tcPr>
          <w:p>
            <w:pPr>
              <w:spacing w:after="0"/>
              <w:jc w:val="center"/>
            </w:pPr>
            <w:r>
              <w:rPr>
                <w:rFonts w:ascii="Arial" w:hAnsi="Arial" w:eastAsia="宋体"/>
                <w:b/>
                <w:color w:val="FFFFFF"/>
                <w:sz w:val="15"/>
              </w:rPr>
              <w:t>Avg Context Tokens</w:t>
            </w:r>
          </w:p>
        </w:tc>
      </w:tr>
      <w:tr>
        <w:tc>
          <w:tcPr>
            <w:tcW w:type="dxa" w:w="1944"/>
            <w:shd w:fill="FFFFFF"/>
            <w:tcMar>
              <w:top w:w="60" w:type="dxa"/>
              <w:start w:w="65" w:type="dxa"/>
              <w:bottom w:w="60" w:type="dxa"/>
              <w:end w:w="65" w:type="dxa"/>
            </w:tcMar>
            <w:vAlign w:val="center"/>
          </w:tcPr>
          <w:p>
            <w:pPr>
              <w:spacing w:after="0"/>
              <w:jc w:val="left"/>
            </w:pPr>
            <w:r>
              <w:rPr>
                <w:rFonts w:ascii="Arial" w:hAnsi="Arial" w:eastAsia="宋体"/>
                <w:b w:val="0"/>
                <w:sz w:val="16"/>
              </w:rPr>
              <w:t>Plain Agent</w:t>
            </w:r>
          </w:p>
        </w:tc>
        <w:tc>
          <w:tcPr>
            <w:tcW w:type="dxa" w:w="503"/>
            <w:shd w:fill="FFFFFF"/>
            <w:tcMar>
              <w:top w:w="60" w:type="dxa"/>
              <w:start w:w="65" w:type="dxa"/>
              <w:bottom w:w="60" w:type="dxa"/>
              <w:end w:w="65" w:type="dxa"/>
            </w:tcMar>
            <w:vAlign w:val="center"/>
          </w:tcPr>
          <w:p>
            <w:pPr>
              <w:spacing w:after="0"/>
              <w:jc w:val="center"/>
            </w:pPr>
            <w:r>
              <w:rPr>
                <w:rFonts w:ascii="Arial" w:hAnsi="Arial" w:eastAsia="宋体"/>
                <w:b w:val="0"/>
                <w:sz w:val="16"/>
              </w:rPr>
              <w:t>100</w:t>
            </w:r>
          </w:p>
        </w:tc>
        <w:tc>
          <w:tcPr>
            <w:tcW w:type="dxa" w:w="1224"/>
            <w:shd w:fill="FFFFFF"/>
            <w:tcMar>
              <w:top w:w="60" w:type="dxa"/>
              <w:start w:w="65" w:type="dxa"/>
              <w:bottom w:w="60" w:type="dxa"/>
              <w:end w:w="65" w:type="dxa"/>
            </w:tcMar>
            <w:vAlign w:val="center"/>
          </w:tcPr>
          <w:p>
            <w:pPr>
              <w:spacing w:after="0"/>
              <w:jc w:val="center"/>
            </w:pPr>
            <w:r>
              <w:rPr>
                <w:rFonts w:ascii="Arial" w:hAnsi="Arial" w:eastAsia="宋体"/>
                <w:b w:val="0"/>
                <w:sz w:val="16"/>
              </w:rPr>
              <w:t>0.00</w:t>
            </w:r>
          </w:p>
        </w:tc>
        <w:tc>
          <w:tcPr>
            <w:tcW w:type="dxa" w:w="1224"/>
            <w:shd w:fill="FFFFFF"/>
            <w:tcMar>
              <w:top w:w="60" w:type="dxa"/>
              <w:start w:w="65" w:type="dxa"/>
              <w:bottom w:w="60" w:type="dxa"/>
              <w:end w:w="65" w:type="dxa"/>
            </w:tcMar>
            <w:vAlign w:val="center"/>
          </w:tcPr>
          <w:p>
            <w:pPr>
              <w:spacing w:after="0"/>
              <w:jc w:val="center"/>
            </w:pPr>
            <w:r>
              <w:rPr>
                <w:rFonts w:ascii="Arial" w:hAnsi="Arial" w:eastAsia="宋体"/>
                <w:b w:val="0"/>
                <w:sz w:val="16"/>
              </w:rPr>
              <w:t>0.00</w:t>
            </w:r>
          </w:p>
        </w:tc>
        <w:tc>
          <w:tcPr>
            <w:tcW w:type="dxa" w:w="1224"/>
            <w:shd w:fill="FFFFFF"/>
            <w:tcMar>
              <w:top w:w="60" w:type="dxa"/>
              <w:start w:w="65" w:type="dxa"/>
              <w:bottom w:w="60" w:type="dxa"/>
              <w:end w:w="65" w:type="dxa"/>
            </w:tcMar>
            <w:vAlign w:val="center"/>
          </w:tcPr>
          <w:p>
            <w:pPr>
              <w:spacing w:after="0"/>
              <w:jc w:val="center"/>
            </w:pPr>
            <w:r>
              <w:rPr>
                <w:rFonts w:ascii="Arial" w:hAnsi="Arial" w:eastAsia="宋体"/>
                <w:b w:val="0"/>
                <w:sz w:val="16"/>
              </w:rPr>
              <w:t>0.00</w:t>
            </w:r>
          </w:p>
        </w:tc>
        <w:tc>
          <w:tcPr>
            <w:tcW w:type="dxa" w:w="1152"/>
            <w:shd w:fill="FFFFFF"/>
            <w:tcMar>
              <w:top w:w="60" w:type="dxa"/>
              <w:start w:w="65" w:type="dxa"/>
              <w:bottom w:w="60" w:type="dxa"/>
              <w:end w:w="65" w:type="dxa"/>
            </w:tcMar>
            <w:vAlign w:val="center"/>
          </w:tcPr>
          <w:p>
            <w:pPr>
              <w:spacing w:after="0"/>
              <w:jc w:val="center"/>
            </w:pPr>
            <w:r>
              <w:rPr>
                <w:rFonts w:ascii="Arial" w:hAnsi="Arial" w:eastAsia="宋体"/>
                <w:b w:val="0"/>
                <w:sz w:val="16"/>
              </w:rPr>
              <w:t>0.60</w:t>
            </w:r>
          </w:p>
        </w:tc>
        <w:tc>
          <w:tcPr>
            <w:tcW w:type="dxa" w:w="1152"/>
            <w:shd w:fill="FFFFFF"/>
            <w:tcMar>
              <w:top w:w="60" w:type="dxa"/>
              <w:start w:w="65" w:type="dxa"/>
              <w:bottom w:w="60" w:type="dxa"/>
              <w:end w:w="65" w:type="dxa"/>
            </w:tcMar>
            <w:vAlign w:val="center"/>
          </w:tcPr>
          <w:p>
            <w:pPr>
              <w:spacing w:after="0"/>
              <w:jc w:val="center"/>
            </w:pPr>
            <w:r>
              <w:rPr>
                <w:rFonts w:ascii="Arial" w:hAnsi="Arial" w:eastAsia="宋体"/>
                <w:b w:val="0"/>
                <w:sz w:val="16"/>
              </w:rPr>
              <w:t>0.56</w:t>
            </w:r>
          </w:p>
        </w:tc>
        <w:tc>
          <w:tcPr>
            <w:tcW w:type="dxa" w:w="1080"/>
            <w:shd w:fill="FFFFFF"/>
            <w:tcMar>
              <w:top w:w="60" w:type="dxa"/>
              <w:start w:w="65" w:type="dxa"/>
              <w:bottom w:w="60" w:type="dxa"/>
              <w:end w:w="65" w:type="dxa"/>
            </w:tcMar>
            <w:vAlign w:val="center"/>
          </w:tcPr>
          <w:p>
            <w:pPr>
              <w:spacing w:after="0"/>
              <w:jc w:val="center"/>
            </w:pPr>
            <w:r>
              <w:rPr>
                <w:rFonts w:ascii="Arial" w:hAnsi="Arial" w:eastAsia="宋体"/>
                <w:b w:val="0"/>
                <w:sz w:val="16"/>
              </w:rPr>
              <w:t>0.40</w:t>
            </w:r>
          </w:p>
        </w:tc>
        <w:tc>
          <w:tcPr>
            <w:tcW w:type="dxa" w:w="1152"/>
            <w:shd w:fill="FFFFFF"/>
            <w:tcMar>
              <w:top w:w="60" w:type="dxa"/>
              <w:start w:w="65" w:type="dxa"/>
              <w:bottom w:w="60" w:type="dxa"/>
              <w:end w:w="65" w:type="dxa"/>
            </w:tcMar>
            <w:vAlign w:val="center"/>
          </w:tcPr>
          <w:p>
            <w:pPr>
              <w:spacing w:after="0"/>
              <w:jc w:val="center"/>
            </w:pPr>
            <w:r>
              <w:rPr>
                <w:rFonts w:ascii="Arial" w:hAnsi="Arial" w:eastAsia="宋体"/>
                <w:b w:val="0"/>
                <w:sz w:val="16"/>
              </w:rPr>
              <w:t>0.21</w:t>
            </w:r>
          </w:p>
        </w:tc>
        <w:tc>
          <w:tcPr>
            <w:tcW w:type="dxa" w:w="1296"/>
            <w:shd w:fill="FFFFFF"/>
            <w:tcMar>
              <w:top w:w="60" w:type="dxa"/>
              <w:start w:w="65" w:type="dxa"/>
              <w:bottom w:w="60" w:type="dxa"/>
              <w:end w:w="65" w:type="dxa"/>
            </w:tcMar>
            <w:vAlign w:val="center"/>
          </w:tcPr>
          <w:p>
            <w:pPr>
              <w:spacing w:after="0"/>
              <w:jc w:val="center"/>
            </w:pPr>
            <w:r>
              <w:rPr>
                <w:rFonts w:ascii="Arial" w:hAnsi="Arial" w:eastAsia="宋体"/>
                <w:b w:val="0"/>
                <w:sz w:val="16"/>
              </w:rPr>
              <w:t>0.17</w:t>
            </w:r>
          </w:p>
        </w:tc>
        <w:tc>
          <w:tcPr>
            <w:tcW w:type="dxa" w:w="1728"/>
            <w:shd w:fill="FFFFFF"/>
            <w:tcMar>
              <w:top w:w="60" w:type="dxa"/>
              <w:start w:w="65" w:type="dxa"/>
              <w:bottom w:w="60" w:type="dxa"/>
              <w:end w:w="65" w:type="dxa"/>
            </w:tcMar>
            <w:vAlign w:val="center"/>
          </w:tcPr>
          <w:p>
            <w:pPr>
              <w:spacing w:after="0"/>
              <w:jc w:val="center"/>
            </w:pPr>
            <w:r>
              <w:rPr>
                <w:rFonts w:ascii="Arial" w:hAnsi="Arial" w:eastAsia="宋体"/>
                <w:b w:val="0"/>
                <w:sz w:val="16"/>
              </w:rPr>
              <w:t>1,132</w:t>
            </w:r>
          </w:p>
        </w:tc>
      </w:tr>
      <w:tr>
        <w:tc>
          <w:tcPr>
            <w:tcW w:type="dxa" w:w="1944"/>
            <w:shd w:fill="F3F7FB"/>
            <w:tcMar>
              <w:top w:w="60" w:type="dxa"/>
              <w:start w:w="65" w:type="dxa"/>
              <w:bottom w:w="60" w:type="dxa"/>
              <w:end w:w="65" w:type="dxa"/>
            </w:tcMar>
            <w:vAlign w:val="center"/>
          </w:tcPr>
          <w:p>
            <w:pPr>
              <w:spacing w:after="0"/>
              <w:jc w:val="left"/>
            </w:pPr>
            <w:r>
              <w:rPr>
                <w:rFonts w:ascii="Arial" w:hAnsi="Arial" w:eastAsia="宋体"/>
                <w:b w:val="0"/>
                <w:sz w:val="16"/>
              </w:rPr>
              <w:t>Full-Context Agent</w:t>
            </w:r>
          </w:p>
        </w:tc>
        <w:tc>
          <w:tcPr>
            <w:tcW w:type="dxa" w:w="503"/>
            <w:shd w:fill="F3F7FB"/>
            <w:tcMar>
              <w:top w:w="60" w:type="dxa"/>
              <w:start w:w="65" w:type="dxa"/>
              <w:bottom w:w="60" w:type="dxa"/>
              <w:end w:w="65" w:type="dxa"/>
            </w:tcMar>
            <w:vAlign w:val="center"/>
          </w:tcPr>
          <w:p>
            <w:pPr>
              <w:spacing w:after="0"/>
              <w:jc w:val="center"/>
            </w:pPr>
            <w:r>
              <w:rPr>
                <w:rFonts w:ascii="Arial" w:hAnsi="Arial" w:eastAsia="宋体"/>
                <w:b w:val="0"/>
                <w:sz w:val="16"/>
              </w:rPr>
              <w:t>100</w:t>
            </w:r>
          </w:p>
        </w:tc>
        <w:tc>
          <w:tcPr>
            <w:tcW w:type="dxa" w:w="1224"/>
            <w:shd w:fill="F3F7FB"/>
            <w:tcMar>
              <w:top w:w="60" w:type="dxa"/>
              <w:start w:w="65" w:type="dxa"/>
              <w:bottom w:w="60" w:type="dxa"/>
              <w:end w:w="65" w:type="dxa"/>
            </w:tcMar>
            <w:vAlign w:val="center"/>
          </w:tcPr>
          <w:p>
            <w:pPr>
              <w:spacing w:after="0"/>
              <w:jc w:val="center"/>
            </w:pPr>
            <w:r>
              <w:rPr>
                <w:rFonts w:ascii="Arial" w:hAnsi="Arial" w:eastAsia="宋体"/>
                <w:b w:val="0"/>
                <w:sz w:val="16"/>
              </w:rPr>
              <w:t>0.40</w:t>
            </w:r>
          </w:p>
        </w:tc>
        <w:tc>
          <w:tcPr>
            <w:tcW w:type="dxa" w:w="1224"/>
            <w:shd w:fill="F3F7FB"/>
            <w:tcMar>
              <w:top w:w="60" w:type="dxa"/>
              <w:start w:w="65" w:type="dxa"/>
              <w:bottom w:w="60" w:type="dxa"/>
              <w:end w:w="65" w:type="dxa"/>
            </w:tcMar>
            <w:vAlign w:val="center"/>
          </w:tcPr>
          <w:p>
            <w:pPr>
              <w:spacing w:after="0"/>
              <w:jc w:val="center"/>
            </w:pPr>
            <w:r>
              <w:rPr>
                <w:rFonts w:ascii="Arial" w:hAnsi="Arial" w:eastAsia="宋体"/>
                <w:b w:val="0"/>
                <w:sz w:val="16"/>
              </w:rPr>
              <w:t>0.54</w:t>
            </w:r>
          </w:p>
        </w:tc>
        <w:tc>
          <w:tcPr>
            <w:tcW w:type="dxa" w:w="1224"/>
            <w:shd w:fill="F3F7FB"/>
            <w:tcMar>
              <w:top w:w="60" w:type="dxa"/>
              <w:start w:w="65" w:type="dxa"/>
              <w:bottom w:w="60" w:type="dxa"/>
              <w:end w:w="65" w:type="dxa"/>
            </w:tcMar>
            <w:vAlign w:val="center"/>
          </w:tcPr>
          <w:p>
            <w:pPr>
              <w:spacing w:after="0"/>
              <w:jc w:val="center"/>
            </w:pPr>
            <w:r>
              <w:rPr>
                <w:rFonts w:ascii="Arial" w:hAnsi="Arial" w:eastAsia="宋体"/>
                <w:b w:val="0"/>
                <w:sz w:val="16"/>
              </w:rPr>
              <w:t>0.24</w:t>
            </w:r>
          </w:p>
        </w:tc>
        <w:tc>
          <w:tcPr>
            <w:tcW w:type="dxa" w:w="1152"/>
            <w:shd w:fill="F3F7FB"/>
            <w:tcMar>
              <w:top w:w="60" w:type="dxa"/>
              <w:start w:w="65" w:type="dxa"/>
              <w:bottom w:w="60" w:type="dxa"/>
              <w:end w:w="65" w:type="dxa"/>
            </w:tcMar>
            <w:vAlign w:val="center"/>
          </w:tcPr>
          <w:p>
            <w:pPr>
              <w:spacing w:after="0"/>
              <w:jc w:val="center"/>
            </w:pPr>
            <w:r>
              <w:rPr>
                <w:rFonts w:ascii="Arial" w:hAnsi="Arial" w:eastAsia="宋体"/>
                <w:b w:val="0"/>
                <w:sz w:val="16"/>
              </w:rPr>
              <w:t>0.76</w:t>
            </w:r>
          </w:p>
        </w:tc>
        <w:tc>
          <w:tcPr>
            <w:tcW w:type="dxa" w:w="1152"/>
            <w:shd w:fill="F3F7FB"/>
            <w:tcMar>
              <w:top w:w="60" w:type="dxa"/>
              <w:start w:w="65" w:type="dxa"/>
              <w:bottom w:w="60" w:type="dxa"/>
              <w:end w:w="65" w:type="dxa"/>
            </w:tcMar>
            <w:vAlign w:val="center"/>
          </w:tcPr>
          <w:p>
            <w:pPr>
              <w:spacing w:after="0"/>
              <w:jc w:val="center"/>
            </w:pPr>
            <w:r>
              <w:rPr>
                <w:rFonts w:ascii="Arial" w:hAnsi="Arial" w:eastAsia="宋体"/>
                <w:b w:val="0"/>
                <w:sz w:val="16"/>
              </w:rPr>
              <w:t>0.70</w:t>
            </w:r>
          </w:p>
        </w:tc>
        <w:tc>
          <w:tcPr>
            <w:tcW w:type="dxa" w:w="1080"/>
            <w:shd w:fill="F3F7FB"/>
            <w:tcMar>
              <w:top w:w="60" w:type="dxa"/>
              <w:start w:w="65" w:type="dxa"/>
              <w:bottom w:w="60" w:type="dxa"/>
              <w:end w:w="65" w:type="dxa"/>
            </w:tcMar>
            <w:vAlign w:val="center"/>
          </w:tcPr>
          <w:p>
            <w:pPr>
              <w:spacing w:after="0"/>
              <w:jc w:val="center"/>
            </w:pPr>
            <w:r>
              <w:rPr>
                <w:rFonts w:ascii="Arial" w:hAnsi="Arial" w:eastAsia="宋体"/>
                <w:b w:val="0"/>
                <w:sz w:val="16"/>
              </w:rPr>
              <w:t>0.25</w:t>
            </w:r>
          </w:p>
        </w:tc>
        <w:tc>
          <w:tcPr>
            <w:tcW w:type="dxa" w:w="1152"/>
            <w:shd w:fill="F3F7FB"/>
            <w:tcMar>
              <w:top w:w="60" w:type="dxa"/>
              <w:start w:w="65" w:type="dxa"/>
              <w:bottom w:w="60" w:type="dxa"/>
              <w:end w:w="65" w:type="dxa"/>
            </w:tcMar>
            <w:vAlign w:val="center"/>
          </w:tcPr>
          <w:p>
            <w:pPr>
              <w:spacing w:after="0"/>
              <w:jc w:val="center"/>
            </w:pPr>
            <w:r>
              <w:rPr>
                <w:rFonts w:ascii="Arial" w:hAnsi="Arial" w:eastAsia="宋体"/>
                <w:b w:val="0"/>
                <w:sz w:val="16"/>
              </w:rPr>
              <w:t>0.78</w:t>
            </w:r>
          </w:p>
        </w:tc>
        <w:tc>
          <w:tcPr>
            <w:tcW w:type="dxa" w:w="1296"/>
            <w:shd w:fill="F3F7FB"/>
            <w:tcMar>
              <w:top w:w="60" w:type="dxa"/>
              <w:start w:w="65" w:type="dxa"/>
              <w:bottom w:w="60" w:type="dxa"/>
              <w:end w:w="65" w:type="dxa"/>
            </w:tcMar>
            <w:vAlign w:val="center"/>
          </w:tcPr>
          <w:p>
            <w:pPr>
              <w:spacing w:after="0"/>
              <w:jc w:val="center"/>
            </w:pPr>
            <w:r>
              <w:rPr>
                <w:rFonts w:ascii="Arial" w:hAnsi="Arial" w:eastAsia="宋体"/>
                <w:b w:val="0"/>
                <w:sz w:val="16"/>
              </w:rPr>
              <w:t>0.82</w:t>
            </w:r>
          </w:p>
        </w:tc>
        <w:tc>
          <w:tcPr>
            <w:tcW w:type="dxa" w:w="1728"/>
            <w:shd w:fill="F3F7FB"/>
            <w:tcMar>
              <w:top w:w="60" w:type="dxa"/>
              <w:start w:w="65" w:type="dxa"/>
              <w:bottom w:w="60" w:type="dxa"/>
              <w:end w:w="65" w:type="dxa"/>
            </w:tcMar>
            <w:vAlign w:val="center"/>
          </w:tcPr>
          <w:p>
            <w:pPr>
              <w:spacing w:after="0"/>
              <w:jc w:val="center"/>
            </w:pPr>
            <w:r>
              <w:rPr>
                <w:rFonts w:ascii="Arial" w:hAnsi="Arial" w:eastAsia="宋体"/>
                <w:b w:val="0"/>
                <w:sz w:val="16"/>
              </w:rPr>
              <w:t>13,440</w:t>
            </w:r>
          </w:p>
        </w:tc>
      </w:tr>
      <w:tr>
        <w:tc>
          <w:tcPr>
            <w:tcW w:type="dxa" w:w="1944"/>
            <w:shd w:fill="FFFFFF"/>
            <w:tcMar>
              <w:top w:w="60" w:type="dxa"/>
              <w:start w:w="65" w:type="dxa"/>
              <w:bottom w:w="60" w:type="dxa"/>
              <w:end w:w="65" w:type="dxa"/>
            </w:tcMar>
            <w:vAlign w:val="center"/>
          </w:tcPr>
          <w:p>
            <w:pPr>
              <w:spacing w:after="0"/>
              <w:jc w:val="left"/>
            </w:pPr>
            <w:r>
              <w:rPr>
                <w:rFonts w:ascii="Arial" w:hAnsi="Arial" w:eastAsia="宋体"/>
                <w:b w:val="0"/>
                <w:sz w:val="16"/>
              </w:rPr>
              <w:t>Memory Only</w:t>
            </w:r>
          </w:p>
        </w:tc>
        <w:tc>
          <w:tcPr>
            <w:tcW w:type="dxa" w:w="503"/>
            <w:shd w:fill="FFFFFF"/>
            <w:tcMar>
              <w:top w:w="60" w:type="dxa"/>
              <w:start w:w="65" w:type="dxa"/>
              <w:bottom w:w="60" w:type="dxa"/>
              <w:end w:w="65" w:type="dxa"/>
            </w:tcMar>
            <w:vAlign w:val="center"/>
          </w:tcPr>
          <w:p>
            <w:pPr>
              <w:spacing w:after="0"/>
              <w:jc w:val="center"/>
            </w:pPr>
            <w:r>
              <w:rPr>
                <w:rFonts w:ascii="Arial" w:hAnsi="Arial" w:eastAsia="宋体"/>
                <w:b w:val="0"/>
                <w:sz w:val="16"/>
              </w:rPr>
              <w:t>100</w:t>
            </w:r>
          </w:p>
        </w:tc>
        <w:tc>
          <w:tcPr>
            <w:tcW w:type="dxa" w:w="1224"/>
            <w:shd w:fill="FFFFFF"/>
            <w:tcMar>
              <w:top w:w="60" w:type="dxa"/>
              <w:start w:w="65" w:type="dxa"/>
              <w:bottom w:w="60" w:type="dxa"/>
              <w:end w:w="65" w:type="dxa"/>
            </w:tcMar>
            <w:vAlign w:val="center"/>
          </w:tcPr>
          <w:p>
            <w:pPr>
              <w:spacing w:after="0"/>
              <w:jc w:val="center"/>
            </w:pPr>
            <w:r>
              <w:rPr>
                <w:rFonts w:ascii="Arial" w:hAnsi="Arial" w:eastAsia="宋体"/>
                <w:b/>
                <w:sz w:val="16"/>
              </w:rPr>
              <w:t>0.64</w:t>
            </w:r>
          </w:p>
        </w:tc>
        <w:tc>
          <w:tcPr>
            <w:tcW w:type="dxa" w:w="1224"/>
            <w:shd w:fill="FFFFFF"/>
            <w:tcMar>
              <w:top w:w="60" w:type="dxa"/>
              <w:start w:w="65" w:type="dxa"/>
              <w:bottom w:w="60" w:type="dxa"/>
              <w:end w:w="65" w:type="dxa"/>
            </w:tcMar>
            <w:vAlign w:val="center"/>
          </w:tcPr>
          <w:p>
            <w:pPr>
              <w:spacing w:after="0"/>
              <w:jc w:val="center"/>
            </w:pPr>
            <w:r>
              <w:rPr>
                <w:rFonts w:ascii="Arial" w:hAnsi="Arial" w:eastAsia="宋体"/>
                <w:b/>
                <w:sz w:val="16"/>
              </w:rPr>
              <w:t>0.65</w:t>
            </w:r>
          </w:p>
        </w:tc>
        <w:tc>
          <w:tcPr>
            <w:tcW w:type="dxa" w:w="1224"/>
            <w:shd w:fill="FFFFFF"/>
            <w:tcMar>
              <w:top w:w="60" w:type="dxa"/>
              <w:start w:w="65" w:type="dxa"/>
              <w:bottom w:w="60" w:type="dxa"/>
              <w:end w:w="65" w:type="dxa"/>
            </w:tcMar>
            <w:vAlign w:val="center"/>
          </w:tcPr>
          <w:p>
            <w:pPr>
              <w:spacing w:after="0"/>
              <w:jc w:val="center"/>
            </w:pPr>
            <w:r>
              <w:rPr>
                <w:rFonts w:ascii="Arial" w:hAnsi="Arial" w:eastAsia="宋体"/>
                <w:b w:val="0"/>
                <w:sz w:val="16"/>
              </w:rPr>
              <w:t>0.31</w:t>
            </w:r>
          </w:p>
        </w:tc>
        <w:tc>
          <w:tcPr>
            <w:tcW w:type="dxa" w:w="1152"/>
            <w:shd w:fill="FFFFFF"/>
            <w:tcMar>
              <w:top w:w="60" w:type="dxa"/>
              <w:start w:w="65" w:type="dxa"/>
              <w:bottom w:w="60" w:type="dxa"/>
              <w:end w:w="65" w:type="dxa"/>
            </w:tcMar>
            <w:vAlign w:val="center"/>
          </w:tcPr>
          <w:p>
            <w:pPr>
              <w:spacing w:after="0"/>
              <w:jc w:val="center"/>
            </w:pPr>
            <w:r>
              <w:rPr>
                <w:rFonts w:ascii="Arial" w:hAnsi="Arial" w:eastAsia="宋体"/>
                <w:b w:val="0"/>
                <w:sz w:val="16"/>
              </w:rPr>
              <w:t>0.59</w:t>
            </w:r>
          </w:p>
        </w:tc>
        <w:tc>
          <w:tcPr>
            <w:tcW w:type="dxa" w:w="1152"/>
            <w:shd w:fill="FFFFFF"/>
            <w:tcMar>
              <w:top w:w="60" w:type="dxa"/>
              <w:start w:w="65" w:type="dxa"/>
              <w:bottom w:w="60" w:type="dxa"/>
              <w:end w:w="65" w:type="dxa"/>
            </w:tcMar>
            <w:vAlign w:val="center"/>
          </w:tcPr>
          <w:p>
            <w:pPr>
              <w:spacing w:after="0"/>
              <w:jc w:val="center"/>
            </w:pPr>
            <w:r>
              <w:rPr>
                <w:rFonts w:ascii="Arial" w:hAnsi="Arial" w:eastAsia="宋体"/>
                <w:b w:val="0"/>
                <w:sz w:val="16"/>
              </w:rPr>
              <w:t>0.47</w:t>
            </w:r>
          </w:p>
        </w:tc>
        <w:tc>
          <w:tcPr>
            <w:tcW w:type="dxa" w:w="1080"/>
            <w:shd w:fill="FFFFFF"/>
            <w:tcMar>
              <w:top w:w="60" w:type="dxa"/>
              <w:start w:w="65" w:type="dxa"/>
              <w:bottom w:w="60" w:type="dxa"/>
              <w:end w:w="65" w:type="dxa"/>
            </w:tcMar>
            <w:vAlign w:val="center"/>
          </w:tcPr>
          <w:p>
            <w:pPr>
              <w:spacing w:after="0"/>
              <w:jc w:val="center"/>
            </w:pPr>
            <w:r>
              <w:rPr>
                <w:rFonts w:ascii="Arial" w:hAnsi="Arial" w:eastAsia="宋体"/>
                <w:b w:val="0"/>
                <w:sz w:val="16"/>
              </w:rPr>
              <w:t>0.41</w:t>
            </w:r>
          </w:p>
        </w:tc>
        <w:tc>
          <w:tcPr>
            <w:tcW w:type="dxa" w:w="1152"/>
            <w:shd w:fill="FFFFFF"/>
            <w:tcMar>
              <w:top w:w="60" w:type="dxa"/>
              <w:start w:w="65" w:type="dxa"/>
              <w:bottom w:w="60" w:type="dxa"/>
              <w:end w:w="65" w:type="dxa"/>
            </w:tcMar>
            <w:vAlign w:val="center"/>
          </w:tcPr>
          <w:p>
            <w:pPr>
              <w:spacing w:after="0"/>
              <w:jc w:val="center"/>
            </w:pPr>
            <w:r>
              <w:rPr>
                <w:rFonts w:ascii="Arial" w:hAnsi="Arial" w:eastAsia="宋体"/>
                <w:b w:val="0"/>
                <w:sz w:val="16"/>
              </w:rPr>
              <w:t>0.19</w:t>
            </w:r>
          </w:p>
        </w:tc>
        <w:tc>
          <w:tcPr>
            <w:tcW w:type="dxa" w:w="1296"/>
            <w:shd w:fill="FFFFFF"/>
            <w:tcMar>
              <w:top w:w="60" w:type="dxa"/>
              <w:start w:w="65" w:type="dxa"/>
              <w:bottom w:w="60" w:type="dxa"/>
              <w:end w:w="65" w:type="dxa"/>
            </w:tcMar>
            <w:vAlign w:val="center"/>
          </w:tcPr>
          <w:p>
            <w:pPr>
              <w:spacing w:after="0"/>
              <w:jc w:val="center"/>
            </w:pPr>
            <w:r>
              <w:rPr>
                <w:rFonts w:ascii="Arial" w:hAnsi="Arial" w:eastAsia="宋体"/>
                <w:b w:val="0"/>
                <w:sz w:val="16"/>
              </w:rPr>
              <w:t>0.17</w:t>
            </w:r>
          </w:p>
        </w:tc>
        <w:tc>
          <w:tcPr>
            <w:tcW w:type="dxa" w:w="1728"/>
            <w:shd w:fill="FFFFFF"/>
            <w:tcMar>
              <w:top w:w="60" w:type="dxa"/>
              <w:start w:w="65" w:type="dxa"/>
              <w:bottom w:w="60" w:type="dxa"/>
              <w:end w:w="65" w:type="dxa"/>
            </w:tcMar>
            <w:vAlign w:val="center"/>
          </w:tcPr>
          <w:p>
            <w:pPr>
              <w:spacing w:after="0"/>
              <w:jc w:val="center"/>
            </w:pPr>
            <w:r>
              <w:rPr>
                <w:rFonts w:ascii="Arial" w:hAnsi="Arial" w:eastAsia="宋体"/>
                <w:b w:val="0"/>
                <w:sz w:val="16"/>
              </w:rPr>
              <w:t>1,794</w:t>
            </w:r>
          </w:p>
        </w:tc>
      </w:tr>
      <w:tr>
        <w:tc>
          <w:tcPr>
            <w:tcW w:type="dxa" w:w="1944"/>
            <w:shd w:fill="F3F7FB"/>
            <w:tcMar>
              <w:top w:w="60" w:type="dxa"/>
              <w:start w:w="65" w:type="dxa"/>
              <w:bottom w:w="60" w:type="dxa"/>
              <w:end w:w="65" w:type="dxa"/>
            </w:tcMar>
            <w:vAlign w:val="center"/>
          </w:tcPr>
          <w:p>
            <w:pPr>
              <w:spacing w:after="0"/>
              <w:jc w:val="left"/>
            </w:pPr>
            <w:r>
              <w:rPr>
                <w:rFonts w:ascii="Arial" w:hAnsi="Arial" w:eastAsia="宋体"/>
                <w:b w:val="0"/>
                <w:sz w:val="16"/>
              </w:rPr>
              <w:t>Ours Full</w:t>
            </w:r>
          </w:p>
        </w:tc>
        <w:tc>
          <w:tcPr>
            <w:tcW w:type="dxa" w:w="503"/>
            <w:shd w:fill="F3F7FB"/>
            <w:tcMar>
              <w:top w:w="60" w:type="dxa"/>
              <w:start w:w="65" w:type="dxa"/>
              <w:bottom w:w="60" w:type="dxa"/>
              <w:end w:w="65" w:type="dxa"/>
            </w:tcMar>
            <w:vAlign w:val="center"/>
          </w:tcPr>
          <w:p>
            <w:pPr>
              <w:spacing w:after="0"/>
              <w:jc w:val="center"/>
            </w:pPr>
            <w:r>
              <w:rPr>
                <w:rFonts w:ascii="Arial" w:hAnsi="Arial" w:eastAsia="宋体"/>
                <w:b w:val="0"/>
                <w:sz w:val="16"/>
              </w:rPr>
              <w:t>100</w:t>
            </w:r>
          </w:p>
        </w:tc>
        <w:tc>
          <w:tcPr>
            <w:tcW w:type="dxa" w:w="1224"/>
            <w:shd w:fill="F3F7FB"/>
            <w:tcMar>
              <w:top w:w="60" w:type="dxa"/>
              <w:start w:w="65" w:type="dxa"/>
              <w:bottom w:w="60" w:type="dxa"/>
              <w:end w:w="65" w:type="dxa"/>
            </w:tcMar>
            <w:vAlign w:val="center"/>
          </w:tcPr>
          <w:p>
            <w:pPr>
              <w:spacing w:after="0"/>
              <w:jc w:val="center"/>
            </w:pPr>
            <w:r>
              <w:rPr>
                <w:rFonts w:ascii="Arial" w:hAnsi="Arial" w:eastAsia="宋体"/>
                <w:b w:val="0"/>
                <w:sz w:val="16"/>
              </w:rPr>
              <w:t>0.63</w:t>
            </w:r>
          </w:p>
        </w:tc>
        <w:tc>
          <w:tcPr>
            <w:tcW w:type="dxa" w:w="1224"/>
            <w:shd w:fill="F3F7FB"/>
            <w:tcMar>
              <w:top w:w="60" w:type="dxa"/>
              <w:start w:w="65" w:type="dxa"/>
              <w:bottom w:w="60" w:type="dxa"/>
              <w:end w:w="65" w:type="dxa"/>
            </w:tcMar>
            <w:vAlign w:val="center"/>
          </w:tcPr>
          <w:p>
            <w:pPr>
              <w:spacing w:after="0"/>
              <w:jc w:val="center"/>
            </w:pPr>
            <w:r>
              <w:rPr>
                <w:rFonts w:ascii="Arial" w:hAnsi="Arial" w:eastAsia="宋体"/>
                <w:b/>
                <w:sz w:val="16"/>
              </w:rPr>
              <w:t>0.65</w:t>
            </w:r>
          </w:p>
        </w:tc>
        <w:tc>
          <w:tcPr>
            <w:tcW w:type="dxa" w:w="1224"/>
            <w:shd w:fill="F3F7FB"/>
            <w:tcMar>
              <w:top w:w="60" w:type="dxa"/>
              <w:start w:w="65" w:type="dxa"/>
              <w:bottom w:w="60" w:type="dxa"/>
              <w:end w:w="65" w:type="dxa"/>
            </w:tcMar>
            <w:vAlign w:val="center"/>
          </w:tcPr>
          <w:p>
            <w:pPr>
              <w:spacing w:after="0"/>
              <w:jc w:val="center"/>
            </w:pPr>
            <w:r>
              <w:rPr>
                <w:rFonts w:ascii="Arial" w:hAnsi="Arial" w:eastAsia="宋体"/>
                <w:b/>
                <w:sz w:val="16"/>
              </w:rPr>
              <w:t>0.40</w:t>
            </w:r>
          </w:p>
        </w:tc>
        <w:tc>
          <w:tcPr>
            <w:tcW w:type="dxa" w:w="1152"/>
            <w:shd w:fill="F3F7FB"/>
            <w:tcMar>
              <w:top w:w="60" w:type="dxa"/>
              <w:start w:w="65" w:type="dxa"/>
              <w:bottom w:w="60" w:type="dxa"/>
              <w:end w:w="65" w:type="dxa"/>
            </w:tcMar>
            <w:vAlign w:val="center"/>
          </w:tcPr>
          <w:p>
            <w:pPr>
              <w:spacing w:after="0"/>
              <w:jc w:val="center"/>
            </w:pPr>
            <w:r>
              <w:rPr>
                <w:rFonts w:ascii="Arial" w:hAnsi="Arial" w:eastAsia="宋体"/>
                <w:b/>
                <w:sz w:val="16"/>
              </w:rPr>
              <w:t>0.90</w:t>
            </w:r>
          </w:p>
        </w:tc>
        <w:tc>
          <w:tcPr>
            <w:tcW w:type="dxa" w:w="1152"/>
            <w:shd w:fill="F3F7FB"/>
            <w:tcMar>
              <w:top w:w="60" w:type="dxa"/>
              <w:start w:w="65" w:type="dxa"/>
              <w:bottom w:w="60" w:type="dxa"/>
              <w:end w:w="65" w:type="dxa"/>
            </w:tcMar>
            <w:vAlign w:val="center"/>
          </w:tcPr>
          <w:p>
            <w:pPr>
              <w:spacing w:after="0"/>
              <w:jc w:val="center"/>
            </w:pPr>
            <w:r>
              <w:rPr>
                <w:rFonts w:ascii="Arial" w:hAnsi="Arial" w:eastAsia="宋体"/>
                <w:b/>
                <w:sz w:val="16"/>
              </w:rPr>
              <w:t>0.85</w:t>
            </w:r>
          </w:p>
        </w:tc>
        <w:tc>
          <w:tcPr>
            <w:tcW w:type="dxa" w:w="1080"/>
            <w:shd w:fill="F3F7FB"/>
            <w:tcMar>
              <w:top w:w="60" w:type="dxa"/>
              <w:start w:w="65" w:type="dxa"/>
              <w:bottom w:w="60" w:type="dxa"/>
              <w:end w:w="65" w:type="dxa"/>
            </w:tcMar>
            <w:vAlign w:val="center"/>
          </w:tcPr>
          <w:p>
            <w:pPr>
              <w:spacing w:after="0"/>
              <w:jc w:val="center"/>
            </w:pPr>
            <w:r>
              <w:rPr>
                <w:rFonts w:ascii="Arial" w:hAnsi="Arial" w:eastAsia="宋体"/>
                <w:b/>
                <w:sz w:val="16"/>
              </w:rPr>
              <w:t>0.10</w:t>
            </w:r>
          </w:p>
        </w:tc>
        <w:tc>
          <w:tcPr>
            <w:tcW w:type="dxa" w:w="1152"/>
            <w:shd w:fill="F3F7FB"/>
            <w:tcMar>
              <w:top w:w="60" w:type="dxa"/>
              <w:start w:w="65" w:type="dxa"/>
              <w:bottom w:w="60" w:type="dxa"/>
              <w:end w:w="65" w:type="dxa"/>
            </w:tcMar>
            <w:vAlign w:val="center"/>
          </w:tcPr>
          <w:p>
            <w:pPr>
              <w:spacing w:after="0"/>
              <w:jc w:val="center"/>
            </w:pPr>
            <w:r>
              <w:rPr>
                <w:rFonts w:ascii="Arial" w:hAnsi="Arial" w:eastAsia="宋体"/>
                <w:b/>
                <w:sz w:val="16"/>
              </w:rPr>
              <w:t>0.91</w:t>
            </w:r>
          </w:p>
        </w:tc>
        <w:tc>
          <w:tcPr>
            <w:tcW w:type="dxa" w:w="1296"/>
            <w:shd w:fill="F3F7FB"/>
            <w:tcMar>
              <w:top w:w="60" w:type="dxa"/>
              <w:start w:w="65" w:type="dxa"/>
              <w:bottom w:w="60" w:type="dxa"/>
              <w:end w:w="65" w:type="dxa"/>
            </w:tcMar>
            <w:vAlign w:val="center"/>
          </w:tcPr>
          <w:p>
            <w:pPr>
              <w:spacing w:after="0"/>
              <w:jc w:val="center"/>
            </w:pPr>
            <w:r>
              <w:rPr>
                <w:rFonts w:ascii="Arial" w:hAnsi="Arial" w:eastAsia="宋体"/>
                <w:b/>
                <w:sz w:val="16"/>
              </w:rPr>
              <w:t>0.00</w:t>
            </w:r>
          </w:p>
        </w:tc>
        <w:tc>
          <w:tcPr>
            <w:tcW w:type="dxa" w:w="1728"/>
            <w:shd w:fill="F3F7FB"/>
            <w:tcMar>
              <w:top w:w="60" w:type="dxa"/>
              <w:start w:w="65" w:type="dxa"/>
              <w:bottom w:w="60" w:type="dxa"/>
              <w:end w:w="65" w:type="dxa"/>
            </w:tcMar>
            <w:vAlign w:val="center"/>
          </w:tcPr>
          <w:p>
            <w:pPr>
              <w:spacing w:after="0"/>
              <w:jc w:val="center"/>
            </w:pPr>
            <w:r>
              <w:rPr>
                <w:rFonts w:ascii="Arial" w:hAnsi="Arial" w:eastAsia="宋体"/>
                <w:b/>
                <w:sz w:val="16"/>
              </w:rPr>
              <w:t>954</w:t>
            </w:r>
          </w:p>
        </w:tc>
      </w:tr>
    </w:tbl>
    <w:p>
      <w:pPr>
        <w:keepNext/>
        <w:spacing w:before="200" w:after="120"/>
        <w:jc w:val="center"/>
      </w:pPr>
      <w:r>
        <w:rPr>
          <w:rFonts w:ascii="Arial" w:hAnsi="Arial" w:eastAsia="宋体"/>
          <w:b/>
          <w:sz w:val="21"/>
        </w:rPr>
        <w:t>表 2 动态编排实验通过率对比</w:t>
      </w:r>
    </w:p>
    <w:tbl>
      <w:tblPr>
        <w:tblStyle w:val="35"/>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7343"/>
            <w:shd w:fill="1F4E78"/>
            <w:tcMar>
              <w:top w:w="70" w:type="dxa"/>
              <w:start w:w="90" w:type="dxa"/>
              <w:bottom w:w="70" w:type="dxa"/>
              <w:end w:w="90" w:type="dxa"/>
            </w:tcMar>
            <w:vAlign w:val="center"/>
          </w:tcPr>
          <w:p>
            <w:pPr>
              <w:spacing w:after="0"/>
              <w:jc w:val="left"/>
            </w:pPr>
            <w:r>
              <w:rPr>
                <w:rFonts w:ascii="Arial" w:hAnsi="Arial" w:eastAsia="宋体"/>
                <w:b/>
                <w:color w:val="FFFFFF"/>
                <w:sz w:val="18"/>
              </w:rPr>
              <w:t>方法</w:t>
            </w:r>
          </w:p>
        </w:tc>
        <w:tc>
          <w:tcPr>
            <w:tcW w:type="dxa" w:w="1728"/>
            <w:shd w:fill="1F4E78"/>
            <w:tcMar>
              <w:top w:w="70" w:type="dxa"/>
              <w:start w:w="90" w:type="dxa"/>
              <w:bottom w:w="70" w:type="dxa"/>
              <w:end w:w="90" w:type="dxa"/>
            </w:tcMar>
            <w:vAlign w:val="center"/>
          </w:tcPr>
          <w:p>
            <w:pPr>
              <w:spacing w:after="0"/>
              <w:jc w:val="center"/>
            </w:pPr>
            <w:r>
              <w:rPr>
                <w:rFonts w:ascii="Arial" w:hAnsi="Arial" w:eastAsia="宋体"/>
                <w:b/>
                <w:color w:val="FFFFFF"/>
                <w:sz w:val="18"/>
              </w:rPr>
              <w:t>N</w:t>
            </w:r>
          </w:p>
        </w:tc>
        <w:tc>
          <w:tcPr>
            <w:tcW w:type="dxa" w:w="3888"/>
            <w:shd w:fill="1F4E78"/>
            <w:tcMar>
              <w:top w:w="70" w:type="dxa"/>
              <w:start w:w="90" w:type="dxa"/>
              <w:bottom w:w="70" w:type="dxa"/>
              <w:end w:w="90" w:type="dxa"/>
            </w:tcMar>
            <w:vAlign w:val="center"/>
          </w:tcPr>
          <w:p>
            <w:pPr>
              <w:spacing w:after="0"/>
              <w:jc w:val="center"/>
            </w:pPr>
            <w:r>
              <w:rPr>
                <w:rFonts w:ascii="Arial" w:hAnsi="Arial" w:eastAsia="宋体"/>
                <w:b/>
                <w:color w:val="FFFFFF"/>
                <w:sz w:val="18"/>
              </w:rPr>
              <w:t>Pass Rate</w:t>
            </w:r>
          </w:p>
        </w:tc>
      </w:tr>
      <w:tr>
        <w:tc>
          <w:tcPr>
            <w:tcW w:type="dxa" w:w="7343"/>
            <w:shd w:fill="FFFFFF"/>
            <w:tcMar>
              <w:top w:w="70" w:type="dxa"/>
              <w:start w:w="90" w:type="dxa"/>
              <w:bottom w:w="70" w:type="dxa"/>
              <w:end w:w="90" w:type="dxa"/>
            </w:tcMar>
            <w:vAlign w:val="center"/>
          </w:tcPr>
          <w:p>
            <w:pPr>
              <w:spacing w:after="0"/>
              <w:jc w:val="left"/>
            </w:pPr>
            <w:r>
              <w:rPr>
                <w:rFonts w:ascii="Arial" w:hAnsi="Arial" w:eastAsia="宋体"/>
                <w:b w:val="0"/>
                <w:sz w:val="18"/>
              </w:rPr>
              <w:t>Fixed Sparse</w:t>
            </w:r>
          </w:p>
        </w:tc>
        <w:tc>
          <w:tcPr>
            <w:tcW w:type="dxa" w:w="1728"/>
            <w:shd w:fill="FFFFFF"/>
            <w:tcMar>
              <w:top w:w="70" w:type="dxa"/>
              <w:start w:w="90" w:type="dxa"/>
              <w:bottom w:w="70" w:type="dxa"/>
              <w:end w:w="90" w:type="dxa"/>
            </w:tcMar>
            <w:vAlign w:val="center"/>
          </w:tcPr>
          <w:p>
            <w:pPr>
              <w:spacing w:after="0"/>
              <w:jc w:val="center"/>
            </w:pPr>
            <w:r>
              <w:rPr>
                <w:rFonts w:ascii="Arial" w:hAnsi="Arial" w:eastAsia="宋体"/>
                <w:b w:val="0"/>
                <w:sz w:val="18"/>
              </w:rPr>
              <w:t>80</w:t>
            </w:r>
          </w:p>
        </w:tc>
        <w:tc>
          <w:tcPr>
            <w:tcW w:type="dxa" w:w="3888"/>
            <w:shd w:fill="FFFFFF"/>
            <w:tcMar>
              <w:top w:w="70" w:type="dxa"/>
              <w:start w:w="90" w:type="dxa"/>
              <w:bottom w:w="70" w:type="dxa"/>
              <w:end w:w="90" w:type="dxa"/>
            </w:tcMar>
            <w:vAlign w:val="center"/>
          </w:tcPr>
          <w:p>
            <w:pPr>
              <w:spacing w:after="0"/>
              <w:jc w:val="center"/>
            </w:pPr>
            <w:r>
              <w:rPr>
                <w:rFonts w:ascii="Arial" w:hAnsi="Arial" w:eastAsia="宋体"/>
                <w:b w:val="0"/>
                <w:sz w:val="18"/>
              </w:rPr>
              <w:t>23.75%</w:t>
            </w:r>
          </w:p>
        </w:tc>
      </w:tr>
      <w:tr>
        <w:tc>
          <w:tcPr>
            <w:tcW w:type="dxa" w:w="7343"/>
            <w:shd w:fill="F3F7FB"/>
            <w:tcMar>
              <w:top w:w="70" w:type="dxa"/>
              <w:start w:w="90" w:type="dxa"/>
              <w:bottom w:w="70" w:type="dxa"/>
              <w:end w:w="90" w:type="dxa"/>
            </w:tcMar>
            <w:vAlign w:val="center"/>
          </w:tcPr>
          <w:p>
            <w:pPr>
              <w:spacing w:after="0"/>
              <w:jc w:val="left"/>
            </w:pPr>
            <w:r>
              <w:rPr>
                <w:rFonts w:ascii="Arial" w:hAnsi="Arial" w:eastAsia="宋体"/>
                <w:b w:val="0"/>
                <w:sz w:val="18"/>
              </w:rPr>
              <w:t>Ours</w:t>
            </w:r>
          </w:p>
        </w:tc>
        <w:tc>
          <w:tcPr>
            <w:tcW w:type="dxa" w:w="1728"/>
            <w:shd w:fill="F3F7FB"/>
            <w:tcMar>
              <w:top w:w="70" w:type="dxa"/>
              <w:start w:w="90" w:type="dxa"/>
              <w:bottom w:w="70" w:type="dxa"/>
              <w:end w:w="90" w:type="dxa"/>
            </w:tcMar>
            <w:vAlign w:val="center"/>
          </w:tcPr>
          <w:p>
            <w:pPr>
              <w:spacing w:after="0"/>
              <w:jc w:val="center"/>
            </w:pPr>
            <w:r>
              <w:rPr>
                <w:rFonts w:ascii="Arial" w:hAnsi="Arial" w:eastAsia="宋体"/>
                <w:b w:val="0"/>
                <w:sz w:val="18"/>
              </w:rPr>
              <w:t>80</w:t>
            </w:r>
          </w:p>
        </w:tc>
        <w:tc>
          <w:tcPr>
            <w:tcW w:type="dxa" w:w="3888"/>
            <w:shd w:fill="F3F7FB"/>
            <w:tcMar>
              <w:top w:w="70" w:type="dxa"/>
              <w:start w:w="90" w:type="dxa"/>
              <w:bottom w:w="70" w:type="dxa"/>
              <w:end w:w="90" w:type="dxa"/>
            </w:tcMar>
            <w:vAlign w:val="center"/>
          </w:tcPr>
          <w:p>
            <w:pPr>
              <w:spacing w:after="0"/>
              <w:jc w:val="center"/>
            </w:pPr>
            <w:r>
              <w:rPr>
                <w:rFonts w:ascii="Arial" w:hAnsi="Arial" w:eastAsia="宋体"/>
                <w:b/>
                <w:sz w:val="18"/>
              </w:rPr>
              <w:t>65.00%</w:t>
            </w:r>
          </w:p>
        </w:tc>
      </w:tr>
      <w:tr>
        <w:tc>
          <w:tcPr>
            <w:tcW w:type="dxa" w:w="7343"/>
            <w:shd w:fill="FFFFFF"/>
            <w:tcMar>
              <w:top w:w="70" w:type="dxa"/>
              <w:start w:w="90" w:type="dxa"/>
              <w:bottom w:w="70" w:type="dxa"/>
              <w:end w:w="90" w:type="dxa"/>
            </w:tcMar>
            <w:vAlign w:val="center"/>
          </w:tcPr>
          <w:p>
            <w:pPr>
              <w:spacing w:after="0"/>
              <w:jc w:val="left"/>
            </w:pPr>
            <w:r>
              <w:rPr>
                <w:rFonts w:ascii="Arial" w:hAnsi="Arial" w:eastAsia="宋体"/>
                <w:b w:val="0"/>
                <w:sz w:val="18"/>
              </w:rPr>
              <w:t>Dynamic Selection Only</w:t>
            </w:r>
          </w:p>
        </w:tc>
        <w:tc>
          <w:tcPr>
            <w:tcW w:type="dxa" w:w="1728"/>
            <w:shd w:fill="FFFFFF"/>
            <w:tcMar>
              <w:top w:w="70" w:type="dxa"/>
              <w:start w:w="90" w:type="dxa"/>
              <w:bottom w:w="70" w:type="dxa"/>
              <w:end w:w="90" w:type="dxa"/>
            </w:tcMar>
            <w:vAlign w:val="center"/>
          </w:tcPr>
          <w:p>
            <w:pPr>
              <w:spacing w:after="0"/>
              <w:jc w:val="center"/>
            </w:pPr>
            <w:r>
              <w:rPr>
                <w:rFonts w:ascii="Arial" w:hAnsi="Arial" w:eastAsia="宋体"/>
                <w:b w:val="0"/>
                <w:sz w:val="18"/>
              </w:rPr>
              <w:t>40</w:t>
            </w:r>
          </w:p>
        </w:tc>
        <w:tc>
          <w:tcPr>
            <w:tcW w:type="dxa" w:w="3888"/>
            <w:shd w:fill="FFFFFF"/>
            <w:tcMar>
              <w:top w:w="70" w:type="dxa"/>
              <w:start w:w="90" w:type="dxa"/>
              <w:bottom w:w="70" w:type="dxa"/>
              <w:end w:w="90" w:type="dxa"/>
            </w:tcMar>
            <w:vAlign w:val="center"/>
          </w:tcPr>
          <w:p>
            <w:pPr>
              <w:spacing w:after="0"/>
              <w:jc w:val="center"/>
            </w:pPr>
            <w:r>
              <w:rPr>
                <w:rFonts w:ascii="Arial" w:hAnsi="Arial" w:eastAsia="宋体"/>
                <w:b w:val="0"/>
                <w:sz w:val="18"/>
              </w:rPr>
              <w:t>32.50%</w:t>
            </w:r>
          </w:p>
        </w:tc>
      </w:tr>
    </w:tbl>
    <w:p>
      <w:pPr>
        <w:spacing w:after="0"/>
        <w:sectPr>
          <w:type w:val="nextPage"/>
          <w:footerReference r:id="rId5" w:type="default"/>
          <w:pgSz w:w="15840" w:h="12240" w:orient="landscape"/>
          <w:pgMar w:top="1037" w:right="1080" w:bottom="979" w:left="1080" w:header="720" w:footer="720" w:gutter="0"/>
          <w:cols w:space="720" w:num="1"/>
          <w:docGrid w:linePitch="360" w:charSpace="0"/>
        </w:sectPr>
      </w:pPr>
    </w:p>
    <w:p w14:paraId="0345009E">
      <w:pPr>
        <w:spacing w:after="40"/>
      </w:pPr>
    </w:p>
    <w:p w14:paraId="29C7CD2E">
      <w:pPr>
        <w:pStyle w:val="3"/>
        <w:spacing w:before="300" w:after="140"/>
      </w:pPr>
      <w:bookmarkStart w:id="11" w:name="_Toc29894"/>
      <w:r>
        <w:rPr>
          <w:rFonts w:ascii="微软雅黑" w:hAnsi="微软雅黑" w:eastAsia="微软雅黑"/>
          <w:b/>
          <w:color w:val="000000"/>
          <w:sz w:val="30"/>
        </w:rPr>
        <w:t>五、目标客户与应用场景</w:t>
      </w:r>
      <w:bookmarkEnd w:id="11"/>
    </w:p>
    <w:p w14:paraId="17AF9DA2">
      <w:pPr>
        <w:pStyle w:val="4"/>
        <w:spacing w:before="200" w:after="140"/>
      </w:pPr>
      <w:bookmarkStart w:id="12" w:name="_Toc30032"/>
      <w:r>
        <w:rPr>
          <w:rFonts w:ascii="微软雅黑" w:hAnsi="微软雅黑" w:eastAsia="微软雅黑"/>
          <w:b/>
          <w:color w:val="000000"/>
          <w:sz w:val="24"/>
        </w:rPr>
        <w:t>5.1 优先客户画像</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2088"/>
        <w:gridCol w:w="3240"/>
        <w:gridCol w:w="2232"/>
      </w:tblGrid>
      <w:tr w14:paraId="4849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9747784">
            <w:pPr>
              <w:spacing w:before="40" w:after="40" w:line="240" w:lineRule="auto"/>
              <w:jc w:val="center"/>
            </w:pPr>
            <w:r>
              <w:rPr>
                <w:rFonts w:ascii="微软雅黑" w:hAnsi="微软雅黑" w:eastAsia="微软雅黑"/>
                <w:b/>
                <w:color w:val="FFFFFF"/>
                <w:sz w:val="19"/>
              </w:rPr>
              <w:t>客户类型</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3E110A">
            <w:pPr>
              <w:spacing w:before="40" w:after="40" w:line="240" w:lineRule="auto"/>
              <w:jc w:val="center"/>
            </w:pPr>
            <w:r>
              <w:rPr>
                <w:rFonts w:ascii="微软雅黑" w:hAnsi="微软雅黑" w:eastAsia="微软雅黑"/>
                <w:b/>
                <w:color w:val="FFFFFF"/>
                <w:sz w:val="19"/>
              </w:rPr>
              <w:t>典型决策者</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D319AFF">
            <w:pPr>
              <w:spacing w:before="40" w:after="40" w:line="240" w:lineRule="auto"/>
              <w:jc w:val="center"/>
            </w:pPr>
            <w:r>
              <w:rPr>
                <w:rFonts w:ascii="微软雅黑" w:hAnsi="微软雅黑" w:eastAsia="微软雅黑"/>
                <w:b/>
                <w:color w:val="FFFFFF"/>
                <w:sz w:val="19"/>
              </w:rPr>
              <w:t>高频问题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59D595A">
            <w:pPr>
              <w:spacing w:before="40" w:after="40" w:line="240" w:lineRule="auto"/>
              <w:jc w:val="center"/>
            </w:pPr>
            <w:r>
              <w:rPr>
                <w:rFonts w:ascii="微软雅黑" w:hAnsi="微软雅黑" w:eastAsia="微软雅黑"/>
                <w:b/>
                <w:color w:val="FFFFFF"/>
                <w:sz w:val="19"/>
              </w:rPr>
              <w:t>织枢价值</w:t>
            </w:r>
          </w:p>
        </w:tc>
      </w:tr>
      <w:tr w14:paraId="479F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20D7C42">
            <w:pPr>
              <w:spacing w:before="40" w:after="40" w:line="240" w:lineRule="auto"/>
              <w:jc w:val="center"/>
            </w:pPr>
            <w:r>
              <w:rPr>
                <w:rFonts w:ascii="微软雅黑" w:hAnsi="微软雅黑" w:eastAsia="微软雅黑"/>
                <w:b w:val="0"/>
                <w:color w:val="000000"/>
                <w:sz w:val="18"/>
              </w:rPr>
              <w:t>科研与高校实验室</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41AF04">
            <w:pPr>
              <w:spacing w:before="40" w:after="40" w:line="240" w:lineRule="auto"/>
              <w:jc w:val="center"/>
            </w:pPr>
            <w:r>
              <w:rPr>
                <w:rFonts w:ascii="微软雅黑" w:hAnsi="微软雅黑" w:eastAsia="微软雅黑"/>
                <w:b w:val="0"/>
                <w:color w:val="000000"/>
                <w:sz w:val="18"/>
              </w:rPr>
              <w:t>课题负责人、实验平台负责人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1D3D86">
            <w:pPr>
              <w:spacing w:before="40" w:after="40" w:line="240" w:lineRule="auto"/>
              <w:jc w:val="left"/>
            </w:pPr>
            <w:r>
              <w:rPr>
                <w:rFonts w:ascii="微软雅黑" w:hAnsi="微软雅黑" w:eastAsia="微软雅黑"/>
                <w:b w:val="0"/>
                <w:color w:val="000000"/>
                <w:sz w:val="18"/>
              </w:rPr>
              <w:t>资料分散、研究任务长、过程留痕不足</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9B707F1">
            <w:pPr>
              <w:spacing w:before="40" w:after="40" w:line="240" w:lineRule="auto"/>
              <w:jc w:val="left"/>
            </w:pPr>
            <w:r>
              <w:rPr>
                <w:rFonts w:ascii="微软雅黑" w:hAnsi="微软雅黑" w:eastAsia="微软雅黑"/>
                <w:b w:val="0"/>
                <w:color w:val="000000"/>
                <w:sz w:val="18"/>
              </w:rPr>
              <w:t>构建可追溯的研究协作与资料任务助手</w:t>
            </w:r>
          </w:p>
        </w:tc>
      </w:tr>
      <w:tr w14:paraId="151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00B7B81">
            <w:pPr>
              <w:spacing w:before="40" w:after="40" w:line="240" w:lineRule="auto"/>
              <w:jc w:val="center"/>
            </w:pPr>
            <w:r>
              <w:rPr>
                <w:rFonts w:ascii="微软雅黑" w:hAnsi="微软雅黑" w:eastAsia="微软雅黑"/>
                <w:b w:val="0"/>
                <w:color w:val="000000"/>
                <w:sz w:val="18"/>
              </w:rPr>
              <w:t>软件研发与 ISV 团队</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277513C">
            <w:pPr>
              <w:spacing w:before="40" w:after="40" w:line="240" w:lineRule="auto"/>
              <w:jc w:val="center"/>
            </w:pPr>
            <w:r>
              <w:rPr>
                <w:rFonts w:ascii="微软雅黑" w:hAnsi="微软雅黑" w:eastAsia="微软雅黑"/>
                <w:b w:val="0"/>
                <w:color w:val="000000"/>
                <w:sz w:val="18"/>
              </w:rPr>
              <w:t>技术负责人、交付负责人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4F8AEA3">
            <w:pPr>
              <w:spacing w:before="40" w:after="40" w:line="240" w:lineRule="auto"/>
              <w:jc w:val="left"/>
            </w:pPr>
            <w:r>
              <w:rPr>
                <w:rFonts w:ascii="微软雅黑" w:hAnsi="微软雅黑" w:eastAsia="微软雅黑"/>
                <w:b w:val="0"/>
                <w:color w:val="000000"/>
                <w:sz w:val="18"/>
              </w:rPr>
              <w:t>需求到交付链路长、工具多、返工成本高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7797A41">
            <w:pPr>
              <w:spacing w:before="40" w:after="40" w:line="240" w:lineRule="auto"/>
              <w:jc w:val="left"/>
            </w:pPr>
            <w:r>
              <w:rPr>
                <w:rFonts w:ascii="微软雅黑" w:hAnsi="微软雅黑" w:eastAsia="微软雅黑"/>
                <w:b w:val="0"/>
                <w:color w:val="000000"/>
                <w:sz w:val="18"/>
              </w:rPr>
              <w:t>组织研发任务、知识检索、测试和交付协同</w:t>
            </w:r>
          </w:p>
        </w:tc>
      </w:tr>
      <w:tr w14:paraId="5F21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C91BAE">
            <w:pPr>
              <w:spacing w:before="40" w:after="40" w:line="240" w:lineRule="auto"/>
              <w:jc w:val="center"/>
            </w:pPr>
            <w:r>
              <w:rPr>
                <w:rFonts w:ascii="微软雅黑" w:hAnsi="微软雅黑" w:eastAsia="微软雅黑"/>
                <w:b w:val="0"/>
                <w:color w:val="000000"/>
                <w:sz w:val="18"/>
              </w:rPr>
              <w:t>政企数字化部门</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99E0A5">
            <w:pPr>
              <w:spacing w:before="40" w:after="40" w:line="240" w:lineRule="auto"/>
              <w:jc w:val="center"/>
            </w:pPr>
            <w:r>
              <w:rPr>
                <w:rFonts w:ascii="微软雅黑" w:hAnsi="微软雅黑" w:eastAsia="微软雅黑"/>
                <w:b w:val="0"/>
                <w:color w:val="000000"/>
                <w:sz w:val="18"/>
              </w:rPr>
              <w:t>信息化负责人、业务部门负责人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10B26C1">
            <w:pPr>
              <w:spacing w:before="40" w:after="40" w:line="240" w:lineRule="auto"/>
              <w:jc w:val="left"/>
            </w:pPr>
            <w:r>
              <w:rPr>
                <w:rFonts w:ascii="微软雅黑" w:hAnsi="微软雅黑" w:eastAsia="微软雅黑"/>
                <w:b w:val="0"/>
                <w:color w:val="000000"/>
                <w:sz w:val="18"/>
              </w:rPr>
              <w:t>跨系统流程复杂、数据敏感、审计要求高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2F5AD9F">
            <w:pPr>
              <w:spacing w:before="40" w:after="40" w:line="240" w:lineRule="auto"/>
              <w:jc w:val="left"/>
            </w:pPr>
            <w:r>
              <w:rPr>
                <w:rFonts w:ascii="微软雅黑" w:hAnsi="微软雅黑" w:eastAsia="微软雅黑"/>
                <w:b w:val="0"/>
                <w:color w:val="000000"/>
                <w:sz w:val="18"/>
              </w:rPr>
              <w:t>支持私有部署、审批、运行审计和可信资源策略</w:t>
            </w:r>
          </w:p>
        </w:tc>
      </w:tr>
      <w:tr w14:paraId="41D5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29C5655">
            <w:pPr>
              <w:spacing w:before="40" w:after="40" w:line="240" w:lineRule="auto"/>
              <w:jc w:val="center"/>
            </w:pPr>
            <w:r>
              <w:rPr>
                <w:rFonts w:ascii="微软雅黑" w:hAnsi="微软雅黑" w:eastAsia="微软雅黑"/>
                <w:b w:val="0"/>
                <w:color w:val="000000"/>
                <w:sz w:val="18"/>
              </w:rPr>
              <w:t>专业服务机构</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7182F06">
            <w:pPr>
              <w:spacing w:before="40" w:after="40" w:line="240" w:lineRule="auto"/>
              <w:jc w:val="center"/>
            </w:pPr>
            <w:r>
              <w:rPr>
                <w:rFonts w:ascii="微软雅黑" w:hAnsi="微软雅黑" w:eastAsia="微软雅黑"/>
                <w:b w:val="0"/>
                <w:color w:val="000000"/>
                <w:sz w:val="18"/>
              </w:rPr>
              <w:t>咨询/运营负责人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2CD6EE7">
            <w:pPr>
              <w:spacing w:before="40" w:after="40" w:line="240" w:lineRule="auto"/>
              <w:jc w:val="left"/>
            </w:pPr>
            <w:r>
              <w:rPr>
                <w:rFonts w:ascii="微软雅黑" w:hAnsi="微软雅黑" w:eastAsia="微软雅黑"/>
                <w:b w:val="0"/>
                <w:color w:val="000000"/>
                <w:sz w:val="18"/>
              </w:rPr>
              <w:t>资料密集、多人协作、交付质量依赖经验</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CB5960D">
            <w:pPr>
              <w:spacing w:before="40" w:after="40" w:line="240" w:lineRule="auto"/>
              <w:jc w:val="left"/>
            </w:pPr>
            <w:r>
              <w:rPr>
                <w:rFonts w:ascii="微软雅黑" w:hAnsi="微软雅黑" w:eastAsia="微软雅黑"/>
                <w:b w:val="0"/>
                <w:color w:val="000000"/>
                <w:sz w:val="18"/>
              </w:rPr>
              <w:t>将方法论、知识资产和质量门沉淀为可复用流程</w:t>
            </w:r>
          </w:p>
        </w:tc>
      </w:tr>
    </w:tbl>
    <w:p w14:paraId="585AD16E">
      <w:pPr>
        <w:spacing w:after="40"/>
      </w:pPr>
    </w:p>
    <w:p w14:paraId="1737816E">
      <w:pPr>
        <w:pStyle w:val="4"/>
        <w:spacing w:before="200" w:after="140"/>
      </w:pPr>
      <w:bookmarkStart w:id="13" w:name="_Toc1373"/>
      <w:r>
        <w:rPr>
          <w:rFonts w:ascii="微软雅黑" w:hAnsi="微软雅黑" w:eastAsia="微软雅黑"/>
          <w:b/>
          <w:color w:val="000000"/>
          <w:sz w:val="24"/>
        </w:rPr>
        <w:t>5.2 首期应用场景</w:t>
      </w:r>
      <w:bookmarkEnd w:id="13"/>
    </w:p>
    <w:p w14:paraId="332FE87A">
      <w:pPr>
        <w:spacing w:after="140" w:line="348" w:lineRule="auto"/>
        <w:ind w:firstLine="403"/>
      </w:pPr>
      <w:r>
        <w:rPr>
          <w:rFonts w:ascii="微软雅黑" w:hAnsi="微软雅黑" w:eastAsia="微软雅黑"/>
          <w:b w:val="0"/>
          <w:color w:val="000000"/>
          <w:sz w:val="21"/>
        </w:rPr>
        <w:t>首期应选择“任务价值高、流程可拆、验收可见、数据边界清楚”的场景开展试点，不宜从完全开放的泛聊天任务切入。推荐以研发知识协同、项目材料/报告交付、企业知识服务升级或行业流程自动化中的一个细分场景作为最小可行产品验证方向。</w:t>
      </w:r>
    </w:p>
    <w:p>
      <w:pPr/>
      <w:r>
        <w:t>为对应赛题验证，系统将设置两类可复现实例任务：其一为联合报告生成，由规划 Agent 拆解题目与交付要求，检索 Agent 汇集证据，执行 Agent 生成章节，评估 Agent 核查事实、格式和一致性；其二为企业知识问答，由检索 Agent 在权限范围内召回共享知识与角色经验，执行 Agent 形成答案，评估 Agent 依据来源、时效和置信度给出可解释判断。两类任务均记录启用/未启用记忆体时的关键事实召回、重复沟通次数、任务完成质量和协作一致性，以形成可比较的效果报告。</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600"/>
        <w:gridCol w:w="2520"/>
        <w:gridCol w:w="1728"/>
      </w:tblGrid>
      <w:tr w14:paraId="5B2F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393C3C0">
            <w:pPr>
              <w:spacing w:before="40" w:after="40" w:line="240" w:lineRule="auto"/>
              <w:jc w:val="center"/>
            </w:pPr>
            <w:r>
              <w:rPr>
                <w:rFonts w:ascii="微软雅黑" w:hAnsi="微软雅黑" w:eastAsia="微软雅黑"/>
                <w:b/>
                <w:color w:val="FFFFFF"/>
                <w:sz w:val="19"/>
              </w:rPr>
              <w:t>场景</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F88609B">
            <w:pPr>
              <w:spacing w:before="40" w:after="40" w:line="240" w:lineRule="auto"/>
              <w:jc w:val="center"/>
            </w:pPr>
            <w:r>
              <w:rPr>
                <w:rFonts w:ascii="微软雅黑" w:hAnsi="微软雅黑" w:eastAsia="微软雅黑"/>
                <w:b/>
                <w:color w:val="FFFFFF"/>
                <w:sz w:val="19"/>
              </w:rPr>
              <w:t>任务示例</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4338689">
            <w:pPr>
              <w:spacing w:before="40" w:after="40" w:line="240" w:lineRule="auto"/>
              <w:jc w:val="center"/>
            </w:pPr>
            <w:r>
              <w:rPr>
                <w:rFonts w:ascii="微软雅黑" w:hAnsi="微软雅黑" w:eastAsia="微软雅黑"/>
                <w:b/>
                <w:color w:val="FFFFFF"/>
                <w:sz w:val="19"/>
              </w:rPr>
              <w:t>可交付成果</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0AE5144">
            <w:pPr>
              <w:spacing w:before="40" w:after="40" w:line="240" w:lineRule="auto"/>
              <w:jc w:val="center"/>
            </w:pPr>
            <w:r>
              <w:rPr>
                <w:rFonts w:ascii="微软雅黑" w:hAnsi="微软雅黑" w:eastAsia="微软雅黑"/>
                <w:b/>
                <w:color w:val="FFFFFF"/>
                <w:sz w:val="19"/>
              </w:rPr>
              <w:t>验证指标</w:t>
            </w:r>
          </w:p>
        </w:tc>
      </w:tr>
      <w:tr w14:paraId="4010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024F8F">
            <w:pPr>
              <w:spacing w:before="40" w:after="40" w:line="240" w:lineRule="auto"/>
              <w:jc w:val="center"/>
            </w:pPr>
            <w:r>
              <w:rPr>
                <w:rFonts w:ascii="微软雅黑" w:hAnsi="微软雅黑" w:eastAsia="微软雅黑"/>
                <w:b w:val="0"/>
                <w:color w:val="000000"/>
                <w:sz w:val="18"/>
              </w:rPr>
              <w:t>研发与项目知识协同</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8769A63">
            <w:pPr>
              <w:spacing w:before="40" w:after="40" w:line="240" w:lineRule="auto"/>
              <w:jc w:val="left"/>
            </w:pPr>
            <w:r>
              <w:rPr>
                <w:rFonts w:ascii="微软雅黑" w:hAnsi="微软雅黑" w:eastAsia="微软雅黑"/>
                <w:b w:val="0"/>
                <w:color w:val="000000"/>
                <w:sz w:val="18"/>
              </w:rPr>
              <w:t>跨文档检索、任务拆解、方案生成、校验与归档</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C9DE27">
            <w:pPr>
              <w:spacing w:before="40" w:after="40" w:line="240" w:lineRule="auto"/>
              <w:jc w:val="center"/>
            </w:pPr>
            <w:r>
              <w:rPr>
                <w:rFonts w:ascii="微软雅黑" w:hAnsi="微软雅黑" w:eastAsia="微软雅黑"/>
                <w:b w:val="0"/>
                <w:color w:val="000000"/>
                <w:sz w:val="18"/>
              </w:rPr>
              <w:t>结构化方案、证据索引、执行轨迹</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6291A75">
            <w:pPr>
              <w:spacing w:before="40" w:after="40" w:line="240" w:lineRule="auto"/>
              <w:jc w:val="left"/>
            </w:pPr>
            <w:r>
              <w:rPr>
                <w:rFonts w:ascii="微软雅黑" w:hAnsi="微软雅黑" w:eastAsia="微软雅黑"/>
                <w:b w:val="0"/>
                <w:color w:val="000000"/>
                <w:sz w:val="18"/>
              </w:rPr>
              <w:t>任务周期、人工检索时长、返工次数</w:t>
            </w:r>
          </w:p>
        </w:tc>
      </w:tr>
      <w:tr w14:paraId="29C8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82183E0">
            <w:pPr>
              <w:spacing w:before="40" w:after="40" w:line="240" w:lineRule="auto"/>
              <w:jc w:val="center"/>
            </w:pPr>
            <w:r>
              <w:rPr>
                <w:rFonts w:ascii="微软雅黑" w:hAnsi="微软雅黑" w:eastAsia="微软雅黑"/>
                <w:b w:val="0"/>
                <w:color w:val="000000"/>
                <w:sz w:val="18"/>
              </w:rPr>
              <w:t>软件工程协作</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1AE04EC">
            <w:pPr>
              <w:spacing w:before="40" w:after="40" w:line="240" w:lineRule="auto"/>
              <w:jc w:val="left"/>
            </w:pPr>
            <w:r>
              <w:rPr>
                <w:rFonts w:ascii="微软雅黑" w:hAnsi="微软雅黑" w:eastAsia="微软雅黑"/>
                <w:b w:val="0"/>
                <w:color w:val="000000"/>
                <w:sz w:val="18"/>
              </w:rPr>
              <w:t>需求分析、代码/文档生成、测试检查、问题交接</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4745C4B">
            <w:pPr>
              <w:spacing w:before="40" w:after="40" w:line="240" w:lineRule="auto"/>
              <w:jc w:val="center"/>
            </w:pPr>
            <w:r>
              <w:rPr>
                <w:rFonts w:ascii="微软雅黑" w:hAnsi="微软雅黑" w:eastAsia="微软雅黑"/>
                <w:b w:val="0"/>
                <w:color w:val="000000"/>
                <w:sz w:val="18"/>
              </w:rPr>
              <w:t>需求说明、变更记录、测试报告</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148F107">
            <w:pPr>
              <w:spacing w:before="40" w:after="40" w:line="240" w:lineRule="auto"/>
              <w:jc w:val="left"/>
            </w:pPr>
            <w:r>
              <w:rPr>
                <w:rFonts w:ascii="微软雅黑" w:hAnsi="微软雅黑" w:eastAsia="微软雅黑"/>
                <w:b w:val="0"/>
                <w:color w:val="000000"/>
                <w:sz w:val="18"/>
              </w:rPr>
              <w:t>交付周期、缺陷闭环率、工具调用成功率</w:t>
            </w:r>
          </w:p>
        </w:tc>
      </w:tr>
      <w:tr w14:paraId="15F0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BB9D80C">
            <w:pPr>
              <w:spacing w:before="40" w:after="40" w:line="240" w:lineRule="auto"/>
              <w:jc w:val="center"/>
            </w:pPr>
            <w:r>
              <w:rPr>
                <w:rFonts w:ascii="微软雅黑" w:hAnsi="微软雅黑" w:eastAsia="微软雅黑"/>
                <w:b w:val="0"/>
                <w:color w:val="000000"/>
                <w:sz w:val="18"/>
              </w:rPr>
              <w:t>专业报告生产</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E46E847">
            <w:pPr>
              <w:spacing w:before="40" w:after="40" w:line="240" w:lineRule="auto"/>
              <w:jc w:val="left"/>
            </w:pPr>
            <w:r>
              <w:rPr>
                <w:rFonts w:ascii="微软雅黑" w:hAnsi="微软雅黑" w:eastAsia="微软雅黑"/>
                <w:b w:val="0"/>
                <w:color w:val="000000"/>
                <w:sz w:val="18"/>
              </w:rPr>
              <w:t>资料汇总、分析、撰写、审校与版本管理</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7B102D7">
            <w:pPr>
              <w:spacing w:before="40" w:after="40" w:line="240" w:lineRule="auto"/>
              <w:jc w:val="center"/>
            </w:pPr>
            <w:r>
              <w:rPr>
                <w:rFonts w:ascii="微软雅黑" w:hAnsi="微软雅黑" w:eastAsia="微软雅黑"/>
                <w:b w:val="0"/>
                <w:color w:val="000000"/>
                <w:sz w:val="18"/>
              </w:rPr>
              <w:t>带来源的报告初稿和审校清单</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7462022">
            <w:pPr>
              <w:spacing w:before="40" w:after="40" w:line="240" w:lineRule="auto"/>
              <w:jc w:val="left"/>
            </w:pPr>
            <w:r>
              <w:rPr>
                <w:rFonts w:ascii="微软雅黑" w:hAnsi="微软雅黑" w:eastAsia="微软雅黑"/>
                <w:b w:val="0"/>
                <w:color w:val="000000"/>
                <w:sz w:val="18"/>
              </w:rPr>
              <w:t>资料覆盖率、审校轮次、用户满意度</w:t>
            </w:r>
          </w:p>
        </w:tc>
      </w:tr>
    </w:tbl>
    <w:p w14:paraId="0555FD12">
      <w:pPr>
        <w:pStyle w:val="3"/>
        <w:spacing w:before="300" w:after="140"/>
      </w:pPr>
      <w:bookmarkStart w:id="14" w:name="_Toc17830"/>
      <w:r>
        <w:rPr>
          <w:rFonts w:ascii="微软雅黑" w:hAnsi="微软雅黑" w:eastAsia="微软雅黑"/>
          <w:b/>
          <w:color w:val="000000"/>
          <w:sz w:val="30"/>
        </w:rPr>
        <w:t>六、商业模式与盈利路径</w:t>
      </w:r>
      <w:bookmarkEnd w:id="14"/>
    </w:p>
    <w:p w14:paraId="7C378809">
      <w:pPr>
        <w:pStyle w:val="4"/>
        <w:spacing w:before="200" w:after="140"/>
      </w:pPr>
      <w:bookmarkStart w:id="15" w:name="_Toc811"/>
      <w:r>
        <w:rPr>
          <w:rFonts w:ascii="微软雅黑" w:hAnsi="微软雅黑" w:eastAsia="微软雅黑"/>
          <w:b/>
          <w:color w:val="000000"/>
          <w:sz w:val="24"/>
        </w:rPr>
        <w:t>6.1 商业模式设计</w:t>
      </w:r>
      <w:bookmarkEnd w:id="15"/>
    </w:p>
    <w:p w14:paraId="5EC9CC43">
      <w:pPr>
        <w:spacing w:after="140" w:line="348" w:lineRule="auto"/>
        <w:ind w:firstLine="403"/>
      </w:pPr>
      <w:r>
        <w:rPr>
          <w:rFonts w:ascii="微软雅黑" w:hAnsi="微软雅黑" w:eastAsia="微软雅黑"/>
          <w:b w:val="0"/>
          <w:color w:val="000000"/>
          <w:sz w:val="21"/>
        </w:rPr>
        <w:t>织枢采用“平台订阅 + 私有化部署 + 行业交付 + 持续运维”的组合模式。订阅模式用于低门槛验证，私有化与专属部署覆盖有数据边界和集成要求的客户，行业交付将客户业务流程、工具和知识资产沉淀为可复用模板，持续运维则形成长期服务收入。该设计有助于在早期通过项目制获得场景与现金流，并逐步提高标准化产品收入占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456"/>
        <w:gridCol w:w="2088"/>
        <w:gridCol w:w="2448"/>
      </w:tblGrid>
      <w:tr w14:paraId="15ED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7D54A40">
            <w:pPr>
              <w:spacing w:before="40" w:after="40" w:line="240" w:lineRule="auto"/>
              <w:jc w:val="center"/>
            </w:pPr>
            <w:r>
              <w:rPr>
                <w:rFonts w:ascii="微软雅黑" w:hAnsi="微软雅黑" w:eastAsia="微软雅黑"/>
                <w:b/>
                <w:color w:val="FFFFFF"/>
                <w:sz w:val="19"/>
              </w:rPr>
              <w:t>收入项</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DEB714">
            <w:pPr>
              <w:spacing w:before="40" w:after="40" w:line="240" w:lineRule="auto"/>
              <w:jc w:val="center"/>
            </w:pPr>
            <w:r>
              <w:rPr>
                <w:rFonts w:ascii="微软雅黑" w:hAnsi="微软雅黑" w:eastAsia="微软雅黑"/>
                <w:b/>
                <w:color w:val="FFFFFF"/>
                <w:sz w:val="19"/>
              </w:rPr>
              <w:t>客户获得内容</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F1D2E0E">
            <w:pPr>
              <w:spacing w:before="40" w:after="40" w:line="240" w:lineRule="auto"/>
              <w:jc w:val="center"/>
            </w:pPr>
            <w:r>
              <w:rPr>
                <w:rFonts w:ascii="微软雅黑" w:hAnsi="微软雅黑" w:eastAsia="微软雅黑"/>
                <w:b/>
                <w:color w:val="FFFFFF"/>
                <w:sz w:val="19"/>
              </w:rPr>
              <w:t>适用客户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098E422">
            <w:pPr>
              <w:spacing w:before="40" w:after="40" w:line="240" w:lineRule="auto"/>
              <w:jc w:val="center"/>
            </w:pPr>
            <w:r>
              <w:rPr>
                <w:rFonts w:ascii="微软雅黑" w:hAnsi="微软雅黑" w:eastAsia="微软雅黑"/>
                <w:b/>
                <w:color w:val="FFFFFF"/>
                <w:sz w:val="19"/>
              </w:rPr>
              <w:t>定价依据</w:t>
            </w:r>
          </w:p>
        </w:tc>
      </w:tr>
      <w:tr w14:paraId="0481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566742">
            <w:pPr>
              <w:spacing w:before="40" w:after="40" w:line="240" w:lineRule="auto"/>
              <w:jc w:val="center"/>
            </w:pPr>
            <w:r>
              <w:rPr>
                <w:rFonts w:ascii="微软雅黑" w:hAnsi="微软雅黑" w:eastAsia="微软雅黑"/>
                <w:b w:val="0"/>
                <w:color w:val="000000"/>
                <w:sz w:val="18"/>
              </w:rPr>
              <w:t>试点与 PoC 服务</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83176CB">
            <w:pPr>
              <w:spacing w:before="40" w:after="40" w:line="240" w:lineRule="auto"/>
              <w:jc w:val="center"/>
            </w:pPr>
            <w:r>
              <w:rPr>
                <w:rFonts w:ascii="微软雅黑" w:hAnsi="微软雅黑" w:eastAsia="微软雅黑"/>
                <w:b w:val="0"/>
                <w:color w:val="000000"/>
                <w:sz w:val="18"/>
              </w:rPr>
              <w:t>场景梳理、原型工作流、验收报告</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4604E36">
            <w:pPr>
              <w:spacing w:before="40" w:after="40" w:line="240" w:lineRule="auto"/>
              <w:jc w:val="center"/>
            </w:pPr>
            <w:r>
              <w:rPr>
                <w:rFonts w:ascii="微软雅黑" w:hAnsi="微软雅黑" w:eastAsia="微软雅黑"/>
                <w:b w:val="0"/>
                <w:color w:val="000000"/>
                <w:sz w:val="18"/>
              </w:rPr>
              <w:t>首次接触的组织客户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C7C1ED5">
            <w:pPr>
              <w:spacing w:before="40" w:after="40" w:line="240" w:lineRule="auto"/>
              <w:jc w:val="left"/>
            </w:pPr>
            <w:r>
              <w:rPr>
                <w:rFonts w:ascii="微软雅黑" w:hAnsi="微软雅黑" w:eastAsia="微软雅黑"/>
                <w:b w:val="0"/>
                <w:color w:val="000000"/>
                <w:sz w:val="18"/>
              </w:rPr>
              <w:t>按任务复杂度、集成范围、服务周期</w:t>
            </w:r>
          </w:p>
        </w:tc>
      </w:tr>
      <w:tr w14:paraId="4884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9474E72">
            <w:pPr>
              <w:spacing w:before="40" w:after="40" w:line="240" w:lineRule="auto"/>
              <w:jc w:val="center"/>
            </w:pPr>
            <w:r>
              <w:rPr>
                <w:rFonts w:ascii="微软雅黑" w:hAnsi="微软雅黑" w:eastAsia="微软雅黑"/>
                <w:b w:val="0"/>
                <w:color w:val="000000"/>
                <w:sz w:val="18"/>
              </w:rPr>
              <w:t>平台订阅</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FDC7CBD">
            <w:pPr>
              <w:spacing w:before="40" w:after="40" w:line="240" w:lineRule="auto"/>
              <w:jc w:val="left"/>
            </w:pPr>
            <w:r>
              <w:rPr>
                <w:rFonts w:ascii="微软雅黑" w:hAnsi="微软雅黑" w:eastAsia="微软雅黑"/>
                <w:b w:val="0"/>
                <w:color w:val="000000"/>
                <w:sz w:val="18"/>
              </w:rPr>
              <w:t>账号、基础编排、模型/工具接入、运行观测</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07FDF4E">
            <w:pPr>
              <w:spacing w:before="40" w:after="40" w:line="240" w:lineRule="auto"/>
              <w:jc w:val="center"/>
            </w:pPr>
            <w:r>
              <w:rPr>
                <w:rFonts w:ascii="微软雅黑" w:hAnsi="微软雅黑" w:eastAsia="微软雅黑"/>
                <w:b w:val="0"/>
                <w:color w:val="000000"/>
                <w:sz w:val="18"/>
              </w:rPr>
              <w:t>中小团队和创新部门</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46F325C">
            <w:pPr>
              <w:spacing w:before="40" w:after="40" w:line="240" w:lineRule="auto"/>
              <w:jc w:val="center"/>
            </w:pPr>
            <w:r>
              <w:rPr>
                <w:rFonts w:ascii="微软雅黑" w:hAnsi="微软雅黑" w:eastAsia="微软雅黑"/>
                <w:b w:val="0"/>
                <w:color w:val="000000"/>
                <w:sz w:val="18"/>
              </w:rPr>
              <w:t>按席位、任务量或资源包</w:t>
            </w:r>
          </w:p>
        </w:tc>
      </w:tr>
      <w:tr w14:paraId="2CFC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BE7B88E">
            <w:pPr>
              <w:spacing w:before="40" w:after="40" w:line="240" w:lineRule="auto"/>
              <w:jc w:val="center"/>
            </w:pPr>
            <w:r>
              <w:rPr>
                <w:rFonts w:ascii="微软雅黑" w:hAnsi="微软雅黑" w:eastAsia="微软雅黑"/>
                <w:b w:val="0"/>
                <w:color w:val="000000"/>
                <w:sz w:val="18"/>
              </w:rPr>
              <w:t>私有化部署</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DB2CF4B">
            <w:pPr>
              <w:spacing w:before="40" w:after="40" w:line="240" w:lineRule="auto"/>
              <w:jc w:val="left"/>
            </w:pPr>
            <w:r>
              <w:rPr>
                <w:rFonts w:ascii="微软雅黑" w:hAnsi="微软雅黑" w:eastAsia="微软雅黑"/>
                <w:b w:val="0"/>
                <w:color w:val="000000"/>
                <w:sz w:val="18"/>
              </w:rPr>
              <w:t>专属环境、权限治理、系统集成、运维支持</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F35C11">
            <w:pPr>
              <w:spacing w:before="40" w:after="40" w:line="240" w:lineRule="auto"/>
              <w:jc w:val="center"/>
            </w:pPr>
            <w:r>
              <w:rPr>
                <w:rFonts w:ascii="微软雅黑" w:hAnsi="微软雅黑" w:eastAsia="微软雅黑"/>
                <w:b w:val="0"/>
                <w:color w:val="000000"/>
                <w:sz w:val="18"/>
              </w:rPr>
              <w:t>政企与敏感数据客户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3EAA77">
            <w:pPr>
              <w:spacing w:before="40" w:after="40" w:line="240" w:lineRule="auto"/>
              <w:jc w:val="center"/>
            </w:pPr>
            <w:r>
              <w:rPr>
                <w:rFonts w:ascii="微软雅黑" w:hAnsi="微软雅黑" w:eastAsia="微软雅黑"/>
                <w:b w:val="0"/>
                <w:color w:val="000000"/>
                <w:sz w:val="18"/>
              </w:rPr>
              <w:t>按部署规模、并发、支持等级</w:t>
            </w:r>
          </w:p>
        </w:tc>
      </w:tr>
      <w:tr w14:paraId="2792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CA92C06">
            <w:pPr>
              <w:spacing w:before="40" w:after="40" w:line="240" w:lineRule="auto"/>
              <w:jc w:val="center"/>
            </w:pPr>
            <w:r>
              <w:rPr>
                <w:rFonts w:ascii="微软雅黑" w:hAnsi="微软雅黑" w:eastAsia="微软雅黑"/>
                <w:b w:val="0"/>
                <w:color w:val="000000"/>
                <w:sz w:val="18"/>
              </w:rPr>
              <w:t>行业解决方案</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58469F4">
            <w:pPr>
              <w:spacing w:before="40" w:after="40" w:line="240" w:lineRule="auto"/>
              <w:jc w:val="left"/>
            </w:pPr>
            <w:r>
              <w:rPr>
                <w:rFonts w:ascii="微软雅黑" w:hAnsi="微软雅黑" w:eastAsia="微软雅黑"/>
                <w:b w:val="0"/>
                <w:color w:val="000000"/>
                <w:sz w:val="18"/>
              </w:rPr>
              <w:t>行业模板、知识工程、流程与交付服务</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12A9B33">
            <w:pPr>
              <w:spacing w:before="40" w:after="40" w:line="240" w:lineRule="auto"/>
              <w:jc w:val="center"/>
            </w:pPr>
            <w:r>
              <w:rPr>
                <w:rFonts w:ascii="微软雅黑" w:hAnsi="微软雅黑" w:eastAsia="微软雅黑"/>
                <w:b w:val="0"/>
                <w:color w:val="000000"/>
                <w:sz w:val="18"/>
              </w:rPr>
              <w:t>有明确业务流程的客户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7D7AD6B">
            <w:pPr>
              <w:spacing w:before="40" w:after="40" w:line="240" w:lineRule="auto"/>
              <w:jc w:val="center"/>
            </w:pPr>
            <w:r>
              <w:rPr>
                <w:rFonts w:ascii="微软雅黑" w:hAnsi="微软雅黑" w:eastAsia="微软雅黑"/>
                <w:b w:val="0"/>
                <w:color w:val="000000"/>
                <w:sz w:val="18"/>
              </w:rPr>
              <w:t>按行业场景、交付里程碑</w:t>
            </w:r>
          </w:p>
        </w:tc>
      </w:tr>
      <w:tr w14:paraId="6A92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C2D064B">
            <w:pPr>
              <w:spacing w:before="40" w:after="40" w:line="240" w:lineRule="auto"/>
              <w:jc w:val="center"/>
            </w:pPr>
            <w:r>
              <w:rPr>
                <w:rFonts w:ascii="微软雅黑" w:hAnsi="微软雅黑" w:eastAsia="微软雅黑"/>
                <w:b w:val="0"/>
                <w:color w:val="000000"/>
                <w:sz w:val="18"/>
              </w:rPr>
              <w:t>增值服务</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CEBFD4B">
            <w:pPr>
              <w:spacing w:before="40" w:after="40" w:line="240" w:lineRule="auto"/>
              <w:jc w:val="left"/>
            </w:pPr>
            <w:r>
              <w:rPr>
                <w:rFonts w:ascii="微软雅黑" w:hAnsi="微软雅黑" w:eastAsia="微软雅黑"/>
                <w:b w:val="0"/>
                <w:color w:val="000000"/>
                <w:sz w:val="18"/>
              </w:rPr>
              <w:t>高级审计、定制 Skill、培训、模型与资源优化</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ABF532B">
            <w:pPr>
              <w:spacing w:before="40" w:after="40" w:line="240" w:lineRule="auto"/>
              <w:jc w:val="center"/>
            </w:pPr>
            <w:r>
              <w:rPr>
                <w:rFonts w:ascii="微软雅黑" w:hAnsi="微软雅黑" w:eastAsia="微软雅黑"/>
                <w:b w:val="0"/>
                <w:color w:val="000000"/>
                <w:sz w:val="18"/>
              </w:rPr>
              <w:t>规模化客户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D0A8DE">
            <w:pPr>
              <w:spacing w:before="40" w:after="40" w:line="240" w:lineRule="auto"/>
              <w:jc w:val="center"/>
            </w:pPr>
            <w:r>
              <w:rPr>
                <w:rFonts w:ascii="微软雅黑" w:hAnsi="微软雅黑" w:eastAsia="微软雅黑"/>
                <w:b w:val="0"/>
                <w:color w:val="000000"/>
                <w:sz w:val="18"/>
              </w:rPr>
              <w:t>按模块或年度服务</w:t>
            </w:r>
          </w:p>
        </w:tc>
      </w:tr>
    </w:tbl>
    <w:p w14:paraId="7766B232">
      <w:pPr>
        <w:spacing w:after="40"/>
      </w:pPr>
    </w:p>
    <w:p w14:paraId="1347BA61">
      <w:pPr>
        <w:pStyle w:val="4"/>
        <w:spacing w:before="200" w:after="140"/>
      </w:pPr>
      <w:bookmarkStart w:id="16" w:name="_Toc8301"/>
      <w:r>
        <w:rPr>
          <w:rFonts w:ascii="微软雅黑" w:hAnsi="微软雅黑" w:eastAsia="微软雅黑"/>
          <w:b/>
          <w:color w:val="000000"/>
          <w:sz w:val="24"/>
        </w:rPr>
        <w:t>6.2 单位经济模型</w:t>
      </w:r>
      <w:bookmarkEnd w:id="16"/>
    </w:p>
    <w:p w14:paraId="2EB6416F">
      <w:pPr>
        <w:spacing w:after="140" w:line="348" w:lineRule="auto"/>
        <w:ind w:firstLine="403"/>
      </w:pPr>
      <w:r>
        <w:rPr>
          <w:rFonts w:ascii="微软雅黑" w:hAnsi="微软雅黑" w:eastAsia="微软雅黑"/>
          <w:b w:val="0"/>
          <w:color w:val="000000"/>
          <w:sz w:val="21"/>
        </w:rPr>
        <w:t>单位经济模型应围绕获客成本、实施人天、模型/算力成本、运维成本、客户年合同额、续费率和毛利率展开。早期项目制交付应明确限制非标准定制比例，避免服务收入增长而产品能力无法沉淀；中期应将高频流程抽象为行业模板和 Skill，提高交付复用率。</w:t>
      </w:r>
    </w:p>
    <w:p w14:paraId="2F9E7251">
      <w:pPr>
        <w:pStyle w:val="3"/>
        <w:spacing w:before="300" w:after="140"/>
      </w:pPr>
      <w:bookmarkStart w:id="17" w:name="_Toc5219"/>
      <w:r>
        <w:rPr>
          <w:rFonts w:ascii="微软雅黑" w:hAnsi="微软雅黑" w:eastAsia="微软雅黑"/>
          <w:b/>
          <w:color w:val="000000"/>
          <w:sz w:val="30"/>
        </w:rPr>
        <w:t>七、市场进入与营销策略</w:t>
      </w:r>
      <w:bookmarkEnd w:id="17"/>
    </w:p>
    <w:p w14:paraId="4A4D67F9">
      <w:pPr>
        <w:pStyle w:val="4"/>
        <w:spacing w:before="200" w:after="140"/>
      </w:pPr>
      <w:bookmarkStart w:id="18" w:name="_Toc11710"/>
      <w:r>
        <w:rPr>
          <w:rFonts w:ascii="微软雅黑" w:hAnsi="微软雅黑" w:eastAsia="微软雅黑"/>
          <w:b/>
          <w:color w:val="000000"/>
          <w:sz w:val="24"/>
        </w:rPr>
        <w:t>7.1 获客路径</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592"/>
        <w:gridCol w:w="3816"/>
        <w:gridCol w:w="1584"/>
      </w:tblGrid>
      <w:tr w14:paraId="5B0A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EEFA046">
            <w:pPr>
              <w:spacing w:before="40" w:after="40" w:line="240" w:lineRule="auto"/>
              <w:jc w:val="center"/>
            </w:pPr>
            <w:r>
              <w:rPr>
                <w:rFonts w:ascii="微软雅黑" w:hAnsi="微软雅黑" w:eastAsia="微软雅黑"/>
                <w:b/>
                <w:color w:val="FFFFFF"/>
                <w:sz w:val="19"/>
              </w:rPr>
              <w:t>阶段</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2EEFE1C">
            <w:pPr>
              <w:spacing w:before="40" w:after="40" w:line="240" w:lineRule="auto"/>
              <w:jc w:val="center"/>
            </w:pPr>
            <w:r>
              <w:rPr>
                <w:rFonts w:ascii="微软雅黑" w:hAnsi="微软雅黑" w:eastAsia="微软雅黑"/>
                <w:b/>
                <w:color w:val="FFFFFF"/>
                <w:sz w:val="19"/>
              </w:rPr>
              <w:t>目标</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03A0EA4">
            <w:pPr>
              <w:spacing w:before="40" w:after="40" w:line="240" w:lineRule="auto"/>
              <w:jc w:val="center"/>
            </w:pPr>
            <w:r>
              <w:rPr>
                <w:rFonts w:ascii="微软雅黑" w:hAnsi="微软雅黑" w:eastAsia="微软雅黑"/>
                <w:b/>
                <w:color w:val="FFFFFF"/>
                <w:sz w:val="19"/>
              </w:rPr>
              <w:t>关键动作</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FBFB5AA">
            <w:pPr>
              <w:spacing w:before="40" w:after="40" w:line="240" w:lineRule="auto"/>
              <w:jc w:val="center"/>
            </w:pPr>
            <w:r>
              <w:rPr>
                <w:rFonts w:ascii="微软雅黑" w:hAnsi="微软雅黑" w:eastAsia="微软雅黑"/>
                <w:b/>
                <w:color w:val="FFFFFF"/>
                <w:sz w:val="19"/>
              </w:rPr>
              <w:t>衡量指标</w:t>
            </w:r>
          </w:p>
        </w:tc>
      </w:tr>
      <w:tr w14:paraId="1097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346E196">
            <w:pPr>
              <w:spacing w:before="40" w:after="40" w:line="240" w:lineRule="auto"/>
              <w:jc w:val="center"/>
            </w:pPr>
            <w:r>
              <w:rPr>
                <w:rFonts w:ascii="微软雅黑" w:hAnsi="微软雅黑" w:eastAsia="微软雅黑"/>
                <w:b w:val="0"/>
                <w:color w:val="000000"/>
                <w:sz w:val="18"/>
              </w:rPr>
              <w:t>0 至 6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377F2A6">
            <w:pPr>
              <w:spacing w:before="40" w:after="40" w:line="240" w:lineRule="auto"/>
              <w:jc w:val="center"/>
            </w:pPr>
            <w:r>
              <w:rPr>
                <w:rFonts w:ascii="微软雅黑" w:hAnsi="微软雅黑" w:eastAsia="微软雅黑"/>
                <w:b w:val="0"/>
                <w:color w:val="000000"/>
                <w:sz w:val="18"/>
              </w:rPr>
              <w:t>获得可验证的场景与首批种子用户</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0D4918D">
            <w:pPr>
              <w:spacing w:before="40" w:after="40" w:line="240" w:lineRule="auto"/>
              <w:jc w:val="left"/>
            </w:pPr>
            <w:r>
              <w:rPr>
                <w:rFonts w:ascii="微软雅黑" w:hAnsi="微软雅黑" w:eastAsia="微软雅黑"/>
                <w:b w:val="0"/>
                <w:color w:val="000000"/>
                <w:sz w:val="18"/>
              </w:rPr>
              <w:t>联合高校/实验室/区域企业完成 3 个付费或共创试点</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51F757">
            <w:pPr>
              <w:spacing w:before="40" w:after="40" w:line="240" w:lineRule="auto"/>
              <w:jc w:val="left"/>
            </w:pPr>
            <w:r>
              <w:rPr>
                <w:rFonts w:ascii="微软雅黑" w:hAnsi="微软雅黑" w:eastAsia="微软雅黑"/>
                <w:b w:val="0"/>
                <w:color w:val="000000"/>
                <w:sz w:val="18"/>
              </w:rPr>
              <w:t>试点数、任务完成证据、用户复用率</w:t>
            </w:r>
          </w:p>
        </w:tc>
      </w:tr>
      <w:tr w14:paraId="6BE9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E6F099A">
            <w:pPr>
              <w:spacing w:before="40" w:after="40" w:line="240" w:lineRule="auto"/>
              <w:jc w:val="center"/>
            </w:pPr>
            <w:r>
              <w:rPr>
                <w:rFonts w:ascii="微软雅黑" w:hAnsi="微软雅黑" w:eastAsia="微软雅黑"/>
                <w:b w:val="0"/>
                <w:color w:val="000000"/>
                <w:sz w:val="18"/>
              </w:rPr>
              <w:t>6 至 18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1F04382">
            <w:pPr>
              <w:spacing w:before="40" w:after="40" w:line="240" w:lineRule="auto"/>
              <w:jc w:val="center"/>
            </w:pPr>
            <w:r>
              <w:rPr>
                <w:rFonts w:ascii="微软雅黑" w:hAnsi="微软雅黑" w:eastAsia="微软雅黑"/>
                <w:b w:val="0"/>
                <w:color w:val="000000"/>
                <w:sz w:val="18"/>
              </w:rPr>
              <w:t>形成可复制的细分行业方案</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45D7897">
            <w:pPr>
              <w:spacing w:before="40" w:after="40" w:line="240" w:lineRule="auto"/>
              <w:jc w:val="left"/>
            </w:pPr>
            <w:r>
              <w:rPr>
                <w:rFonts w:ascii="微软雅黑" w:hAnsi="微软雅黑" w:eastAsia="微软雅黑"/>
                <w:b w:val="0"/>
                <w:color w:val="000000"/>
                <w:sz w:val="18"/>
              </w:rPr>
              <w:t>沉淀 2 至 3 套模板，建立伙伴与集成商合作</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91D77C0">
            <w:pPr>
              <w:spacing w:before="40" w:after="40" w:line="240" w:lineRule="auto"/>
              <w:jc w:val="left"/>
            </w:pPr>
            <w:r>
              <w:rPr>
                <w:rFonts w:ascii="微软雅黑" w:hAnsi="微软雅黑" w:eastAsia="微软雅黑"/>
                <w:b w:val="0"/>
                <w:color w:val="000000"/>
                <w:sz w:val="18"/>
              </w:rPr>
              <w:t>商机数、转化率、合同额、交付复用率</w:t>
            </w:r>
          </w:p>
        </w:tc>
      </w:tr>
      <w:tr w14:paraId="594D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110531E">
            <w:pPr>
              <w:spacing w:before="40" w:after="40" w:line="240" w:lineRule="auto"/>
              <w:jc w:val="center"/>
            </w:pPr>
            <w:r>
              <w:rPr>
                <w:rFonts w:ascii="微软雅黑" w:hAnsi="微软雅黑" w:eastAsia="微软雅黑"/>
                <w:b w:val="0"/>
                <w:color w:val="000000"/>
                <w:sz w:val="18"/>
              </w:rPr>
              <w:t>18 至 36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9164A5A">
            <w:pPr>
              <w:spacing w:before="40" w:after="40" w:line="240" w:lineRule="auto"/>
              <w:jc w:val="center"/>
            </w:pPr>
            <w:r>
              <w:rPr>
                <w:rFonts w:ascii="微软雅黑" w:hAnsi="微软雅黑" w:eastAsia="微软雅黑"/>
                <w:b w:val="0"/>
                <w:color w:val="000000"/>
                <w:sz w:val="18"/>
              </w:rPr>
              <w:t>提升标准化收入与续费能力</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BA6272">
            <w:pPr>
              <w:spacing w:before="40" w:after="40" w:line="240" w:lineRule="auto"/>
              <w:jc w:val="left"/>
            </w:pPr>
            <w:r>
              <w:rPr>
                <w:rFonts w:ascii="微软雅黑" w:hAnsi="微软雅黑" w:eastAsia="微软雅黑"/>
                <w:b w:val="0"/>
                <w:color w:val="000000"/>
                <w:sz w:val="18"/>
              </w:rPr>
              <w:t>推出订阅版和私有化标准包，建设客户成功体系</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B54A5F4">
            <w:pPr>
              <w:spacing w:before="40" w:after="40" w:line="240" w:lineRule="auto"/>
              <w:jc w:val="left"/>
            </w:pPr>
            <w:r>
              <w:rPr>
                <w:rFonts w:ascii="微软雅黑" w:hAnsi="微软雅黑" w:eastAsia="微软雅黑"/>
                <w:b w:val="0"/>
                <w:color w:val="000000"/>
                <w:sz w:val="18"/>
              </w:rPr>
              <w:t>ARR、续费率、毛利率、客户净推荐值</w:t>
            </w:r>
          </w:p>
        </w:tc>
      </w:tr>
    </w:tbl>
    <w:p w14:paraId="4E543F62">
      <w:pPr>
        <w:spacing w:after="40"/>
      </w:pPr>
    </w:p>
    <w:p w14:paraId="18B9F703">
      <w:pPr>
        <w:pStyle w:val="4"/>
        <w:spacing w:before="200" w:after="140"/>
      </w:pPr>
      <w:bookmarkStart w:id="19" w:name="_Toc14501"/>
      <w:r>
        <w:rPr>
          <w:rFonts w:ascii="微软雅黑" w:hAnsi="微软雅黑" w:eastAsia="微软雅黑"/>
          <w:b/>
          <w:color w:val="000000"/>
          <w:sz w:val="24"/>
        </w:rPr>
        <w:t>7.2 品牌与营销原则</w:t>
      </w:r>
      <w:bookmarkEnd w:id="19"/>
    </w:p>
    <w:p w14:paraId="2E4A94E4">
      <w:pPr>
        <w:spacing w:after="140" w:line="348" w:lineRule="auto"/>
        <w:ind w:firstLine="403"/>
        <w:rPr>
          <w:rFonts w:hint="default" w:eastAsia="微软雅黑"/>
          <w:lang w:val="en-US" w:eastAsia="zh-CN"/>
        </w:rPr>
      </w:pPr>
      <w:r>
        <w:rPr>
          <w:rFonts w:ascii="微软雅黑" w:hAnsi="微软雅黑" w:eastAsia="微软雅黑"/>
          <w:b w:val="0"/>
          <w:color w:val="000000"/>
          <w:sz w:val="21"/>
        </w:rPr>
        <w:t>品牌沟通应避免笼统宣称“替代员工”或“全自动完成所有任务”，而要围绕“复杂任务可持续推进”“协作过程可观察”“敏感任务可治理”建立可信认知。营销内容以真实工作流、前后对比、运行轨迹和客户反馈为主，形成从技术信任到业务价值的证据链。</w:t>
      </w:r>
      <w:r>
        <w:rPr>
          <w:rFonts w:hint="eastAsia"/>
          <w:b w:val="0"/>
          <w:color w:val="000000"/>
          <w:sz w:val="21"/>
          <w:lang w:val="en-US" w:eastAsia="zh-CN"/>
        </w:rPr>
        <w:t>首批试点客户渠道选择学校范围展开。</w:t>
      </w:r>
    </w:p>
    <w:p w14:paraId="767E9883">
      <w:pPr>
        <w:pStyle w:val="3"/>
        <w:spacing w:before="300" w:after="140"/>
      </w:pPr>
      <w:bookmarkStart w:id="20" w:name="_Toc12029"/>
      <w:r>
        <w:rPr>
          <w:rFonts w:ascii="微软雅黑" w:hAnsi="微软雅黑" w:eastAsia="微软雅黑"/>
          <w:b/>
          <w:color w:val="000000"/>
          <w:sz w:val="30"/>
        </w:rPr>
        <w:t>八、竞争格局与差异化定位</w:t>
      </w:r>
      <w:bookmarkEnd w:id="20"/>
    </w:p>
    <w:p w14:paraId="3A975251">
      <w:pPr>
        <w:spacing w:after="140" w:line="348" w:lineRule="auto"/>
        <w:ind w:firstLine="403"/>
      </w:pPr>
      <w:r>
        <w:rPr>
          <w:rFonts w:ascii="微软雅黑" w:hAnsi="微软雅黑" w:eastAsia="微软雅黑"/>
          <w:b w:val="0"/>
          <w:color w:val="000000"/>
          <w:sz w:val="21"/>
        </w:rPr>
        <w:t>织枢面对的是企业级智能体平台、云厂商 Agent 开发平台、办公/CRM 生态智能体和定制化系统集成方案的综合竞争，而不仅是开源框架竞争。竞品分析的重点放在客户已有的采购替代方案、生态绑定优势以及织枢可切入的空白需求。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304"/>
        <w:gridCol w:w="2376"/>
        <w:gridCol w:w="2880"/>
      </w:tblGrid>
      <w:tr w14:paraId="4C7E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3239CF4">
            <w:pPr>
              <w:spacing w:before="40" w:after="40" w:line="240" w:lineRule="auto"/>
              <w:jc w:val="center"/>
            </w:pPr>
            <w:r>
              <w:rPr>
                <w:rFonts w:ascii="微软雅黑" w:hAnsi="微软雅黑" w:eastAsia="微软雅黑"/>
                <w:b/>
                <w:color w:val="FFFFFF"/>
                <w:sz w:val="19"/>
              </w:rPr>
              <w:t>竞品/替代方案</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9090E44">
            <w:pPr>
              <w:spacing w:before="40" w:after="40" w:line="240" w:lineRule="auto"/>
              <w:jc w:val="center"/>
            </w:pPr>
            <w:r>
              <w:rPr>
                <w:rFonts w:ascii="微软雅黑" w:hAnsi="微软雅黑" w:eastAsia="微软雅黑"/>
                <w:b/>
                <w:color w:val="FFFFFF"/>
                <w:sz w:val="19"/>
              </w:rPr>
              <w:t>市场强项</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45E9A62">
            <w:pPr>
              <w:spacing w:before="40" w:after="40" w:line="240" w:lineRule="auto"/>
              <w:jc w:val="center"/>
            </w:pPr>
            <w:r>
              <w:rPr>
                <w:rFonts w:ascii="微软雅黑" w:hAnsi="微软雅黑" w:eastAsia="微软雅黑"/>
                <w:b/>
                <w:color w:val="FFFFFF"/>
                <w:sz w:val="19"/>
              </w:rPr>
              <w:t>对织枢的压力</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19EC2B3">
            <w:pPr>
              <w:spacing w:before="40" w:after="40" w:line="240" w:lineRule="auto"/>
              <w:jc w:val="center"/>
            </w:pPr>
            <w:r>
              <w:rPr>
                <w:rFonts w:ascii="微软雅黑" w:hAnsi="微软雅黑" w:eastAsia="微软雅黑"/>
                <w:b/>
                <w:color w:val="FFFFFF"/>
                <w:sz w:val="19"/>
              </w:rPr>
              <w:t>织枢的切入策略</w:t>
            </w:r>
          </w:p>
        </w:tc>
      </w:tr>
      <w:tr w14:paraId="06C1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3B422D6">
            <w:pPr>
              <w:spacing w:before="40" w:after="40" w:line="240" w:lineRule="auto"/>
              <w:jc w:val="left"/>
            </w:pPr>
            <w:r>
              <w:rPr>
                <w:rFonts w:ascii="微软雅黑" w:hAnsi="微软雅黑" w:eastAsia="微软雅黑"/>
                <w:b w:val="0"/>
                <w:color w:val="000000"/>
                <w:sz w:val="18"/>
              </w:rPr>
              <w:t>阿里云 AgentRun 等云原生平台</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488FC5">
            <w:pPr>
              <w:spacing w:before="40" w:after="40" w:line="240" w:lineRule="auto"/>
              <w:jc w:val="left"/>
            </w:pPr>
            <w:r>
              <w:rPr>
                <w:rFonts w:ascii="微软雅黑" w:hAnsi="微软雅黑" w:eastAsia="微软雅黑"/>
                <w:b w:val="0"/>
                <w:color w:val="000000"/>
                <w:sz w:val="18"/>
              </w:rPr>
              <w:t>基础设施、模型治理、沙箱、生态与企业交付</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01E768B">
            <w:pPr>
              <w:spacing w:before="40" w:after="40" w:line="240" w:lineRule="auto"/>
              <w:jc w:val="left"/>
            </w:pPr>
            <w:r>
              <w:rPr>
                <w:rFonts w:ascii="微软雅黑" w:hAnsi="微软雅黑" w:eastAsia="微软雅黑"/>
                <w:b w:val="0"/>
                <w:color w:val="000000"/>
                <w:sz w:val="18"/>
              </w:rPr>
              <w:t>客户可直接在云平台构建 Agent</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C0CF3E8">
            <w:pPr>
              <w:spacing w:before="40" w:after="40" w:line="240" w:lineRule="auto"/>
              <w:jc w:val="left"/>
            </w:pPr>
            <w:r>
              <w:rPr>
                <w:rFonts w:ascii="微软雅黑" w:hAnsi="微软雅黑" w:eastAsia="微软雅黑"/>
                <w:b w:val="0"/>
                <w:color w:val="000000"/>
                <w:sz w:val="18"/>
              </w:rPr>
              <w:t>强调长程任务治理、跨模型/资源编排和可私有化的任务执行闭环</w:t>
            </w:r>
          </w:p>
        </w:tc>
      </w:tr>
      <w:tr w14:paraId="7B3F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8DBC860">
            <w:pPr>
              <w:spacing w:before="40" w:after="40" w:line="240" w:lineRule="auto"/>
              <w:jc w:val="center"/>
            </w:pPr>
            <w:r>
              <w:rPr>
                <w:rFonts w:ascii="微软雅黑" w:hAnsi="微软雅黑" w:eastAsia="微软雅黑"/>
                <w:b w:val="0"/>
                <w:color w:val="000000"/>
                <w:sz w:val="18"/>
              </w:rPr>
              <w:t>腾讯云 ADP、百度千帆等平台</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5FE921D">
            <w:pPr>
              <w:spacing w:before="40" w:after="40" w:line="240" w:lineRule="auto"/>
              <w:jc w:val="left"/>
            </w:pPr>
            <w:r>
              <w:rPr>
                <w:rFonts w:ascii="微软雅黑" w:hAnsi="微软雅黑" w:eastAsia="微软雅黑"/>
                <w:b w:val="0"/>
                <w:color w:val="000000"/>
                <w:sz w:val="18"/>
              </w:rPr>
              <w:t>低代码开发、模型生态、企业连接与本地市场资源</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9EB890C">
            <w:pPr>
              <w:spacing w:before="40" w:after="40" w:line="240" w:lineRule="auto"/>
              <w:jc w:val="left"/>
            </w:pPr>
            <w:r>
              <w:rPr>
                <w:rFonts w:ascii="微软雅黑" w:hAnsi="微软雅黑" w:eastAsia="微软雅黑"/>
                <w:b w:val="0"/>
                <w:color w:val="000000"/>
                <w:sz w:val="18"/>
              </w:rPr>
              <w:t>国内客户对云生态和一站式能力的偏好</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9BCD5AE">
            <w:pPr>
              <w:spacing w:before="40" w:after="40" w:line="240" w:lineRule="auto"/>
              <w:jc w:val="left"/>
            </w:pPr>
            <w:r>
              <w:rPr>
                <w:rFonts w:ascii="微软雅黑" w:hAnsi="微软雅黑" w:eastAsia="微软雅黑"/>
                <w:b w:val="0"/>
                <w:color w:val="000000"/>
                <w:sz w:val="18"/>
              </w:rPr>
              <w:t>以细分场景模板和深度交付切入，提供可观测的协同与恢复能力</w:t>
            </w:r>
          </w:p>
        </w:tc>
      </w:tr>
      <w:tr w14:paraId="35F6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29C71B">
            <w:pPr>
              <w:spacing w:before="40" w:after="40" w:line="240" w:lineRule="auto"/>
              <w:jc w:val="left"/>
            </w:pPr>
            <w:r>
              <w:rPr>
                <w:rFonts w:ascii="微软雅黑" w:hAnsi="微软雅黑" w:eastAsia="微软雅黑"/>
                <w:b w:val="0"/>
                <w:color w:val="000000"/>
                <w:sz w:val="18"/>
              </w:rPr>
              <w:t>Microsoft Copilot Studio、Salesforce Agentforce</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FFD528A">
            <w:pPr>
              <w:spacing w:before="40" w:after="40" w:line="240" w:lineRule="auto"/>
              <w:jc w:val="left"/>
            </w:pPr>
            <w:r>
              <w:rPr>
                <w:rFonts w:ascii="微软雅黑" w:hAnsi="微软雅黑" w:eastAsia="微软雅黑"/>
                <w:b w:val="0"/>
                <w:color w:val="000000"/>
                <w:sz w:val="18"/>
              </w:rPr>
              <w:t>办公/CRM 数据和既有应用生态</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F6AC686">
            <w:pPr>
              <w:spacing w:before="40" w:after="40" w:line="240" w:lineRule="auto"/>
              <w:jc w:val="center"/>
            </w:pPr>
            <w:r>
              <w:rPr>
                <w:rFonts w:ascii="微软雅黑" w:hAnsi="微软雅黑" w:eastAsia="微软雅黑"/>
                <w:b w:val="0"/>
                <w:color w:val="000000"/>
                <w:sz w:val="18"/>
              </w:rPr>
              <w:t>生态内客户的迁移成本高</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C857E20">
            <w:pPr>
              <w:spacing w:before="40" w:after="40" w:line="240" w:lineRule="auto"/>
              <w:jc w:val="left"/>
            </w:pPr>
            <w:r>
              <w:rPr>
                <w:rFonts w:ascii="微软雅黑" w:hAnsi="微软雅黑" w:eastAsia="微软雅黑"/>
                <w:b w:val="0"/>
                <w:color w:val="000000"/>
                <w:sz w:val="18"/>
              </w:rPr>
              <w:t>优先服务其覆盖较弱的本地化、跨系统、复杂长程任务需求</w:t>
            </w:r>
          </w:p>
        </w:tc>
      </w:tr>
      <w:tr w14:paraId="5563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99F7D98">
            <w:pPr>
              <w:spacing w:before="40" w:after="40" w:line="240" w:lineRule="auto"/>
              <w:jc w:val="center"/>
            </w:pPr>
            <w:r>
              <w:rPr>
                <w:rFonts w:ascii="微软雅黑" w:hAnsi="微软雅黑" w:eastAsia="微软雅黑"/>
                <w:b w:val="0"/>
                <w:color w:val="000000"/>
                <w:sz w:val="18"/>
              </w:rPr>
              <w:t>传统系统集成与人工流程</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DE8C38D">
            <w:pPr>
              <w:spacing w:before="40" w:after="40" w:line="240" w:lineRule="auto"/>
              <w:jc w:val="center"/>
            </w:pPr>
            <w:r>
              <w:rPr>
                <w:rFonts w:ascii="微软雅黑" w:hAnsi="微软雅黑" w:eastAsia="微软雅黑"/>
                <w:b w:val="0"/>
                <w:color w:val="000000"/>
                <w:sz w:val="18"/>
              </w:rPr>
              <w:t>业务理解、已有关系、可控性</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88DEA0F">
            <w:pPr>
              <w:spacing w:before="40" w:after="40" w:line="240" w:lineRule="auto"/>
              <w:jc w:val="left"/>
            </w:pPr>
            <w:r>
              <w:rPr>
                <w:rFonts w:ascii="微软雅黑" w:hAnsi="微软雅黑" w:eastAsia="微软雅黑"/>
                <w:b w:val="0"/>
                <w:color w:val="000000"/>
                <w:sz w:val="18"/>
              </w:rPr>
              <w:t>客户可能选择定制开发或继续人工处理</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CE1010B">
            <w:pPr>
              <w:spacing w:before="40" w:after="40" w:line="240" w:lineRule="auto"/>
              <w:jc w:val="left"/>
            </w:pPr>
            <w:r>
              <w:rPr>
                <w:rFonts w:ascii="微软雅黑" w:hAnsi="微软雅黑" w:eastAsia="微软雅黑"/>
                <w:b w:val="0"/>
                <w:color w:val="000000"/>
                <w:sz w:val="18"/>
              </w:rPr>
              <w:t>以更短试点周期、可复用流程资产和可审计运行降低替代门槛</w:t>
            </w:r>
          </w:p>
        </w:tc>
      </w:tr>
    </w:tbl>
    <w:p w14:paraId="0AAB030B">
      <w:pPr>
        <w:spacing w:after="40"/>
      </w:pPr>
    </w:p>
    <w:p w14:paraId="3039A622">
      <w:pPr>
        <w:pStyle w:val="4"/>
        <w:spacing w:before="200" w:after="140"/>
      </w:pPr>
      <w:bookmarkStart w:id="21" w:name="_Toc29436"/>
      <w:r>
        <w:rPr>
          <w:rFonts w:ascii="微软雅黑" w:hAnsi="微软雅黑" w:eastAsia="微软雅黑"/>
          <w:b/>
          <w:color w:val="000000"/>
          <w:sz w:val="24"/>
        </w:rPr>
        <w:t>8.1 差异化定位</w:t>
      </w:r>
      <w:bookmarkEnd w:id="21"/>
    </w:p>
    <w:p w14:paraId="70837A69">
      <w:pPr>
        <w:spacing w:after="140" w:line="348" w:lineRule="auto"/>
        <w:ind w:firstLine="403"/>
      </w:pPr>
      <w:r>
        <w:rPr>
          <w:rFonts w:ascii="微软雅黑" w:hAnsi="微软雅黑" w:eastAsia="微软雅黑"/>
          <w:b w:val="0"/>
          <w:color w:val="000000"/>
          <w:sz w:val="21"/>
        </w:rPr>
        <w:t>织枢不以大模型能力本身为竞争点，而以“任务状态连续性 + 动态协作拓扑 + 可信资源调度 + 全程可观测”的组合能力形成差异化。其产品主张是：让复杂任务在有限上下文和明确安全边界内持续前进，在智能体失配、工具失败或资源变化时能够解释、纠偏和恢复。</w:t>
      </w:r>
    </w:p>
    <w:p w14:paraId="522F058F">
      <w:pPr>
        <w:spacing w:after="140" w:line="348" w:lineRule="auto"/>
        <w:ind w:firstLine="403"/>
      </w:pPr>
      <w:r>
        <w:rPr>
          <w:rFonts w:ascii="微软雅黑" w:hAnsi="微软雅黑" w:eastAsia="微软雅黑"/>
          <w:b w:val="0"/>
          <w:color w:val="000000"/>
          <w:sz w:val="21"/>
        </w:rPr>
        <w:t>需要正视的是，大厂平台在模型、连接器、渠道和企业采购资质方面具有显著优势。织枢的早期策略应避免与其进行通用平台正面竞争，而是聚焦对长流程可靠性、过程审计、私有部署和定制协同有刚性需求的细分场景，并通过试点结果建立壁垒。</w:t>
      </w:r>
    </w:p>
    <w:p w14:paraId="6BFF9E7E">
      <w:pPr>
        <w:pStyle w:val="3"/>
        <w:spacing w:before="300" w:after="140"/>
      </w:pPr>
      <w:bookmarkStart w:id="22" w:name="_Toc11608"/>
      <w:r>
        <w:rPr>
          <w:rFonts w:ascii="微软雅黑" w:hAnsi="微软雅黑" w:eastAsia="微软雅黑"/>
          <w:b/>
          <w:color w:val="000000"/>
          <w:sz w:val="30"/>
        </w:rPr>
        <w:t>九、发展规划与运营实施</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311"/>
        <w:gridCol w:w="2880"/>
        <w:gridCol w:w="1800"/>
      </w:tblGrid>
      <w:tr w14:paraId="44C8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7BA4120">
            <w:pPr>
              <w:spacing w:before="40" w:after="40" w:line="240" w:lineRule="auto"/>
              <w:jc w:val="center"/>
            </w:pPr>
            <w:r>
              <w:rPr>
                <w:rFonts w:ascii="微软雅黑" w:hAnsi="微软雅黑" w:eastAsia="微软雅黑"/>
                <w:b/>
                <w:color w:val="FFFFFF"/>
                <w:sz w:val="19"/>
              </w:rPr>
              <w:t>阶段</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E8FE19F">
            <w:pPr>
              <w:spacing w:before="40" w:after="40" w:line="240" w:lineRule="auto"/>
              <w:jc w:val="center"/>
            </w:pPr>
            <w:r>
              <w:rPr>
                <w:rFonts w:ascii="微软雅黑" w:hAnsi="微软雅黑" w:eastAsia="微软雅黑"/>
                <w:b/>
                <w:color w:val="FFFFFF"/>
                <w:sz w:val="19"/>
              </w:rPr>
              <w:t>产品重点</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468C38C">
            <w:pPr>
              <w:spacing w:before="40" w:after="40" w:line="240" w:lineRule="auto"/>
              <w:jc w:val="center"/>
            </w:pPr>
            <w:r>
              <w:rPr>
                <w:rFonts w:ascii="微软雅黑" w:hAnsi="微软雅黑" w:eastAsia="微软雅黑"/>
                <w:b/>
                <w:color w:val="FFFFFF"/>
                <w:sz w:val="19"/>
              </w:rPr>
              <w:t>商业重点</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B844E00">
            <w:pPr>
              <w:spacing w:before="40" w:after="40" w:line="240" w:lineRule="auto"/>
              <w:jc w:val="center"/>
            </w:pPr>
            <w:r>
              <w:rPr>
                <w:rFonts w:ascii="微软雅黑" w:hAnsi="微软雅黑" w:eastAsia="微软雅黑"/>
                <w:b/>
                <w:color w:val="FFFFFF"/>
                <w:sz w:val="19"/>
              </w:rPr>
              <w:t>关键里程碑</w:t>
            </w:r>
          </w:p>
        </w:tc>
      </w:tr>
      <w:tr w14:paraId="3CF8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BF5F7D7">
            <w:pPr>
              <w:spacing w:before="40" w:after="40" w:line="240" w:lineRule="auto"/>
              <w:jc w:val="center"/>
            </w:pPr>
            <w:r>
              <w:rPr>
                <w:rFonts w:ascii="微软雅黑" w:hAnsi="微软雅黑" w:eastAsia="微软雅黑"/>
                <w:b w:val="0"/>
                <w:color w:val="000000"/>
                <w:sz w:val="18"/>
              </w:rPr>
              <w:t>产品验证期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5246C38">
            <w:pPr>
              <w:spacing w:before="40" w:after="40" w:line="240" w:lineRule="auto"/>
              <w:jc w:val="left"/>
            </w:pPr>
            <w:r>
              <w:rPr>
                <w:rFonts w:ascii="微软雅黑" w:hAnsi="微软雅黑" w:eastAsia="微软雅黑"/>
                <w:b w:val="0"/>
                <w:color w:val="000000"/>
                <w:sz w:val="18"/>
              </w:rPr>
              <w:t>完善核心闭环、优化运行观测与安全审批</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34F77B7">
            <w:pPr>
              <w:spacing w:before="40" w:after="40" w:line="240" w:lineRule="auto"/>
              <w:jc w:val="center"/>
            </w:pPr>
            <w:r>
              <w:rPr>
                <w:rFonts w:ascii="微软雅黑" w:hAnsi="微软雅黑" w:eastAsia="微软雅黑"/>
                <w:b w:val="0"/>
                <w:color w:val="000000"/>
                <w:sz w:val="18"/>
              </w:rPr>
              <w:t>完成首批场景共创</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2B3C4F">
            <w:pPr>
              <w:spacing w:before="40" w:after="40"/>
            </w:pPr>
            <w:r>
              <w:rPr>
                <w:rFonts w:ascii="微软雅黑" w:hAnsi="微软雅黑" w:eastAsia="微软雅黑"/>
                <w:b w:val="0"/>
                <w:color w:val="000000"/>
                <w:sz w:val="18"/>
              </w:rPr>
              <w:t>2026 年</w:t>
            </w:r>
            <w:r>
              <w:rPr>
                <w:rFonts w:hint="eastAsia"/>
                <w:b w:val="0"/>
                <w:color w:val="000000"/>
                <w:sz w:val="18"/>
                <w:lang w:val="en-US" w:eastAsia="zh-CN"/>
              </w:rPr>
              <w:t>9月20日</w:t>
            </w:r>
            <w:r>
              <w:rPr>
                <w:rFonts w:ascii="微软雅黑" w:hAnsi="微软雅黑" w:eastAsia="微软雅黑"/>
                <w:b w:val="0"/>
                <w:color w:val="000000"/>
                <w:sz w:val="18"/>
              </w:rPr>
              <w:t>完成 MVP 稳定版、3 套可演示工作流与首轮场景验证</w:t>
            </w:r>
          </w:p>
        </w:tc>
      </w:tr>
      <w:tr w14:paraId="50E5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B29CA79">
            <w:pPr>
              <w:spacing w:before="40" w:after="40" w:line="240" w:lineRule="auto"/>
              <w:jc w:val="center"/>
            </w:pPr>
            <w:r>
              <w:rPr>
                <w:rFonts w:ascii="微软雅黑" w:hAnsi="微软雅黑" w:eastAsia="微软雅黑"/>
                <w:b w:val="0"/>
                <w:color w:val="000000"/>
                <w:sz w:val="18"/>
              </w:rPr>
              <w:t>场景复制期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53EA003">
            <w:pPr>
              <w:spacing w:before="40" w:after="40" w:line="240" w:lineRule="auto"/>
              <w:jc w:val="left"/>
            </w:pPr>
            <w:r>
              <w:rPr>
                <w:rFonts w:ascii="微软雅黑" w:hAnsi="微软雅黑" w:eastAsia="微软雅黑"/>
                <w:b w:val="0"/>
                <w:color w:val="000000"/>
                <w:sz w:val="18"/>
              </w:rPr>
              <w:t>沉淀行业模板、标准化部署包与客户成功工具</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ECA40CA">
            <w:pPr>
              <w:spacing w:before="40" w:after="40" w:line="240" w:lineRule="auto"/>
              <w:jc w:val="center"/>
            </w:pPr>
            <w:r>
              <w:rPr>
                <w:rFonts w:ascii="微软雅黑" w:hAnsi="微软雅黑" w:eastAsia="微软雅黑"/>
                <w:b w:val="0"/>
                <w:color w:val="000000"/>
                <w:sz w:val="18"/>
              </w:rPr>
              <w:t>获得标杆客户与伙伴渠道</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D20A33C">
            <w:pPr>
              <w:spacing w:before="40" w:after="40"/>
            </w:pPr>
            <w:r>
              <w:rPr>
                <w:rFonts w:ascii="微软雅黑" w:hAnsi="微软雅黑" w:eastAsia="微软雅黑"/>
                <w:b w:val="0"/>
                <w:color w:val="000000"/>
                <w:sz w:val="18"/>
              </w:rPr>
              <w:t>2027 年形成 3 个行业试点、2 套标准化方案，目标实现 200 万元签约额</w:t>
            </w:r>
          </w:p>
        </w:tc>
      </w:tr>
      <w:tr w14:paraId="7882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EFC05DB">
            <w:pPr>
              <w:spacing w:before="40" w:after="40" w:line="240" w:lineRule="auto"/>
              <w:jc w:val="center"/>
            </w:pPr>
            <w:r>
              <w:rPr>
                <w:rFonts w:ascii="微软雅黑" w:hAnsi="微软雅黑" w:eastAsia="微软雅黑"/>
                <w:b w:val="0"/>
                <w:color w:val="000000"/>
                <w:sz w:val="18"/>
              </w:rPr>
              <w:t>规模扩展期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4F9B37D">
            <w:pPr>
              <w:spacing w:before="40" w:after="40" w:line="240" w:lineRule="auto"/>
              <w:jc w:val="left"/>
            </w:pPr>
            <w:r>
              <w:rPr>
                <w:rFonts w:ascii="微软雅黑" w:hAnsi="微软雅黑" w:eastAsia="微软雅黑"/>
                <w:b w:val="0"/>
                <w:color w:val="000000"/>
                <w:sz w:val="18"/>
              </w:rPr>
              <w:t>增强多租户治理、成本优化和生态接入</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21A5AE7">
            <w:pPr>
              <w:spacing w:before="40" w:after="40" w:line="240" w:lineRule="auto"/>
              <w:jc w:val="center"/>
            </w:pPr>
            <w:r>
              <w:rPr>
                <w:rFonts w:ascii="微软雅黑" w:hAnsi="微软雅黑" w:eastAsia="微软雅黑"/>
                <w:b w:val="0"/>
                <w:color w:val="000000"/>
                <w:sz w:val="18"/>
              </w:rPr>
              <w:t>形成订阅与私有化双增长</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11FEFFC">
            <w:pPr>
              <w:spacing w:before="40" w:after="40"/>
            </w:pPr>
            <w:r>
              <w:rPr>
                <w:rFonts w:ascii="微软雅黑" w:hAnsi="微软雅黑" w:eastAsia="微软雅黑"/>
                <w:b w:val="0"/>
                <w:color w:val="000000"/>
                <w:sz w:val="18"/>
              </w:rPr>
              <w:t>2028 年实现订阅与私有化双线增长，目标服务 30 家客户、年收入 900 万元、团队扩展至 15 人</w:t>
            </w:r>
          </w:p>
        </w:tc>
      </w:tr>
    </w:tbl>
    <w:p w14:paraId="2960F1FC">
      <w:pPr>
        <w:spacing w:after="40"/>
      </w:pPr>
    </w:p>
    <w:p w14:paraId="6C53AE4D">
      <w:pPr>
        <w:pStyle w:val="4"/>
        <w:spacing w:before="200" w:after="140"/>
      </w:pPr>
      <w:bookmarkStart w:id="23" w:name="_Toc14572"/>
      <w:r>
        <w:rPr>
          <w:rFonts w:ascii="微软雅黑" w:hAnsi="微软雅黑" w:eastAsia="微软雅黑"/>
          <w:b/>
          <w:color w:val="000000"/>
          <w:sz w:val="24"/>
        </w:rPr>
        <w:t>9.1 运营闭环</w:t>
      </w:r>
      <w:bookmarkEnd w:id="23"/>
    </w:p>
    <w:p w14:paraId="1848ECB8">
      <w:pPr>
        <w:spacing w:after="140" w:line="348" w:lineRule="auto"/>
        <w:ind w:firstLine="403"/>
      </w:pPr>
      <w:r>
        <w:rPr>
          <w:rFonts w:ascii="微软雅黑" w:hAnsi="微软雅黑" w:eastAsia="微软雅黑"/>
          <w:b w:val="0"/>
          <w:color w:val="000000"/>
          <w:sz w:val="21"/>
        </w:rPr>
        <w:t>客户上线后，团队应按“场景诊断 - 资产接入 - 工作流配置 - 小范围试运行 - 指标复盘 - 模板沉淀 - 扩展部署”推进。每次交付需沉淀任务定义、知识/工具接入规范、审批策略、异常处理规则、运行指标和复盘结论，使客户项目逐步转化为可重复的产品能力。</w:t>
      </w:r>
    </w:p>
    <w:p w14:paraId="62292F57">
      <w:pPr>
        <w:pStyle w:val="3"/>
        <w:spacing w:before="300" w:after="140"/>
      </w:pPr>
      <w:bookmarkStart w:id="24" w:name="_Toc15653"/>
      <w:r>
        <w:rPr>
          <w:rFonts w:ascii="微软雅黑" w:hAnsi="微软雅黑" w:eastAsia="微软雅黑"/>
          <w:b/>
          <w:color w:val="000000"/>
          <w:sz w:val="30"/>
        </w:rPr>
        <w:t>十、财务测算框架与融资规划</w:t>
      </w:r>
      <w:bookmarkEnd w:id="24"/>
    </w:p>
    <w:p w14:paraId="2107C084">
      <w:pPr>
        <w:pStyle w:val="4"/>
        <w:spacing w:before="200" w:after="140"/>
      </w:pPr>
      <w:bookmarkStart w:id="25" w:name="_Toc30413"/>
      <w:r>
        <w:rPr>
          <w:rFonts w:ascii="微软雅黑" w:hAnsi="微软雅黑" w:eastAsia="微软雅黑"/>
          <w:b/>
          <w:color w:val="000000"/>
          <w:sz w:val="24"/>
        </w:rPr>
        <w:t>10.1 财务测算原则</w:t>
      </w:r>
      <w:bookmarkEnd w:id="25"/>
    </w:p>
    <w:p w14:paraId="62FE53C8">
      <w:pPr>
        <w:spacing w:after="140" w:line="348" w:lineRule="auto"/>
        <w:ind w:firstLine="403"/>
      </w:pPr>
      <w:r>
        <w:rPr>
          <w:rFonts w:ascii="微软雅黑" w:hAnsi="微软雅黑" w:eastAsia="微软雅黑"/>
          <w:b w:val="0"/>
          <w:color w:val="000000"/>
          <w:sz w:val="21"/>
        </w:rPr>
        <w:t>财务预测采用审慎的三阶段假设：第一年以 4 个试点、20 家订阅客户和 2 个私有化/增值项目验证付费需求；第二年通过行业模板复制扩展到 80 家订阅客户；第三年在形成稳定交付能力后服务 220 家订阅客户和 10 个私有化/增值项目。价格、客户数和成本均为申报阶段经营测算假设，不代表已实现收入；实际执行中将以试点转化率、回款周期、模型成本和交付人天为依据滚动修订。</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440"/>
        <w:gridCol w:w="1440"/>
        <w:gridCol w:w="1440"/>
        <w:gridCol w:w="3024"/>
      </w:tblGrid>
      <w:tr w14:paraId="176F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8426A63">
            <w:pPr>
              <w:spacing w:before="40" w:after="40" w:line="240" w:lineRule="auto"/>
              <w:jc w:val="center"/>
            </w:pPr>
            <w:r>
              <w:rPr>
                <w:rFonts w:ascii="微软雅黑" w:hAnsi="微软雅黑" w:eastAsia="微软雅黑"/>
                <w:b/>
                <w:color w:val="FFFFFF"/>
                <w:sz w:val="19"/>
              </w:rPr>
              <w:t>指标</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5EA5FE">
            <w:pPr>
              <w:spacing w:before="40" w:after="40" w:line="240" w:lineRule="auto"/>
              <w:jc w:val="center"/>
            </w:pPr>
            <w:r>
              <w:rPr>
                <w:rFonts w:ascii="微软雅黑" w:hAnsi="微软雅黑" w:eastAsia="微软雅黑"/>
                <w:b/>
                <w:color w:val="FFFFFF"/>
                <w:sz w:val="19"/>
              </w:rPr>
              <w:t>第 1 年</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172D70A">
            <w:pPr>
              <w:spacing w:before="40" w:after="40" w:line="240" w:lineRule="auto"/>
              <w:jc w:val="center"/>
            </w:pPr>
            <w:r>
              <w:rPr>
                <w:rFonts w:ascii="微软雅黑" w:hAnsi="微软雅黑" w:eastAsia="微软雅黑"/>
                <w:b/>
                <w:color w:val="FFFFFF"/>
                <w:sz w:val="19"/>
              </w:rPr>
              <w:t>第 2 年</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77E8E28">
            <w:pPr>
              <w:spacing w:before="40" w:after="40" w:line="240" w:lineRule="auto"/>
              <w:jc w:val="center"/>
            </w:pPr>
            <w:r>
              <w:rPr>
                <w:rFonts w:ascii="微软雅黑" w:hAnsi="微软雅黑" w:eastAsia="微软雅黑"/>
                <w:b/>
                <w:color w:val="FFFFFF"/>
                <w:sz w:val="19"/>
              </w:rPr>
              <w:t>第 3 年</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A033FEC">
            <w:pPr>
              <w:spacing w:before="40" w:after="40" w:line="240" w:lineRule="auto"/>
              <w:jc w:val="center"/>
            </w:pPr>
            <w:r>
              <w:rPr>
                <w:rFonts w:ascii="微软雅黑" w:hAnsi="微软雅黑" w:eastAsia="微软雅黑"/>
                <w:b/>
                <w:color w:val="FFFFFF"/>
                <w:sz w:val="19"/>
              </w:rPr>
              <w:t>测算依据</w:t>
            </w:r>
          </w:p>
        </w:tc>
      </w:tr>
      <w:tr w14:paraId="231F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1359FD">
            <w:pPr>
              <w:spacing w:before="40" w:after="40"/>
            </w:pPr>
            <w:r>
              <w:rPr>
                <w:rFonts w:ascii="微软雅黑" w:hAnsi="微软雅黑" w:eastAsia="微软雅黑"/>
                <w:b w:val="0"/>
                <w:color w:val="000000"/>
                <w:sz w:val="18"/>
              </w:rPr>
              <w:t>试点及项目制收入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FB15924">
            <w:pPr>
              <w:spacing w:before="40" w:after="40"/>
              <w:jc w:val="center"/>
            </w:pPr>
            <w:r>
              <w:rPr>
                <w:rFonts w:hint="eastAsia"/>
                <w:b w:val="0"/>
                <w:color w:val="000000"/>
                <w:sz w:val="18"/>
                <w:lang w:val="en-US" w:eastAsia="zh-CN"/>
              </w:rPr>
              <w:t>10</w:t>
            </w:r>
            <w:r>
              <w:rPr>
                <w:rFonts w:ascii="微软雅黑" w:hAnsi="微软雅黑" w:eastAsia="微软雅黑"/>
                <w:b w:val="0"/>
                <w:color w:val="000000"/>
                <w:sz w:val="18"/>
              </w:rPr>
              <w:t xml:space="preserve">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14AD44C">
            <w:pPr>
              <w:spacing w:before="40" w:after="40"/>
              <w:jc w:val="center"/>
            </w:pPr>
            <w:r>
              <w:rPr>
                <w:rFonts w:hint="eastAsia"/>
                <w:b w:val="0"/>
                <w:color w:val="000000"/>
                <w:sz w:val="18"/>
                <w:lang w:val="en-US" w:eastAsia="zh-CN"/>
              </w:rPr>
              <w:t>30</w:t>
            </w:r>
            <w:r>
              <w:rPr>
                <w:rFonts w:ascii="微软雅黑" w:hAnsi="微软雅黑" w:eastAsia="微软雅黑"/>
                <w:b w:val="0"/>
                <w:color w:val="000000"/>
                <w:sz w:val="18"/>
              </w:rPr>
              <w:t xml:space="preserve">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89B13A8">
            <w:pPr>
              <w:spacing w:before="40" w:after="40"/>
              <w:jc w:val="center"/>
            </w:pPr>
            <w:r>
              <w:rPr>
                <w:rFonts w:ascii="微软雅黑" w:hAnsi="微软雅黑" w:eastAsia="微软雅黑"/>
                <w:b w:val="0"/>
                <w:color w:val="000000"/>
                <w:sz w:val="18"/>
              </w:rPr>
              <w:t>120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72722FE">
            <w:pPr>
              <w:spacing w:before="40" w:after="40"/>
            </w:pPr>
            <w:r>
              <w:rPr>
                <w:rFonts w:ascii="微软雅黑" w:hAnsi="微软雅黑" w:eastAsia="微软雅黑"/>
                <w:b w:val="0"/>
                <w:color w:val="000000"/>
                <w:sz w:val="18"/>
              </w:rPr>
              <w:t xml:space="preserve">4/6/8 个试点项目 × </w:t>
            </w:r>
            <w:r>
              <w:rPr>
                <w:rFonts w:hint="eastAsia"/>
                <w:b w:val="0"/>
                <w:color w:val="000000"/>
                <w:sz w:val="18"/>
                <w:lang w:val="en-US" w:eastAsia="zh-CN"/>
              </w:rPr>
              <w:t>2.5</w:t>
            </w:r>
            <w:r>
              <w:rPr>
                <w:rFonts w:ascii="微软雅黑" w:hAnsi="微软雅黑" w:eastAsia="微软雅黑"/>
                <w:b w:val="0"/>
                <w:color w:val="000000"/>
                <w:sz w:val="18"/>
              </w:rPr>
              <w:t>/</w:t>
            </w:r>
            <w:r>
              <w:rPr>
                <w:rFonts w:hint="eastAsia"/>
                <w:b w:val="0"/>
                <w:color w:val="000000"/>
                <w:sz w:val="18"/>
                <w:lang w:val="en-US" w:eastAsia="zh-CN"/>
              </w:rPr>
              <w:t>6</w:t>
            </w:r>
            <w:r>
              <w:rPr>
                <w:rFonts w:ascii="微软雅黑" w:hAnsi="微软雅黑" w:eastAsia="微软雅黑"/>
                <w:b w:val="0"/>
                <w:color w:val="000000"/>
                <w:sz w:val="18"/>
              </w:rPr>
              <w:t>/15 万元</w:t>
            </w:r>
          </w:p>
        </w:tc>
      </w:tr>
      <w:tr w14:paraId="42FC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F501F5B">
            <w:pPr>
              <w:spacing w:before="40" w:after="40"/>
            </w:pPr>
            <w:r>
              <w:rPr>
                <w:rFonts w:ascii="微软雅黑" w:hAnsi="微软雅黑" w:eastAsia="微软雅黑"/>
                <w:b w:val="0"/>
                <w:color w:val="000000"/>
                <w:sz w:val="18"/>
              </w:rPr>
              <w:t>订阅收入 ARR</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ABEDB30">
            <w:pPr>
              <w:spacing w:before="40" w:after="40"/>
              <w:jc w:val="center"/>
            </w:pPr>
            <w:r>
              <w:rPr>
                <w:rFonts w:ascii="微软雅黑" w:hAnsi="微软雅黑" w:eastAsia="微软雅黑"/>
                <w:b w:val="0"/>
                <w:color w:val="000000"/>
                <w:sz w:val="18"/>
              </w:rPr>
              <w:t>24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2739439">
            <w:pPr>
              <w:spacing w:before="40" w:after="40"/>
              <w:jc w:val="center"/>
            </w:pPr>
            <w:r>
              <w:rPr>
                <w:rFonts w:ascii="微软雅黑" w:hAnsi="微软雅黑" w:eastAsia="微软雅黑"/>
                <w:b w:val="0"/>
                <w:color w:val="000000"/>
                <w:sz w:val="18"/>
              </w:rPr>
              <w:t>96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D6DCBB8">
            <w:pPr>
              <w:spacing w:before="40" w:after="40"/>
              <w:jc w:val="center"/>
            </w:pPr>
            <w:r>
              <w:rPr>
                <w:rFonts w:ascii="微软雅黑" w:hAnsi="微软雅黑" w:eastAsia="微软雅黑"/>
                <w:b w:val="0"/>
                <w:color w:val="000000"/>
                <w:sz w:val="18"/>
              </w:rPr>
              <w:t>330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1A8D27E">
            <w:pPr>
              <w:spacing w:before="40" w:after="40"/>
            </w:pPr>
            <w:r>
              <w:rPr>
                <w:rFonts w:ascii="微软雅黑" w:hAnsi="微软雅黑" w:eastAsia="微软雅黑"/>
                <w:b w:val="0"/>
                <w:color w:val="000000"/>
                <w:sz w:val="18"/>
              </w:rPr>
              <w:t>20/80/220 家客户 × 1.2/1.2/1.5 万元</w:t>
            </w:r>
          </w:p>
        </w:tc>
      </w:tr>
      <w:tr w14:paraId="509B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7D7058">
            <w:pPr>
              <w:spacing w:before="40" w:after="40"/>
            </w:pPr>
            <w:r>
              <w:rPr>
                <w:rFonts w:ascii="微软雅黑" w:hAnsi="微软雅黑" w:eastAsia="微软雅黑"/>
                <w:b w:val="0"/>
                <w:color w:val="000000"/>
                <w:sz w:val="18"/>
              </w:rPr>
              <w:t>私有化及增值服务</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BB7139D">
            <w:pPr>
              <w:spacing w:before="40" w:after="40"/>
              <w:jc w:val="center"/>
            </w:pPr>
            <w:r>
              <w:rPr>
                <w:rFonts w:ascii="微软雅黑" w:hAnsi="微软雅黑" w:eastAsia="微软雅黑"/>
                <w:b w:val="0"/>
                <w:color w:val="000000"/>
                <w:sz w:val="18"/>
              </w:rPr>
              <w:t>50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C75C99E">
            <w:pPr>
              <w:spacing w:before="40" w:after="40"/>
              <w:jc w:val="center"/>
            </w:pPr>
            <w:r>
              <w:rPr>
                <w:rFonts w:ascii="微软雅黑" w:hAnsi="微软雅黑" w:eastAsia="微软雅黑"/>
                <w:b w:val="0"/>
                <w:color w:val="000000"/>
                <w:sz w:val="18"/>
              </w:rPr>
              <w:t>175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0ED322D">
            <w:pPr>
              <w:spacing w:before="40" w:after="40"/>
              <w:jc w:val="center"/>
            </w:pPr>
            <w:r>
              <w:rPr>
                <w:rFonts w:ascii="微软雅黑" w:hAnsi="微软雅黑" w:eastAsia="微软雅黑"/>
                <w:b w:val="0"/>
                <w:color w:val="000000"/>
                <w:sz w:val="18"/>
              </w:rPr>
              <w:t>450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B8CFC6E">
            <w:pPr>
              <w:spacing w:before="40" w:after="40"/>
            </w:pPr>
            <w:r>
              <w:rPr>
                <w:rFonts w:ascii="微软雅黑" w:hAnsi="微软雅黑" w:eastAsia="微软雅黑"/>
                <w:b w:val="0"/>
                <w:color w:val="000000"/>
                <w:sz w:val="18"/>
              </w:rPr>
              <w:t>2/5/10 个项目 × 25/35/45 万元</w:t>
            </w:r>
          </w:p>
        </w:tc>
      </w:tr>
      <w:tr w14:paraId="1E3C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2D8960A">
            <w:pPr>
              <w:spacing w:before="40" w:after="40"/>
            </w:pPr>
            <w:r>
              <w:rPr>
                <w:rFonts w:ascii="微软雅黑" w:hAnsi="微软雅黑" w:eastAsia="微软雅黑"/>
                <w:b w:val="0"/>
                <w:color w:val="000000"/>
                <w:sz w:val="18"/>
              </w:rPr>
              <w:t>营业收入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66EEBBC">
            <w:pPr>
              <w:spacing w:before="40" w:after="40"/>
              <w:jc w:val="center"/>
            </w:pPr>
            <w:r>
              <w:rPr>
                <w:rFonts w:hint="eastAsia"/>
                <w:b w:val="0"/>
                <w:color w:val="000000"/>
                <w:sz w:val="18"/>
                <w:lang w:val="en-US" w:eastAsia="zh-CN"/>
              </w:rPr>
              <w:t>84</w:t>
            </w:r>
            <w:r>
              <w:rPr>
                <w:rFonts w:ascii="微软雅黑" w:hAnsi="微软雅黑" w:eastAsia="微软雅黑"/>
                <w:b w:val="0"/>
                <w:color w:val="000000"/>
                <w:sz w:val="18"/>
              </w:rPr>
              <w:t xml:space="preserve">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A3778F3">
            <w:pPr>
              <w:spacing w:before="40" w:after="40"/>
              <w:jc w:val="center"/>
            </w:pPr>
            <w:r>
              <w:rPr>
                <w:rFonts w:ascii="微软雅黑" w:hAnsi="微软雅黑" w:eastAsia="微软雅黑"/>
                <w:b w:val="0"/>
                <w:color w:val="000000"/>
                <w:sz w:val="18"/>
              </w:rPr>
              <w:t>3</w:t>
            </w:r>
            <w:r>
              <w:rPr>
                <w:rFonts w:hint="eastAsia"/>
                <w:b w:val="0"/>
                <w:color w:val="000000"/>
                <w:sz w:val="18"/>
                <w:lang w:val="en-US" w:eastAsia="zh-CN"/>
              </w:rPr>
              <w:t>01</w:t>
            </w:r>
            <w:r>
              <w:rPr>
                <w:rFonts w:ascii="微软雅黑" w:hAnsi="微软雅黑" w:eastAsia="微软雅黑"/>
                <w:b w:val="0"/>
                <w:color w:val="000000"/>
                <w:sz w:val="18"/>
              </w:rPr>
              <w:t xml:space="preserve">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7E1CA3A">
            <w:pPr>
              <w:spacing w:before="40" w:after="40"/>
              <w:jc w:val="center"/>
            </w:pPr>
            <w:r>
              <w:rPr>
                <w:rFonts w:ascii="微软雅黑" w:hAnsi="微软雅黑" w:eastAsia="微软雅黑"/>
                <w:b w:val="0"/>
                <w:color w:val="000000"/>
                <w:sz w:val="18"/>
              </w:rPr>
              <w:t>900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7F21921">
            <w:pPr>
              <w:spacing w:before="40" w:after="40"/>
            </w:pPr>
            <w:r>
              <w:rPr>
                <w:rFonts w:ascii="微软雅黑" w:hAnsi="微软雅黑" w:eastAsia="微软雅黑"/>
                <w:b w:val="0"/>
                <w:color w:val="000000"/>
                <w:sz w:val="18"/>
              </w:rPr>
              <w:t>三类收入合计</w:t>
            </w:r>
          </w:p>
        </w:tc>
      </w:tr>
      <w:tr w14:paraId="2D7D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32B283C">
            <w:pPr>
              <w:spacing w:before="40" w:after="40"/>
            </w:pPr>
            <w:r>
              <w:rPr>
                <w:rFonts w:ascii="微软雅黑" w:hAnsi="微软雅黑" w:eastAsia="微软雅黑"/>
                <w:b w:val="0"/>
                <w:color w:val="000000"/>
                <w:sz w:val="18"/>
              </w:rPr>
              <w:t>直接成本</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9A0DF90">
            <w:pPr>
              <w:spacing w:before="40" w:after="40"/>
              <w:jc w:val="center"/>
            </w:pPr>
            <w:r>
              <w:rPr>
                <w:rFonts w:hint="eastAsia"/>
                <w:b w:val="0"/>
                <w:color w:val="000000"/>
                <w:sz w:val="18"/>
                <w:lang w:val="en-US" w:eastAsia="zh-CN"/>
              </w:rPr>
              <w:t>10</w:t>
            </w:r>
            <w:r>
              <w:rPr>
                <w:rFonts w:ascii="微软雅黑" w:hAnsi="微软雅黑" w:eastAsia="微软雅黑"/>
                <w:b w:val="0"/>
                <w:color w:val="000000"/>
                <w:sz w:val="18"/>
              </w:rPr>
              <w:t xml:space="preserve">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5A2BC13">
            <w:pPr>
              <w:spacing w:before="40" w:after="40"/>
              <w:jc w:val="center"/>
            </w:pPr>
            <w:r>
              <w:rPr>
                <w:rFonts w:hint="eastAsia"/>
                <w:b w:val="0"/>
                <w:color w:val="000000"/>
                <w:sz w:val="18"/>
                <w:lang w:val="en-US" w:eastAsia="zh-CN"/>
              </w:rPr>
              <w:t>36</w:t>
            </w:r>
            <w:r>
              <w:rPr>
                <w:rFonts w:ascii="微软雅黑" w:hAnsi="微软雅黑" w:eastAsia="微软雅黑"/>
                <w:b w:val="0"/>
                <w:color w:val="000000"/>
                <w:sz w:val="18"/>
              </w:rPr>
              <w:t xml:space="preserve">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52AE4C7">
            <w:pPr>
              <w:spacing w:before="40" w:after="40"/>
              <w:jc w:val="center"/>
            </w:pPr>
            <w:r>
              <w:rPr>
                <w:rFonts w:hint="eastAsia"/>
                <w:b w:val="0"/>
                <w:color w:val="000000"/>
                <w:sz w:val="18"/>
                <w:lang w:val="en-US" w:eastAsia="zh-CN"/>
              </w:rPr>
              <w:t>100</w:t>
            </w:r>
            <w:r>
              <w:rPr>
                <w:rFonts w:ascii="微软雅黑" w:hAnsi="微软雅黑" w:eastAsia="微软雅黑"/>
                <w:b w:val="0"/>
                <w:color w:val="000000"/>
                <w:sz w:val="18"/>
              </w:rPr>
              <w:t>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4E45925">
            <w:pPr>
              <w:spacing w:before="40" w:after="40"/>
            </w:pPr>
            <w:r>
              <w:rPr>
                <w:rFonts w:ascii="微软雅黑" w:hAnsi="微软雅黑" w:eastAsia="微软雅黑"/>
                <w:b w:val="0"/>
                <w:color w:val="000000"/>
                <w:sz w:val="18"/>
              </w:rPr>
              <w:t>模型与算力、实施交付、运维和第三方资源</w:t>
            </w:r>
          </w:p>
        </w:tc>
      </w:tr>
      <w:tr w14:paraId="322B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886762E">
            <w:pPr>
              <w:spacing w:before="40" w:after="40"/>
            </w:pPr>
            <w:r>
              <w:rPr>
                <w:rFonts w:ascii="微软雅黑" w:hAnsi="微软雅黑" w:eastAsia="微软雅黑"/>
                <w:b w:val="0"/>
                <w:color w:val="000000"/>
                <w:sz w:val="18"/>
              </w:rPr>
              <w:t>毛利率</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99312C3">
            <w:pPr>
              <w:spacing w:before="40" w:after="40"/>
              <w:jc w:val="center"/>
            </w:pPr>
            <w:r>
              <w:rPr>
                <w:rFonts w:hint="eastAsia"/>
                <w:b w:val="0"/>
                <w:color w:val="000000"/>
                <w:sz w:val="18"/>
                <w:lang w:val="en-US" w:eastAsia="zh-CN"/>
              </w:rPr>
              <w:t>88.1</w:t>
            </w:r>
            <w:r>
              <w:rPr>
                <w:rFonts w:ascii="微软雅黑" w:hAnsi="微软雅黑" w:eastAsia="微软雅黑"/>
                <w:b w:val="0"/>
                <w:color w:val="000000"/>
                <w:sz w:val="18"/>
              </w:rPr>
              <w:t>%</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807677D">
            <w:pPr>
              <w:spacing w:before="40" w:after="40"/>
              <w:jc w:val="center"/>
            </w:pPr>
            <w:r>
              <w:rPr>
                <w:rFonts w:hint="eastAsia"/>
                <w:b w:val="0"/>
                <w:color w:val="000000"/>
                <w:sz w:val="18"/>
                <w:lang w:val="en-US" w:eastAsia="zh-CN"/>
              </w:rPr>
              <w:t>88.0</w:t>
            </w:r>
            <w:r>
              <w:rPr>
                <w:rFonts w:ascii="微软雅黑" w:hAnsi="微软雅黑" w:eastAsia="微软雅黑"/>
                <w:b w:val="0"/>
                <w:color w:val="000000"/>
                <w:sz w:val="18"/>
              </w:rPr>
              <w:t>%</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10FA220">
            <w:pPr>
              <w:spacing w:before="40" w:after="40"/>
              <w:jc w:val="center"/>
            </w:pPr>
            <w:r>
              <w:rPr>
                <w:rFonts w:hint="eastAsia"/>
                <w:b w:val="0"/>
                <w:color w:val="000000"/>
                <w:sz w:val="18"/>
                <w:lang w:val="en-US" w:eastAsia="zh-CN"/>
              </w:rPr>
              <w:t>88.9</w:t>
            </w:r>
            <w:r>
              <w:rPr>
                <w:rFonts w:ascii="微软雅黑" w:hAnsi="微软雅黑" w:eastAsia="微软雅黑"/>
                <w:b w:val="0"/>
                <w:color w:val="000000"/>
                <w:sz w:val="18"/>
              </w:rPr>
              <w:t>%</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A143403">
            <w:pPr>
              <w:spacing w:before="40" w:after="40"/>
            </w:pPr>
            <w:r>
              <w:rPr>
                <w:rFonts w:ascii="微软雅黑" w:hAnsi="微软雅黑" w:eastAsia="微软雅黑"/>
                <w:b w:val="0"/>
                <w:color w:val="000000"/>
                <w:sz w:val="18"/>
              </w:rPr>
              <w:t>(营业收入 - 直接成本) / 营业收入</w:t>
            </w:r>
          </w:p>
        </w:tc>
      </w:tr>
      <w:tr w14:paraId="6DDB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6594FE3">
            <w:pPr>
              <w:spacing w:before="40" w:after="40"/>
            </w:pPr>
            <w:r>
              <w:rPr>
                <w:rFonts w:ascii="微软雅黑" w:hAnsi="微软雅黑" w:eastAsia="微软雅黑"/>
                <w:b w:val="0"/>
                <w:color w:val="000000"/>
                <w:sz w:val="18"/>
              </w:rPr>
              <w:t>经营费用</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673B5B2">
            <w:pPr>
              <w:spacing w:before="40" w:after="40"/>
              <w:jc w:val="center"/>
            </w:pPr>
            <w:r>
              <w:rPr>
                <w:rFonts w:ascii="微软雅黑" w:hAnsi="微软雅黑" w:eastAsia="微软雅黑"/>
                <w:b w:val="0"/>
                <w:color w:val="000000"/>
                <w:sz w:val="18"/>
              </w:rPr>
              <w:t>100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E78E98F">
            <w:pPr>
              <w:spacing w:before="40" w:after="40"/>
              <w:jc w:val="center"/>
            </w:pPr>
            <w:r>
              <w:rPr>
                <w:rFonts w:ascii="微软雅黑" w:hAnsi="微软雅黑" w:eastAsia="微软雅黑"/>
                <w:b w:val="0"/>
                <w:color w:val="000000"/>
                <w:sz w:val="18"/>
              </w:rPr>
              <w:t>210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77059EE">
            <w:pPr>
              <w:spacing w:before="40" w:after="40"/>
              <w:jc w:val="center"/>
            </w:pPr>
            <w:r>
              <w:rPr>
                <w:rFonts w:ascii="微软雅黑" w:hAnsi="微软雅黑" w:eastAsia="微软雅黑"/>
                <w:b w:val="0"/>
                <w:color w:val="000000"/>
                <w:sz w:val="18"/>
              </w:rPr>
              <w:t>450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D9CEE16">
            <w:pPr>
              <w:spacing w:before="40" w:after="40"/>
            </w:pPr>
            <w:r>
              <w:rPr>
                <w:rFonts w:ascii="微软雅黑" w:hAnsi="微软雅黑" w:eastAsia="微软雅黑"/>
                <w:b w:val="0"/>
                <w:color w:val="000000"/>
                <w:sz w:val="18"/>
              </w:rPr>
              <w:t>研发、人力、销售、管理和市场费用</w:t>
            </w:r>
          </w:p>
        </w:tc>
      </w:tr>
      <w:tr w14:paraId="0C37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CB42186">
            <w:pPr>
              <w:spacing w:before="40" w:after="40"/>
            </w:pPr>
            <w:r>
              <w:rPr>
                <w:rFonts w:ascii="微软雅黑" w:hAnsi="微软雅黑" w:eastAsia="微软雅黑"/>
                <w:b w:val="0"/>
                <w:color w:val="000000"/>
                <w:sz w:val="18"/>
              </w:rPr>
              <w:t>经营现金流</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4F0B07A">
            <w:pPr>
              <w:spacing w:before="40" w:after="40"/>
              <w:jc w:val="center"/>
            </w:pPr>
            <w:r>
              <w:rPr>
                <w:rFonts w:ascii="微软雅黑" w:hAnsi="微软雅黑" w:eastAsia="微软雅黑"/>
                <w:b w:val="0"/>
                <w:color w:val="000000"/>
                <w:sz w:val="18"/>
              </w:rPr>
              <w:t>-22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C6FC36C">
            <w:pPr>
              <w:spacing w:before="40" w:after="40"/>
              <w:jc w:val="center"/>
            </w:pPr>
            <w:r>
              <w:rPr>
                <w:rFonts w:ascii="微软雅黑" w:hAnsi="微软雅黑" w:eastAsia="微软雅黑"/>
                <w:b w:val="0"/>
                <w:color w:val="000000"/>
                <w:sz w:val="18"/>
              </w:rPr>
              <w:t>35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CBD9B02">
            <w:pPr>
              <w:spacing w:before="40" w:after="40"/>
              <w:jc w:val="center"/>
            </w:pPr>
            <w:r>
              <w:rPr>
                <w:rFonts w:ascii="微软雅黑" w:hAnsi="微软雅黑" w:eastAsia="微软雅黑"/>
                <w:b w:val="0"/>
                <w:color w:val="000000"/>
                <w:sz w:val="18"/>
              </w:rPr>
              <w:t>216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B3E7CCF">
            <w:pPr>
              <w:spacing w:before="40" w:after="40"/>
            </w:pPr>
            <w:r>
              <w:rPr>
                <w:rFonts w:ascii="微软雅黑" w:hAnsi="微软雅黑" w:eastAsia="微软雅黑"/>
                <w:b w:val="0"/>
                <w:color w:val="000000"/>
                <w:sz w:val="18"/>
              </w:rPr>
              <w:t>按当期回款和经营费用测算</w:t>
            </w:r>
          </w:p>
        </w:tc>
      </w:tr>
    </w:tbl>
    <w:p w14:paraId="0AB41DEA">
      <w:pPr>
        <w:spacing w:after="40"/>
      </w:pPr>
    </w:p>
    <w:p w14:paraId="47FC5BEB">
      <w:pPr>
        <w:pStyle w:val="4"/>
        <w:spacing w:before="200" w:after="140"/>
      </w:pPr>
      <w:bookmarkStart w:id="26" w:name="_Toc1362"/>
      <w:r>
        <w:rPr>
          <w:rFonts w:ascii="微软雅黑" w:hAnsi="微软雅黑" w:eastAsia="微软雅黑"/>
          <w:b/>
          <w:color w:val="000000"/>
          <w:sz w:val="24"/>
        </w:rPr>
        <w:t>10.2 融资规划</w:t>
      </w:r>
      <w:bookmarkEnd w:id="26"/>
    </w:p>
    <w:p w14:paraId="70027581">
      <w:pPr>
        <w:spacing w:after="140" w:line="348" w:lineRule="auto"/>
        <w:ind w:firstLine="403"/>
      </w:pPr>
      <w:r>
        <w:rPr>
          <w:rFonts w:ascii="微软雅黑" w:hAnsi="微软雅黑" w:eastAsia="微软雅黑"/>
          <w:b w:val="0"/>
          <w:color w:val="000000"/>
          <w:sz w:val="21"/>
        </w:rPr>
        <w:t xml:space="preserve">项目拟申请或筹措 </w:t>
      </w:r>
      <w:r>
        <w:rPr>
          <w:rFonts w:hint="eastAsia"/>
          <w:b w:val="0"/>
          <w:color w:val="000000"/>
          <w:sz w:val="21"/>
          <w:lang w:val="en-US" w:eastAsia="zh-CN"/>
        </w:rPr>
        <w:t>1</w:t>
      </w:r>
      <w:r>
        <w:rPr>
          <w:rFonts w:ascii="微软雅黑" w:hAnsi="微软雅黑" w:eastAsia="微软雅黑"/>
          <w:b w:val="0"/>
          <w:color w:val="000000"/>
          <w:sz w:val="21"/>
        </w:rPr>
        <w:t>00 万元种子资金，用于支撑未来 18 个月的产品</w:t>
      </w:r>
      <w:r>
        <w:rPr>
          <w:rFonts w:hint="eastAsia"/>
          <w:b w:val="0"/>
          <w:color w:val="000000"/>
          <w:sz w:val="21"/>
          <w:lang w:val="en-US" w:eastAsia="zh-CN"/>
        </w:rPr>
        <w:t>深度</w:t>
      </w:r>
      <w:r>
        <w:rPr>
          <w:rFonts w:ascii="微软雅黑" w:hAnsi="微软雅黑" w:eastAsia="微软雅黑"/>
          <w:b w:val="0"/>
          <w:color w:val="000000"/>
          <w:sz w:val="21"/>
        </w:rPr>
        <w:t>验证与市场进入。其中 45% 用于核心研发与模型/工具适配，25% 用于行业试点交付和客户成功，15% 用于私有化部署、安全合规与算力资源，10% 用于市场拓展和伙伴建设，5% 用于流动资金及不可预见支出。资金使用以阶段里程碑为拨付依据：完成 MVP 和试点验收后扩充交付投入，形成可复制行业方案后再扩大市场投入。</w:t>
      </w:r>
    </w:p>
    <w:p w14:paraId="7F1F859D">
      <w:pPr>
        <w:pStyle w:val="3"/>
        <w:spacing w:before="300" w:after="140"/>
      </w:pPr>
      <w:bookmarkStart w:id="27" w:name="_Toc15354"/>
      <w:r>
        <w:rPr>
          <w:rFonts w:ascii="微软雅黑" w:hAnsi="微软雅黑" w:eastAsia="微软雅黑"/>
          <w:b/>
          <w:color w:val="000000"/>
          <w:sz w:val="30"/>
        </w:rPr>
        <w:t>十一、团队建设、社会价值与风险管理</w:t>
      </w:r>
      <w:bookmarkEnd w:id="27"/>
    </w:p>
    <w:p w14:paraId="1F472C1C">
      <w:pPr>
        <w:pStyle w:val="4"/>
        <w:spacing w:before="200" w:after="140"/>
      </w:pPr>
      <w:bookmarkStart w:id="28" w:name="_Toc29515"/>
      <w:r>
        <w:rPr>
          <w:rFonts w:ascii="微软雅黑" w:hAnsi="微软雅黑" w:eastAsia="微软雅黑"/>
          <w:b/>
          <w:color w:val="000000"/>
          <w:sz w:val="24"/>
        </w:rPr>
        <w:t>11.1 团队建设</w:t>
      </w:r>
      <w:bookmarkEnd w:id="28"/>
    </w:p>
    <w:p w14:paraId="11911BE2">
      <w:pPr>
        <w:spacing w:after="140" w:line="348" w:lineRule="auto"/>
        <w:ind w:firstLine="403"/>
      </w:pPr>
      <w:r>
        <w:rPr>
          <w:rFonts w:ascii="微软雅黑" w:hAnsi="微软雅黑" w:eastAsia="微软雅黑"/>
          <w:b w:val="0"/>
          <w:color w:val="000000"/>
          <w:sz w:val="21"/>
        </w:rPr>
        <w:t>织枢需要形成“产品与行业场景、智能体与系统研发、交付与客户成功、市场与运营”四类能力协同。技术团队负责运行时、模型接入、平台工程与安全治理；产品团队将客户流程抽象为可配置场景；交付团队负责知识、工具与系统集成；市场团队建立试点客户和伙伴渠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4608"/>
      </w:tblGrid>
      <w:tr w14:paraId="048A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3977EFC">
            <w:pPr>
              <w:spacing w:before="40" w:after="40" w:line="240" w:lineRule="auto"/>
              <w:jc w:val="center"/>
            </w:pPr>
            <w:r>
              <w:rPr>
                <w:rFonts w:ascii="微软雅黑" w:hAnsi="微软雅黑" w:eastAsia="微软雅黑"/>
                <w:b/>
                <w:color w:val="FFFFFF"/>
                <w:sz w:val="19"/>
              </w:rPr>
              <w:t>角色</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81DD949">
            <w:pPr>
              <w:spacing w:before="40" w:after="40" w:line="240" w:lineRule="auto"/>
              <w:jc w:val="center"/>
            </w:pPr>
            <w:r>
              <w:rPr>
                <w:rFonts w:ascii="微软雅黑" w:hAnsi="微软雅黑" w:eastAsia="微软雅黑"/>
                <w:b/>
                <w:color w:val="FFFFFF"/>
                <w:sz w:val="19"/>
              </w:rPr>
              <w:t>核心职责</w:t>
            </w:r>
          </w:p>
        </w:tc>
      </w:tr>
      <w:tr w14:paraId="7747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FA55998">
            <w:pPr>
              <w:spacing w:before="40" w:after="40"/>
            </w:pPr>
            <w:r>
              <w:rPr>
                <w:rFonts w:ascii="微软雅黑" w:hAnsi="微软雅黑" w:eastAsia="微软雅黑"/>
                <w:b w:val="0"/>
                <w:color w:val="000000"/>
                <w:sz w:val="18"/>
              </w:rPr>
              <w:t>项目负责人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B4F960C">
            <w:pPr>
              <w:spacing w:before="40" w:after="40"/>
            </w:pPr>
            <w:r>
              <w:rPr>
                <w:rFonts w:ascii="微软雅黑" w:hAnsi="微软雅黑" w:eastAsia="微软雅黑"/>
                <w:b w:val="0"/>
                <w:color w:val="000000"/>
                <w:sz w:val="18"/>
              </w:rPr>
              <w:t>项目定位、产品统筹、技术与商业决策协调</w:t>
            </w:r>
          </w:p>
        </w:tc>
      </w:tr>
      <w:tr w14:paraId="295A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E243219">
            <w:pPr>
              <w:spacing w:before="40" w:after="40"/>
            </w:pPr>
            <w:r>
              <w:rPr>
                <w:rFonts w:ascii="微软雅黑" w:hAnsi="微软雅黑" w:eastAsia="微软雅黑"/>
                <w:b w:val="0"/>
                <w:color w:val="000000"/>
                <w:sz w:val="18"/>
              </w:rPr>
              <w:t>技术负责人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773350E">
            <w:pPr>
              <w:spacing w:before="40" w:after="40"/>
            </w:pPr>
            <w:r>
              <w:rPr>
                <w:rFonts w:ascii="微软雅黑" w:hAnsi="微软雅黑" w:eastAsia="微软雅黑"/>
                <w:b w:val="0"/>
                <w:color w:val="000000"/>
                <w:sz w:val="18"/>
              </w:rPr>
              <w:t>多智能体运行时、模型连接、平台架构、质量与安全机制</w:t>
            </w:r>
          </w:p>
        </w:tc>
      </w:tr>
      <w:tr w14:paraId="0525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4EE256C">
            <w:pPr>
              <w:spacing w:before="40" w:after="40"/>
            </w:pPr>
            <w:r>
              <w:rPr>
                <w:rFonts w:ascii="微软雅黑" w:hAnsi="微软雅黑" w:eastAsia="微软雅黑"/>
                <w:b w:val="0"/>
                <w:color w:val="000000"/>
                <w:sz w:val="18"/>
              </w:rPr>
              <w:t>产品与交付负责人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97C1B9C">
            <w:pPr>
              <w:spacing w:before="40" w:after="40"/>
            </w:pPr>
            <w:r>
              <w:rPr>
                <w:rFonts w:ascii="微软雅黑" w:hAnsi="微软雅黑" w:eastAsia="微软雅黑"/>
                <w:b w:val="0"/>
                <w:color w:val="000000"/>
                <w:sz w:val="18"/>
              </w:rPr>
              <w:t>场景调研、工作流设计、知识与工具接入、客户验收</w:t>
            </w:r>
          </w:p>
        </w:tc>
      </w:tr>
      <w:tr w14:paraId="1414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F66342F">
            <w:pPr>
              <w:spacing w:before="40" w:after="40"/>
            </w:pPr>
            <w:r>
              <w:rPr>
                <w:rFonts w:ascii="微软雅黑" w:hAnsi="微软雅黑" w:eastAsia="微软雅黑"/>
                <w:b w:val="0"/>
                <w:color w:val="000000"/>
                <w:sz w:val="18"/>
              </w:rPr>
              <w:t>市场与运营负责人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5A76D32">
            <w:pPr>
              <w:spacing w:before="40" w:after="40"/>
            </w:pPr>
            <w:r>
              <w:rPr>
                <w:rFonts w:ascii="微软雅黑" w:hAnsi="微软雅黑" w:eastAsia="微软雅黑"/>
                <w:b w:val="0"/>
                <w:color w:val="000000"/>
                <w:sz w:val="18"/>
              </w:rPr>
              <w:t>试点拓展、伙伴合作、品牌传播、客户成功</w:t>
            </w:r>
          </w:p>
        </w:tc>
      </w:tr>
    </w:tbl>
    <w:p w14:paraId="44188C60">
      <w:pPr>
        <w:spacing w:after="40"/>
      </w:pPr>
    </w:p>
    <w:p w14:paraId="4096773F">
      <w:pPr>
        <w:pStyle w:val="4"/>
        <w:spacing w:before="200" w:after="140"/>
      </w:pPr>
      <w:bookmarkStart w:id="29" w:name="_Toc30124"/>
      <w:r>
        <w:rPr>
          <w:rFonts w:ascii="微软雅黑" w:hAnsi="微软雅黑" w:eastAsia="微软雅黑"/>
          <w:b/>
          <w:color w:val="000000"/>
          <w:sz w:val="24"/>
        </w:rPr>
        <w:t>11.2 社会价值</w:t>
      </w:r>
      <w:bookmarkEnd w:id="29"/>
    </w:p>
    <w:p w14:paraId="61DEB34C">
      <w:pPr>
        <w:spacing w:after="140" w:line="348" w:lineRule="auto"/>
        <w:ind w:firstLine="403"/>
      </w:pPr>
      <w:r>
        <w:rPr>
          <w:rFonts w:ascii="微软雅黑" w:hAnsi="微软雅黑" w:eastAsia="微软雅黑"/>
          <w:b w:val="0"/>
          <w:color w:val="000000"/>
          <w:sz w:val="21"/>
        </w:rPr>
        <w:t>织枢通过将复杂任务过程显性化、结构化和可审计化，降低组织使用智能体的理解和治理门槛。对高校和科研团队，它有助于沉淀可复用的研究协作资产；对企业，它有助于减少重复资料整理和跨系统切换；对敏感业务场景，它通过审批、脱敏、可信资源策略和运行记录提高可控性。项目应以“辅助决策与增强协作”为边界，坚持人类审批、责任明确与数据最小化原则。</w:t>
      </w:r>
    </w:p>
    <w:p w14:paraId="15A81EC3">
      <w:pPr>
        <w:pStyle w:val="4"/>
        <w:spacing w:before="200" w:after="140"/>
      </w:pPr>
      <w:bookmarkStart w:id="30" w:name="_Toc1784"/>
      <w:r>
        <w:rPr>
          <w:rFonts w:ascii="微软雅黑" w:hAnsi="微软雅黑" w:eastAsia="微软雅黑"/>
          <w:b/>
          <w:color w:val="000000"/>
          <w:sz w:val="24"/>
        </w:rPr>
        <w:t>11.3 风险与应对</w:t>
      </w:r>
      <w:bookmarkEnd w:id="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3960"/>
      </w:tblGrid>
      <w:tr w14:paraId="058C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5892CAA">
            <w:pPr>
              <w:spacing w:before="40" w:after="40" w:line="240" w:lineRule="auto"/>
              <w:jc w:val="center"/>
            </w:pPr>
            <w:r>
              <w:rPr>
                <w:rFonts w:ascii="微软雅黑" w:hAnsi="微软雅黑" w:eastAsia="微软雅黑"/>
                <w:b/>
                <w:color w:val="FFFFFF"/>
                <w:sz w:val="19"/>
              </w:rPr>
              <w:t>风险类别</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6373C2D">
            <w:pPr>
              <w:spacing w:before="40" w:after="40" w:line="240" w:lineRule="auto"/>
              <w:jc w:val="center"/>
            </w:pPr>
            <w:r>
              <w:rPr>
                <w:rFonts w:ascii="微软雅黑" w:hAnsi="微软雅黑" w:eastAsia="微软雅黑"/>
                <w:b/>
                <w:color w:val="FFFFFF"/>
                <w:sz w:val="19"/>
              </w:rPr>
              <w:t>风险描述</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FFAF8CA">
            <w:pPr>
              <w:spacing w:before="40" w:after="40" w:line="240" w:lineRule="auto"/>
              <w:jc w:val="center"/>
            </w:pPr>
            <w:r>
              <w:rPr>
                <w:rFonts w:ascii="微软雅黑" w:hAnsi="微软雅黑" w:eastAsia="微软雅黑"/>
                <w:b/>
                <w:color w:val="FFFFFF"/>
                <w:sz w:val="19"/>
              </w:rPr>
              <w:t>应对措施</w:t>
            </w:r>
          </w:p>
        </w:tc>
      </w:tr>
      <w:tr w14:paraId="736A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68D84F2">
            <w:pPr>
              <w:spacing w:before="40" w:after="40" w:line="240" w:lineRule="auto"/>
              <w:jc w:val="center"/>
            </w:pPr>
            <w:r>
              <w:rPr>
                <w:rFonts w:ascii="微软雅黑" w:hAnsi="微软雅黑" w:eastAsia="微软雅黑"/>
                <w:b w:val="0"/>
                <w:color w:val="000000"/>
                <w:sz w:val="18"/>
              </w:rPr>
              <w:t>市场风险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965D9D9">
            <w:pPr>
              <w:spacing w:before="40" w:after="40" w:line="240" w:lineRule="auto"/>
              <w:jc w:val="left"/>
            </w:pPr>
            <w:r>
              <w:rPr>
                <w:rFonts w:ascii="微软雅黑" w:hAnsi="微软雅黑" w:eastAsia="微软雅黑"/>
                <w:b w:val="0"/>
                <w:color w:val="000000"/>
                <w:sz w:val="18"/>
              </w:rPr>
              <w:t>大厂生态能力强、客户需求差异大、采购周期长</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7E4B72F">
            <w:pPr>
              <w:spacing w:before="40" w:after="40" w:line="240" w:lineRule="auto"/>
              <w:jc w:val="left"/>
            </w:pPr>
            <w:r>
              <w:rPr>
                <w:rFonts w:ascii="微软雅黑" w:hAnsi="微软雅黑" w:eastAsia="微软雅黑"/>
                <w:b w:val="0"/>
                <w:color w:val="000000"/>
                <w:sz w:val="18"/>
              </w:rPr>
              <w:t>聚焦细分场景，以可量化试点建立标杆，减少泛平台叙事</w:t>
            </w:r>
          </w:p>
        </w:tc>
      </w:tr>
      <w:tr w14:paraId="794B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4A85E33">
            <w:pPr>
              <w:spacing w:before="40" w:after="40" w:line="240" w:lineRule="auto"/>
              <w:jc w:val="center"/>
            </w:pPr>
            <w:r>
              <w:rPr>
                <w:rFonts w:ascii="微软雅黑" w:hAnsi="微软雅黑" w:eastAsia="微软雅黑"/>
                <w:b w:val="0"/>
                <w:color w:val="000000"/>
                <w:sz w:val="18"/>
              </w:rPr>
              <w:t>技术风险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680AE04">
            <w:pPr>
              <w:spacing w:before="40" w:after="40" w:line="240" w:lineRule="auto"/>
              <w:jc w:val="left"/>
            </w:pPr>
            <w:r>
              <w:rPr>
                <w:rFonts w:ascii="微软雅黑" w:hAnsi="微软雅黑" w:eastAsia="微软雅黑"/>
                <w:b w:val="0"/>
                <w:color w:val="000000"/>
                <w:sz w:val="18"/>
              </w:rPr>
              <w:t>模型输出不稳定、工具失败、复杂协作效果未必可泛化</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E298C82">
            <w:pPr>
              <w:spacing w:before="40" w:after="40" w:line="240" w:lineRule="auto"/>
              <w:jc w:val="left"/>
            </w:pPr>
            <w:r>
              <w:rPr>
                <w:rFonts w:ascii="微软雅黑" w:hAnsi="微软雅黑" w:eastAsia="微软雅黑"/>
                <w:b w:val="0"/>
                <w:color w:val="000000"/>
                <w:sz w:val="18"/>
              </w:rPr>
              <w:t>质量门、检查点、失败替补、回放审计和持续评测</w:t>
            </w:r>
          </w:p>
        </w:tc>
      </w:tr>
      <w:tr w14:paraId="6066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1AD09F5">
            <w:pPr>
              <w:spacing w:before="40" w:after="40" w:line="240" w:lineRule="auto"/>
              <w:jc w:val="center"/>
            </w:pPr>
            <w:r>
              <w:rPr>
                <w:rFonts w:ascii="微软雅黑" w:hAnsi="微软雅黑" w:eastAsia="微软雅黑"/>
                <w:b w:val="0"/>
                <w:color w:val="000000"/>
                <w:sz w:val="18"/>
              </w:rPr>
              <w:t>数据与合规风险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8F6B2CC">
            <w:pPr>
              <w:spacing w:before="40" w:after="40" w:line="240" w:lineRule="auto"/>
              <w:jc w:val="left"/>
            </w:pPr>
            <w:r>
              <w:rPr>
                <w:rFonts w:ascii="微软雅黑" w:hAnsi="微软雅黑" w:eastAsia="微软雅黑"/>
                <w:b w:val="0"/>
                <w:color w:val="000000"/>
                <w:sz w:val="18"/>
              </w:rPr>
              <w:t>敏感数据、权限越界、工具操作风险</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E33E2D3">
            <w:pPr>
              <w:spacing w:before="40" w:after="40" w:line="240" w:lineRule="auto"/>
              <w:jc w:val="left"/>
            </w:pPr>
            <w:r>
              <w:rPr>
                <w:rFonts w:ascii="微软雅黑" w:hAnsi="微软雅黑" w:eastAsia="微软雅黑"/>
                <w:b w:val="0"/>
                <w:color w:val="000000"/>
                <w:sz w:val="18"/>
              </w:rPr>
              <w:t>最小权限、审批、脱敏、可信域策略、日志留痕</w:t>
            </w:r>
          </w:p>
        </w:tc>
      </w:tr>
      <w:tr w14:paraId="1779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1832A71">
            <w:pPr>
              <w:spacing w:before="40" w:after="40" w:line="240" w:lineRule="auto"/>
              <w:jc w:val="center"/>
            </w:pPr>
            <w:r>
              <w:rPr>
                <w:rFonts w:ascii="微软雅黑" w:hAnsi="微软雅黑" w:eastAsia="微软雅黑"/>
                <w:b w:val="0"/>
                <w:color w:val="000000"/>
                <w:sz w:val="18"/>
              </w:rPr>
              <w:t>交付风险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3B4732E">
            <w:pPr>
              <w:spacing w:before="40" w:after="40" w:line="240" w:lineRule="auto"/>
              <w:jc w:val="center"/>
            </w:pPr>
            <w:r>
              <w:rPr>
                <w:rFonts w:ascii="微软雅黑" w:hAnsi="微软雅黑" w:eastAsia="微软雅黑"/>
                <w:b w:val="0"/>
                <w:color w:val="000000"/>
                <w:sz w:val="18"/>
              </w:rPr>
              <w:t>过度定制导致成本高和产品化不足</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CC185B7">
            <w:pPr>
              <w:spacing w:before="40" w:after="40" w:line="240" w:lineRule="auto"/>
              <w:jc w:val="left"/>
            </w:pPr>
            <w:r>
              <w:rPr>
                <w:rFonts w:ascii="微软雅黑" w:hAnsi="微软雅黑" w:eastAsia="微软雅黑"/>
                <w:b w:val="0"/>
                <w:color w:val="000000"/>
                <w:sz w:val="18"/>
              </w:rPr>
              <w:t>限定首期场景、模板化资产、明确验收边界和变更机制</w:t>
            </w:r>
          </w:p>
        </w:tc>
      </w:tr>
      <w:tr w14:paraId="0FB6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1ABB3A6">
            <w:pPr>
              <w:spacing w:before="40" w:after="40" w:line="240" w:lineRule="auto"/>
              <w:jc w:val="center"/>
            </w:pPr>
            <w:r>
              <w:rPr>
                <w:rFonts w:ascii="微软雅黑" w:hAnsi="微软雅黑" w:eastAsia="微软雅黑"/>
                <w:b w:val="0"/>
                <w:color w:val="000000"/>
                <w:sz w:val="18"/>
              </w:rPr>
              <w:t>经营风险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72B514">
            <w:pPr>
              <w:spacing w:before="40" w:after="40" w:line="240" w:lineRule="auto"/>
              <w:jc w:val="center"/>
            </w:pPr>
            <w:r>
              <w:rPr>
                <w:rFonts w:ascii="微软雅黑" w:hAnsi="微软雅黑" w:eastAsia="微软雅黑"/>
                <w:b w:val="0"/>
                <w:color w:val="000000"/>
                <w:sz w:val="18"/>
              </w:rPr>
              <w:t>现金流与关键人才依赖</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E603F32">
            <w:pPr>
              <w:spacing w:before="40" w:after="40" w:line="240" w:lineRule="auto"/>
              <w:jc w:val="left"/>
            </w:pPr>
            <w:r>
              <w:rPr>
                <w:rFonts w:ascii="微软雅黑" w:hAnsi="微软雅黑" w:eastAsia="微软雅黑"/>
                <w:b w:val="0"/>
                <w:color w:val="000000"/>
                <w:sz w:val="18"/>
              </w:rPr>
              <w:t>分阶段投入、项目回款控制、核心模块文档化与人才梯队</w:t>
            </w:r>
          </w:p>
        </w:tc>
      </w:tr>
    </w:tbl>
    <w:p w14:paraId="712357EA">
      <w:pPr>
        <w:spacing w:after="40"/>
      </w:pPr>
    </w:p>
    <w:p w14:paraId="02B4ECEA">
      <w:pPr>
        <w:spacing w:after="40"/>
      </w:pPr>
    </w:p>
    <w:p w14:paraId="4C18D2C6">
      <w:pPr>
        <w:pStyle w:val="4"/>
        <w:spacing w:before="200" w:after="140"/>
        <w:rPr>
          <w:rFonts w:ascii="微软雅黑" w:hAnsi="微软雅黑" w:eastAsia="微软雅黑" w:cstheme="majorBidi"/>
          <w:b/>
          <w:bCs/>
          <w:color w:val="000000"/>
          <w:sz w:val="30"/>
          <w:szCs w:val="28"/>
          <w:lang w:val="en-US" w:eastAsia="en-US" w:bidi="ar-SA"/>
        </w:rPr>
      </w:pPr>
      <w:bookmarkStart w:id="31" w:name="_Toc5495"/>
      <w:r>
        <w:rPr>
          <w:rFonts w:hint="eastAsia" w:ascii="微软雅黑" w:hAnsi="微软雅黑" w:eastAsia="微软雅黑" w:cstheme="majorBidi"/>
          <w:b/>
          <w:bCs/>
          <w:color w:val="000000"/>
          <w:sz w:val="30"/>
          <w:szCs w:val="28"/>
          <w:lang w:val="en-US" w:eastAsia="zh-CN" w:bidi="ar-SA"/>
        </w:rPr>
        <w:t>十二、</w:t>
      </w:r>
      <w:r>
        <w:rPr>
          <w:rFonts w:ascii="微软雅黑" w:hAnsi="微软雅黑" w:eastAsia="微软雅黑" w:cstheme="majorBidi"/>
          <w:b/>
          <w:bCs/>
          <w:color w:val="000000"/>
          <w:sz w:val="30"/>
          <w:szCs w:val="28"/>
          <w:lang w:val="en-US" w:eastAsia="en-US" w:bidi="ar-SA"/>
        </w:rPr>
        <w:t>参考资料说明</w:t>
      </w:r>
      <w:bookmarkEnd w:id="31"/>
    </w:p>
    <w:p w14:paraId="737EAA18">
      <w:pPr>
        <w:spacing w:after="140" w:line="348" w:lineRule="auto"/>
        <w:ind w:firstLine="403"/>
        <w:rPr>
          <w:rFonts w:ascii="微软雅黑" w:hAnsi="微软雅黑" w:eastAsia="微软雅黑"/>
          <w:b w:val="0"/>
          <w:color w:val="000000"/>
          <w:sz w:val="21"/>
        </w:rPr>
      </w:pPr>
      <w:r>
        <w:rPr>
          <w:rFonts w:ascii="微软雅黑" w:hAnsi="微软雅黑" w:eastAsia="微软雅黑"/>
          <w:b w:val="0"/>
          <w:color w:val="000000"/>
          <w:sz w:val="21"/>
        </w:rPr>
        <w:t>本计划书的产品与技术事实主要基于项目既有</w:t>
      </w:r>
      <w:r>
        <w:rPr>
          <w:rFonts w:hint="eastAsia" w:ascii="微软雅黑" w:hAnsi="微软雅黑" w:eastAsia="微软雅黑"/>
          <w:b w:val="0"/>
          <w:color w:val="000000"/>
          <w:sz w:val="21"/>
          <w:lang w:val="en-US" w:eastAsia="zh-CN"/>
        </w:rPr>
        <w:t>实现情况，后续将会持续优化</w:t>
      </w:r>
      <w:r>
        <w:rPr>
          <w:rFonts w:hint="eastAsia" w:ascii="微软雅黑" w:hAnsi="微软雅黑" w:eastAsia="微软雅黑"/>
          <w:b w:val="0"/>
          <w:color w:val="000000"/>
          <w:sz w:val="21"/>
          <w:lang w:eastAsia="zh-CN"/>
        </w:rPr>
        <w:t>。</w:t>
      </w:r>
      <w:r>
        <w:rPr>
          <w:rFonts w:ascii="微软雅黑" w:hAnsi="微软雅黑" w:eastAsia="微软雅黑"/>
          <w:b w:val="0"/>
          <w:color w:val="000000"/>
          <w:sz w:val="21"/>
        </w:rPr>
        <w:t>竞品描述参考各厂商公开产品资料，包括阿里云 AgentRun、腾讯云智能体开发平台、百度千帆、Microsoft Copilot Studio、Salesforce Agentforce 和 IBM watsonx Orchestrate。</w:t>
      </w:r>
    </w:p>
    <w:sectPr>
      <w:footerReference r:id="rId5" w:type="default"/>
      <w:pgSz w:w="12240" w:h="15840"/>
      <w:pgMar w:top="1037" w:right="1080" w:bottom="979"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671F7">
    <w:pPr>
      <w:pStyle w:val="24"/>
      <w:jc w:val="center"/>
    </w:pPr>
    <w:r>
      <w:rPr>
        <w:rFonts w:ascii="微软雅黑" w:hAnsi="微软雅黑" w:eastAsia="微软雅黑"/>
        <w:b w:val="0"/>
        <w:color w:val="666666"/>
        <w:sz w:val="17"/>
      </w:rPr>
      <w:t>织枢 ZISU 商业计划书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C30879"/>
    <w:rsid w:val="1EF32AD4"/>
    <w:rsid w:val="2B4C0426"/>
    <w:rsid w:val="36A75FFC"/>
    <w:rsid w:val="3C8D19DD"/>
    <w:rsid w:val="3E594080"/>
    <w:rsid w:val="3F0D7A01"/>
    <w:rsid w:val="43C95804"/>
    <w:rsid w:val="44AE4568"/>
    <w:rsid w:val="4C863FBC"/>
    <w:rsid w:val="5B5934D8"/>
    <w:rsid w:val="613814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ZISU Figure Caption"/>
    <w:basedOn w:val="1"/>
    <w:qFormat/>
    <w:uiPriority w:val="0"/>
    <w:rPr>
      <w:rFonts w:ascii="宋体" w:hAnsi="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1958</Words>
  <Characters>2091</Characters>
  <Lines>0</Lines>
  <Paragraphs>0</Paragraphs>
  <TotalTime>7</TotalTime>
  <ScaleCrop>false</ScaleCrop>
  <LinksUpToDate>false</LinksUpToDate>
  <CharactersWithSpaces>2138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织枢 ZISU 项目团队</dc:creator>
  <dc:description>generated by python-docx</dc:description>
  <cp:lastModifiedBy>李晓萌</cp:lastModifiedBy>
  <dcterms:modified xsi:type="dcterms:W3CDTF">2026-09-10T14:10:14Z</dcterms:modified>
  <dc:subject>面向超长程复杂任务的可信多智能体协同平台</dc:subject>
  <dc:title>织枢 ZISU 商业计划书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eyJoZGlkIjoiYzNhNjRlOTMzMTY0NmEzZTU3NDMyMTg0ZDczYjczNmEiLCJ1c2VySWQiOiIxNjI3MjYwMjkyIn0=</vt:lpwstr>
  </property>
  <property fmtid="{D5CDD505-2E9C-101B-9397-08002B2CF9AE}" pid="3" name="KSOProductBuildVer">
    <vt:lpwstr>2052-12.1.0.28043</vt:lpwstr>
  </property>
  <property fmtid="{D5CDD505-2E9C-101B-9397-08002B2CF9AE}" pid="4" name="ICV">
    <vt:lpwstr>EFD76D24A9CE48C9B5C3C7558CE20FA9_12</vt:lpwstr>
  </property>
</Properties>
</file>