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b/>
          <w:sz w:val="44"/>
        </w:rPr>
        <w:t>Design, Development, and Empirical Evaluation of a Governed Closed-Domain RAG and Intelligent Triage Platform for Higher Education IT Service Management</w:t>
      </w:r>
    </w:p>
    <w:tbl>
      <w:tblPr>
        <w:tblW w:type="auto" w:w="0"/>
        <w:jc w:val="center"/>
        <w:tblLook w:firstColumn="1" w:firstRow="1" w:lastColumn="0" w:lastRow="0" w:noHBand="0" w:noVBand="1" w:val="04A0"/>
      </w:tblPr>
      <w:tblGrid>
        <w:gridCol w:w="2520"/>
        <w:gridCol w:w="2520"/>
        <w:gridCol w:w="2520"/>
        <w:gridCol w:w="2520"/>
      </w:tblGrid>
      <w:tr>
        <w:tc>
          <w:tcPr>
            <w:tcW w:type="dxa" w:w="2520"/>
            <w:tcMar>
              <w:top w:w="30" w:type="dxa"/>
              <w:bottom w:w="30" w:type="dxa"/>
              <w:left w:w="50" w:type="dxa"/>
              <w:right w:w="50" w:type="dxa"/>
            </w:tcMar>
          </w:tcPr>
          <w:p>
            <w:pPr>
              <w:jc w:val="center"/>
            </w:pPr>
            <w:r>
              <w:rPr>
                <w:b/>
                <w:sz w:val="20"/>
              </w:rPr>
              <w:t>Russel M. Dela Torre</w:t>
              <w:br/>
            </w:r>
            <w:r>
              <w:rPr>
                <w:i/>
                <w:sz w:val="16"/>
              </w:rPr>
              <w:t>College of Industrial Technology</w:t>
              <w:br/>
              <w:t>Carlos Hilado Memorial State University</w:t>
              <w:br/>
              <w:t>Talisay City, Negros Occidental, Philippines</w:t>
              <w:br/>
              <w:t>ORCID: 0009-0001-2318-2228</w:t>
            </w:r>
          </w:p>
        </w:tc>
        <w:tc>
          <w:tcPr>
            <w:tcW w:type="dxa" w:w="2520"/>
            <w:tcMar>
              <w:top w:w="30" w:type="dxa"/>
              <w:bottom w:w="30" w:type="dxa"/>
              <w:left w:w="50" w:type="dxa"/>
              <w:right w:w="50" w:type="dxa"/>
            </w:tcMar>
          </w:tcPr>
          <w:p>
            <w:pPr>
              <w:jc w:val="center"/>
            </w:pPr>
            <w:r>
              <w:rPr>
                <w:b/>
                <w:sz w:val="20"/>
              </w:rPr>
              <w:t>Mark Oliver Meguizo</w:t>
              <w:br/>
            </w:r>
            <w:r>
              <w:rPr>
                <w:i/>
                <w:sz w:val="16"/>
              </w:rPr>
              <w:t>College of Computer Studies &amp; ICT Dept.</w:t>
              <w:br/>
              <w:t>Carlos Hilado Memorial State University</w:t>
              <w:br/>
              <w:t>Talisay City, Negros Occidental, Philippines</w:t>
              <w:br/>
              <w:t>ORCID: 0009-0004-5412-7178</w:t>
            </w:r>
          </w:p>
        </w:tc>
        <w:tc>
          <w:tcPr>
            <w:tcW w:type="dxa" w:w="2520"/>
            <w:tcMar>
              <w:top w:w="30" w:type="dxa"/>
              <w:bottom w:w="30" w:type="dxa"/>
              <w:left w:w="50" w:type="dxa"/>
              <w:right w:w="50" w:type="dxa"/>
            </w:tcMar>
          </w:tcPr>
          <w:p>
            <w:pPr>
              <w:jc w:val="center"/>
            </w:pPr>
            <w:r>
              <w:rPr>
                <w:b/>
                <w:sz w:val="20"/>
              </w:rPr>
              <w:t>Rodney Ormeo</w:t>
              <w:br/>
            </w:r>
            <w:r>
              <w:rPr>
                <w:i/>
                <w:sz w:val="16"/>
              </w:rPr>
              <w:t>College of Computer Studies</w:t>
              <w:br/>
              <w:t>Carlos Hilado Memorial State University</w:t>
              <w:br/>
              <w:t>Talisay City, Negros Occidental, Philippines</w:t>
            </w:r>
          </w:p>
        </w:tc>
        <w:tc>
          <w:tcPr>
            <w:tcW w:type="dxa" w:w="2520"/>
            <w:tcMar>
              <w:top w:w="30" w:type="dxa"/>
              <w:bottom w:w="30" w:type="dxa"/>
              <w:left w:w="50" w:type="dxa"/>
              <w:right w:w="50" w:type="dxa"/>
            </w:tcMar>
          </w:tcPr>
          <w:p>
            <w:pPr>
              <w:jc w:val="center"/>
            </w:pPr>
            <w:r>
              <w:rPr>
                <w:b/>
                <w:sz w:val="20"/>
              </w:rPr>
              <w:t>Ernie L. Aguirre</w:t>
              <w:br/>
            </w:r>
            <w:r>
              <w:rPr>
                <w:i/>
                <w:sz w:val="16"/>
              </w:rPr>
              <w:t>BSIS Department</w:t>
              <w:br/>
              <w:t>Colegio de La Castellana</w:t>
              <w:br/>
              <w:t>La Castellana, Negros Occidental, Philippines</w:t>
              <w:br/>
              <w:t>ORCID: 0009-0003-1039-0823</w:t>
              <w:br/>
              <w:t>Scopus ID: 59490213000</w:t>
            </w:r>
          </w:p>
        </w:tc>
      </w:tr>
    </w:tbl>
    <w:p>
      <w:pPr>
        <w:spacing w:before="120" w:after="120"/>
      </w:pPr>
    </w:p>
    <w:p>
      <w:pPr>
        <w:spacing w:after="120"/>
        <w:ind w:left="288" w:right="288"/>
        <w:jc w:val="both"/>
      </w:pPr>
      <w:r>
        <w:rPr>
          <w:b/>
          <w:i/>
        </w:rPr>
        <w:t xml:space="preserve">Abstract— </w:t>
      </w:r>
      <w:r>
        <w:rPr>
          <w:b/>
          <w:sz w:val="18"/>
        </w:rPr>
        <w:t>Public higher education institutions in developing nations operate under stringent statutory service mandates while grappling with manual paper-based ticketing, multi-signatory approval delays, unmonitored turnaround times, and tacit diagnostic knowledge attrition. This paper presents the design science research development and empirical evaluation of an artificial intelligence-augmented IT Service Management platform engineered for Philippine State Universities and Colleges, deployed at Carlos Hilado Memorial State University. To reconcile institutional approval chains with statutory turnaround compliance under Republic Act No. 11032, the platform implements a governed six-stage, 10-state workflow combining lexicographical skill-and-workload triage routing, an automated background Service Level Agreement escalation daemon, and a native Anti-Red Tape Authority Client Satisfaction Measurement instrument gating ticket closure. A closed-loop Retrieval-Augmented Generation assistant operationalizes the SECI knowledge model by indexing verified post-resolution diagnostics into 768-dimensional semantic embeddings. Epistemic provenance routing restricts campus inquiries to verified internal corpora while cascading across four inference tiers (Google Gemini Flash, Perplexity SSE, Hugging Face Qwen2.5-72B, and deterministic offline templates) to preserve operational continuity. Empirical evaluation confirms artifact efficacy: functional User Acceptance Testing across eight role-based access control personas achieved a 100.0% pass rate (64/64 scenarios); on a 100-query benchmark, hybrid retrieval achieved 0.86 Precision@5, 0.92 Recall@5, and reduced hallucinations from 54.0% to 2.0%; expert evaluation via McCall's Quality Model yielded 4.65/5.00 (SD 0.21); and standardized usability evaluation via PSSUQ scored 1.71 (SD 0.41, statistically superior to the 2.82 industry norm, p &lt; 0.001). Transition to the platform reduced operational mean turnaround time from 39.36 h (SD 18.75) to 19.79 h (SD 22.07), representing a -49.71% net improvement (Cohen's d = 0.95), raised statutory SLA compliance from 73.44% (235/320) to 92.84% (311/335, Odds Ratio = 4.69, p &lt; 0.001), and achieved a 97.01% ARTA completion rate under architectural gating (325 closed out of 335 resolved; 95.87% of all 339 pilot tickets) with a 98.26% Citizen Satisfaction Index.</w:t>
      </w:r>
    </w:p>
    <w:p>
      <w:pPr>
        <w:spacing w:after="240"/>
        <w:ind w:left="288" w:right="288"/>
        <w:jc w:val="both"/>
      </w:pPr>
      <w:r>
        <w:rPr>
          <w:b/>
          <w:i/>
        </w:rPr>
        <w:t xml:space="preserve">Index Terms— </w:t>
      </w:r>
      <w:r>
        <w:rPr>
          <w:b/>
          <w:sz w:val="18"/>
        </w:rPr>
        <w:t>Anti-Red Tape Authority (ARTA), Closed-Loop Knowledge Management, Design Science Research (DSR), IT Service Management (ITSM), McCall's Software Quality Model, Post-Study System Usability Questionnaire (PSSUQ), Retrieval-Augmented Generation (RAG), Service Level Agreement (SLA).</w:t>
      </w:r>
    </w:p>
    <w:p>
      <w:pPr>
        <w:keepNext/>
        <w:spacing w:before="240" w:after="60"/>
      </w:pPr>
      <w:r>
        <w:rPr>
          <w:b/>
          <w:color w:val="0F172A"/>
          <w:sz w:val="22"/>
        </w:rPr>
        <w:t>I. INTRODUCTION</w:t>
      </w:r>
    </w:p>
    <w:p>
      <w:pPr>
        <w:spacing w:before="0" w:after="100" w:line="269" w:lineRule="auto"/>
        <w:jc w:val="both"/>
      </w:pPr>
      <w:r>
        <w:rPr>
          <w:sz w:val="19"/>
        </w:rPr>
        <w:t>Digital transformation across Philippine State Universities and Colleges (SUCs) has placed unprecedented operational demands on institutional Information and Communications Technology (ICT) departments, which simultaneously support core academic instructional delivery and university-wide administrative governance [2]. Public higher education institutions (HEIs) such as Carlos Hilado Memorial State University (CHMSU) operate under strict statutory mandates---most notably Republic Act No. 11032, the Ease of Doing Business and Efficient Government Service Delivery Act of 2018 [1]---requiring transparent, accountable, and legally bound turnaround times monitored by the Anti-Red Tape Authority (ARTA). Despite these legislative mandates, frontline technical service delivery in public universities remains constrained by limited staffing, multi-campus physical dispersion, high request volumes, and legacy manual workflows [2], [3].</w:t>
      </w:r>
    </w:p>
    <w:p>
      <w:pPr>
        <w:spacing w:before="0" w:after="100" w:line="269" w:lineRule="auto"/>
        <w:jc w:val="both"/>
      </w:pPr>
      <w:r>
        <w:rPr>
          <w:sz w:val="19"/>
        </w:rPr>
        <w:t>Within the CHMSU ICT Department, technical operations are structurally partitioned into two specialized units: the Management Information Systems (MIS) division (responsible for student information systems, institutional enterprise portals, and database infrastructure) and the Information Technology Services (ITS) division (responsible for campus network connectivity, computer laboratory hardware, classroom audiovisual lending, and peripheral maintenance). Historically, service requests across both divisions were handled through manual paper slips, walk-in visits, and unstructured chat messages. This paper-bound paradigm created four systemic operational vulnerabilities:</w:t>
      </w:r>
    </w:p>
    <w:p>
      <w:pPr>
        <w:spacing w:before="0" w:after="100" w:line="269" w:lineRule="auto"/>
        <w:jc w:val="both"/>
      </w:pPr>
      <w:r>
        <w:rPr>
          <w:sz w:val="19"/>
        </w:rPr>
        <w:t>1. Governance Bottlenecks in Multi-Signatory Approvals: Institutional procedures mandate sequential sign-offs (Requesting Office -&gt; ICT Secretary -&gt; ICT Director -&gt; Unit Head -&gt; Assigned Staff). In paper form, slips were frequently misplaced, lacked real-time status tracking for end users, and introduced substantial queuing delays between administrative handoffs.</w:t>
        <w:br/>
        <w:t>2. Unenforced SLAs and Staff Queue Imbalances: Service Level Agreements (SLAs) were unmonitored. Work was delegated ad-hoc without visibility into technicians' specific skill specializations or active task backlogs, causing technician burnout and queue starvation.</w:t>
        <w:br/>
        <w:t>3. Tacit Diagnostic Knowledge Attrition: Resolution workarounds and technical configurations remained confined to individual technicians' tacit memory [13]. Personnel turnover repeatedly erased troubleshooting institutional memory, forcing staff to solve recurrent faults from scratch.</w:t>
        <w:br/>
        <w:t>4. Statutory Compliance Friction: The mandatory ARTA Client Satisfaction Measurement (CSM) survey (PSA Approval No. ARTA-2331-3) was administered via physical paper slips attached to completed slips. This produced administrative overhead and an unacceptably low voluntary submission rate (23.75%).</w:t>
      </w:r>
    </w:p>
    <w:p>
      <w:pPr>
        <w:spacing w:before="0" w:after="100" w:line="269" w:lineRule="auto"/>
        <w:jc w:val="both"/>
      </w:pPr>
      <w:r>
        <w:rPr>
          <w:sz w:val="19"/>
        </w:rPr>
        <w:t>While Large Language Models (LLMs) and Retrieval-Augmented Generation (RAG) [4] hold substantial promise for automating IT service desks [5], deploying commercial or generic academic architectures in public universities reveals critical gaps. Commercial Enterprise Service Management suites impose cost-prohibitive subscription licensing per technical agent under Philippine State University budgetary constraints, while empirical studies of university ITIL implementations document substantial organizational friction and bureaucratic resistance when deploying standard commercial IT service models without deep customization to collegiate governance structures [6], [7]. Conversely, academic RAG prototypes query static pre-indexed document repositories rather than continuously capturing newly resolved incident diagnostics [5], [8], and they lack epistemic provenance governance to prevent severe hallucinations on localized university policies and student account workflows [9], [10]. Furthermore, single-API AI configurations remain vulnerable to upstream rate limits and network link drops [20].</w:t>
      </w:r>
    </w:p>
    <w:p>
      <w:pPr>
        <w:spacing w:before="0" w:after="100" w:line="269" w:lineRule="auto"/>
        <w:jc w:val="both"/>
      </w:pPr>
      <w:r>
        <w:rPr>
          <w:sz w:val="19"/>
        </w:rPr>
        <w:t>To resolve these interconnected socio-technical challenges, this study designs, develops, and benchmarks an artificial intelligence-augmented ITSM platform tailored to resource-constrained public universities, grounded in the Design Science Research (DSR) paradigm [11], [12]. Specifically, this investigation addresses three central research questions:</w:t>
        <w:br/>
        <w:br/>
        <w:t>• RQ1 (Governance and Triage Alignment): How can a governed finite-state workflow and lexicographical skill-workload auto-assignment algorithm reconcile multi-signatory administrative approval chains with statutory SLA turnaround enforcement in public university IT operations?</w:t>
        <w:br/>
        <w:t>• RQ2 (Epistemic Provenance and Grounding): To what extent does provenance-aware query routing with campus boundary gating reduce generative hallucinations and improve answer faithfulness on localized institutional procedures compared to unconstrained RAG architectures?</w:t>
        <w:br/>
        <w:t>• RQ3 (Resilience and Knowledge Dynamics): How does a closed-loop SECI vector indexing pipeline paired with a multi-tier graceful degradation cascade sustain institutional memory and operational continuity under resource and infrastructure constraints?</w:t>
      </w:r>
    </w:p>
    <w:p>
      <w:pPr>
        <w:spacing w:before="0" w:after="100" w:line="269" w:lineRule="auto"/>
        <w:jc w:val="both"/>
      </w:pPr>
      <w:r>
        <w:rPr>
          <w:sz w:val="19"/>
        </w:rPr>
        <w:t>To answer these questions, the study delivers four primary contributions: (1) a governed six-stage workflow and skill-routing engine; (2) a closed-loop SECI knowledge capture pipeline; (3) epistemic provenance routing backed by a four-tier graceful degradation cascade; and (4) native statutory compliance and multi-method evaluation across 64 UAT cases, a 100-query IR ablation, McCall quality evaluation, and standardized PSSUQ testing.</w:t>
      </w:r>
    </w:p>
    <w:p>
      <w:pPr>
        <w:keepNext/>
        <w:spacing w:before="240" w:after="60"/>
      </w:pPr>
      <w:r>
        <w:rPr>
          <w:b/>
          <w:color w:val="0F172A"/>
          <w:sz w:val="22"/>
        </w:rPr>
        <w:t>II. RELATED WORK</w:t>
      </w:r>
    </w:p>
    <w:p>
      <w:pPr>
        <w:keepNext/>
        <w:spacing w:before="160" w:after="40"/>
      </w:pPr>
      <w:r>
        <w:rPr>
          <w:b/>
          <w:i/>
          <w:color w:val="1E293B"/>
          <w:sz w:val="20"/>
        </w:rPr>
        <w:t>A. ITIL Adaptation in Higher Education and Enterprise Suite Mismatches</w:t>
      </w:r>
    </w:p>
    <w:p>
      <w:pPr>
        <w:spacing w:before="0" w:after="100" w:line="269" w:lineRule="auto"/>
        <w:jc w:val="both"/>
      </w:pPr>
      <w:r>
        <w:rPr>
          <w:sz w:val="19"/>
        </w:rPr>
        <w:t>The Information Technology Infrastructure Library (ITIL) establishes standardized best practices for incident, problem, and request fulfillment [6], [17]. Literature examining university helpdesks reveals that rigid corporate framework deployments routinely underperform without customization to collegiate governance structures, dual service catalogs separating software from hardware requests, and self-service capabilities [6], [7], [17]. Commercial Enterprise Service Management suites provide robust workflow configurability but operate on per-agent licensing models that exceed public SUC budgets, while enforcing corporate approval workflows that introduce organizational friction within multi-signatory collegiate administrative hierarchies [6], [7]. Turnaround metrics in public HEIs must be systematically coupled with stakeholder-centric compliance indicators [18]. Table I compares these architectural paradigms.</w:t>
      </w:r>
    </w:p>
    <w:p>
      <w:pPr>
        <w:keepNext/>
        <w:spacing w:before="160" w:after="80"/>
        <w:jc w:val="center"/>
      </w:pPr>
      <w:r>
        <w:rPr>
          <w:rFonts w:ascii="Times New Roman" w:hAnsi="Times New Roman"/>
          <w:b/>
          <w:sz w:val="17"/>
        </w:rPr>
        <w:t>TABLE I</w:t>
        <w:br/>
        <w:t>COMPARATIVE SYNTHESIS OF ITSM ARCHITECTURAL PARADIGMS</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584"/>
            <w:shd w:fill="E2E8F0"/>
            <w:tcMar>
              <w:top w:w="80" w:type="dxa"/>
              <w:bottom w:w="80" w:type="dxa"/>
              <w:left w:w="100" w:type="dxa"/>
              <w:right w:w="100" w:type="dxa"/>
            </w:tcMar>
          </w:tcPr>
          <w:p>
            <w:pPr>
              <w:jc w:val="center"/>
            </w:pPr>
            <w:r>
              <w:rPr>
                <w:rFonts w:ascii="Times New Roman" w:hAnsi="Times New Roman"/>
                <w:b/>
                <w:color w:val="0F172A"/>
                <w:sz w:val="16"/>
              </w:rPr>
              <w:t>Feature Dimension</w:t>
            </w:r>
          </w:p>
        </w:tc>
        <w:tc>
          <w:tcPr>
            <w:tcW w:type="dxa" w:w="1584"/>
            <w:shd w:fill="E2E8F0"/>
            <w:tcMar>
              <w:top w:w="80" w:type="dxa"/>
              <w:bottom w:w="80" w:type="dxa"/>
              <w:left w:w="100" w:type="dxa"/>
              <w:right w:w="100" w:type="dxa"/>
            </w:tcMar>
          </w:tcPr>
          <w:p>
            <w:pPr>
              <w:jc w:val="center"/>
            </w:pPr>
            <w:r>
              <w:rPr>
                <w:rFonts w:ascii="Times New Roman" w:hAnsi="Times New Roman"/>
                <w:b/>
                <w:color w:val="0F172A"/>
                <w:sz w:val="16"/>
              </w:rPr>
              <w:t>Commercial ESM (ITIL Enterprise)</w:t>
            </w:r>
          </w:p>
        </w:tc>
        <w:tc>
          <w:tcPr>
            <w:tcW w:type="dxa" w:w="1584"/>
            <w:shd w:fill="E2E8F0"/>
            <w:tcMar>
              <w:top w:w="80" w:type="dxa"/>
              <w:bottom w:w="80" w:type="dxa"/>
              <w:left w:w="100" w:type="dxa"/>
              <w:right w:w="100" w:type="dxa"/>
            </w:tcMar>
          </w:tcPr>
          <w:p>
            <w:pPr>
              <w:jc w:val="center"/>
            </w:pPr>
            <w:r>
              <w:rPr>
                <w:rFonts w:ascii="Times New Roman" w:hAnsi="Times New Roman"/>
                <w:b/>
                <w:color w:val="0F172A"/>
                <w:sz w:val="16"/>
              </w:rPr>
              <w:t>Academic Ticket Classifiers</w:t>
            </w:r>
          </w:p>
        </w:tc>
        <w:tc>
          <w:tcPr>
            <w:tcW w:type="dxa" w:w="1584"/>
            <w:shd w:fill="E2E8F0"/>
            <w:tcMar>
              <w:top w:w="80" w:type="dxa"/>
              <w:bottom w:w="80" w:type="dxa"/>
              <w:left w:w="100" w:type="dxa"/>
              <w:right w:w="100" w:type="dxa"/>
            </w:tcMar>
          </w:tcPr>
          <w:p>
            <w:pPr>
              <w:jc w:val="center"/>
            </w:pPr>
            <w:r>
              <w:rPr>
                <w:rFonts w:ascii="Times New Roman" w:hAnsi="Times New Roman"/>
                <w:b/>
                <w:color w:val="0F172A"/>
                <w:sz w:val="16"/>
              </w:rPr>
              <w:t>Generic Academic RAG</w:t>
            </w:r>
          </w:p>
        </w:tc>
        <w:tc>
          <w:tcPr>
            <w:tcW w:type="dxa" w:w="1584"/>
            <w:shd w:fill="E2E8F0"/>
            <w:tcMar>
              <w:top w:w="80" w:type="dxa"/>
              <w:bottom w:w="80" w:type="dxa"/>
              <w:left w:w="100" w:type="dxa"/>
              <w:right w:w="100" w:type="dxa"/>
            </w:tcMar>
          </w:tcPr>
          <w:p>
            <w:pPr>
              <w:jc w:val="center"/>
            </w:pPr>
            <w:r>
              <w:rPr>
                <w:rFonts w:ascii="Times New Roman" w:hAnsi="Times New Roman"/>
                <w:b/>
                <w:color w:val="0F172A"/>
                <w:sz w:val="16"/>
              </w:rPr>
              <w:t>CHMSU Archival Baseline</w:t>
            </w:r>
          </w:p>
        </w:tc>
        <w:tc>
          <w:tcPr>
            <w:tcW w:type="dxa" w:w="1872"/>
            <w:shd w:fill="E2E8F0"/>
            <w:tcMar>
              <w:top w:w="80" w:type="dxa"/>
              <w:bottom w:w="80" w:type="dxa"/>
              <w:left w:w="100" w:type="dxa"/>
              <w:right w:w="100" w:type="dxa"/>
            </w:tcMar>
          </w:tcPr>
          <w:p>
            <w:pPr>
              <w:jc w:val="center"/>
            </w:pPr>
            <w:r>
              <w:rPr>
                <w:rFonts w:ascii="Times New Roman" w:hAnsi="Times New Roman"/>
                <w:b/>
                <w:color w:val="0F172A"/>
                <w:sz w:val="16"/>
              </w:rPr>
              <w:t>Proposed AI-ITSM DSR Platform</w:t>
            </w:r>
          </w:p>
        </w:tc>
      </w:tr>
      <w:tr>
        <w:tc>
          <w:tcPr>
            <w:tcW w:type="dxa" w:w="1584"/>
            <w:shd w:fill="FFFFFF"/>
            <w:tcMar>
              <w:top w:w="50" w:type="dxa"/>
              <w:bottom w:w="50" w:type="dxa"/>
              <w:left w:w="90" w:type="dxa"/>
              <w:right w:w="90" w:type="dxa"/>
            </w:tcMar>
          </w:tcPr>
          <w:p>
            <w:pPr>
              <w:jc w:val="left"/>
            </w:pPr>
            <w:r>
              <w:rPr>
                <w:rFonts w:ascii="Times New Roman" w:hAnsi="Times New Roman"/>
                <w:sz w:val="16"/>
              </w:rPr>
              <w:t>Approval Hierarchy</w:t>
            </w:r>
          </w:p>
        </w:tc>
        <w:tc>
          <w:tcPr>
            <w:tcW w:type="dxa" w:w="1584"/>
            <w:shd w:fill="FFFFFF"/>
            <w:tcMar>
              <w:top w:w="50" w:type="dxa"/>
              <w:bottom w:w="50" w:type="dxa"/>
              <w:left w:w="90" w:type="dxa"/>
              <w:right w:w="90" w:type="dxa"/>
            </w:tcMar>
          </w:tcPr>
          <w:p>
            <w:pPr>
              <w:jc w:val="left"/>
            </w:pPr>
            <w:r>
              <w:rPr>
                <w:rFonts w:ascii="Times New Roman" w:hAnsi="Times New Roman"/>
                <w:sz w:val="16"/>
              </w:rPr>
              <w:t>Standard ITIL manager approval [6]</w:t>
            </w:r>
          </w:p>
        </w:tc>
        <w:tc>
          <w:tcPr>
            <w:tcW w:type="dxa" w:w="1584"/>
            <w:shd w:fill="FFFFFF"/>
            <w:tcMar>
              <w:top w:w="50" w:type="dxa"/>
              <w:bottom w:w="50" w:type="dxa"/>
              <w:left w:w="90" w:type="dxa"/>
              <w:right w:w="90" w:type="dxa"/>
            </w:tcMar>
          </w:tcPr>
          <w:p>
            <w:pPr>
              <w:jc w:val="left"/>
            </w:pPr>
            <w:r>
              <w:rPr>
                <w:rFonts w:ascii="Times New Roman" w:hAnsi="Times New Roman"/>
                <w:sz w:val="16"/>
              </w:rPr>
              <w:t>None (Direct queue routing)</w:t>
            </w:r>
          </w:p>
        </w:tc>
        <w:tc>
          <w:tcPr>
            <w:tcW w:type="dxa" w:w="1584"/>
            <w:shd w:fill="FFFFFF"/>
            <w:tcMar>
              <w:top w:w="50" w:type="dxa"/>
              <w:bottom w:w="50" w:type="dxa"/>
              <w:left w:w="90" w:type="dxa"/>
              <w:right w:w="90" w:type="dxa"/>
            </w:tcMar>
          </w:tcPr>
          <w:p>
            <w:pPr>
              <w:jc w:val="center"/>
            </w:pPr>
            <w:r>
              <w:rPr>
                <w:rFonts w:ascii="Times New Roman" w:hAnsi="Times New Roman"/>
                <w:sz w:val="16"/>
              </w:rPr>
              <w:t>None (Direct QA)</w:t>
            </w:r>
          </w:p>
        </w:tc>
        <w:tc>
          <w:tcPr>
            <w:tcW w:type="dxa" w:w="1584"/>
            <w:shd w:fill="FFFFFF"/>
            <w:tcMar>
              <w:top w:w="50" w:type="dxa"/>
              <w:bottom w:w="50" w:type="dxa"/>
              <w:left w:w="90" w:type="dxa"/>
              <w:right w:w="90" w:type="dxa"/>
            </w:tcMar>
          </w:tcPr>
          <w:p>
            <w:pPr>
              <w:jc w:val="left"/>
            </w:pPr>
            <w:r>
              <w:rPr>
                <w:rFonts w:ascii="Times New Roman" w:hAnsi="Times New Roman"/>
                <w:sz w:val="16"/>
              </w:rPr>
              <w:t>Manual 5-signature paper routing</w:t>
            </w:r>
          </w:p>
        </w:tc>
        <w:tc>
          <w:tcPr>
            <w:tcW w:type="dxa" w:w="1872"/>
            <w:shd w:fill="FFFFFF"/>
            <w:tcMar>
              <w:top w:w="50" w:type="dxa"/>
              <w:bottom w:w="50" w:type="dxa"/>
              <w:left w:w="90" w:type="dxa"/>
              <w:right w:w="90" w:type="dxa"/>
            </w:tcMar>
          </w:tcPr>
          <w:p>
            <w:pPr>
              <w:jc w:val="left"/>
            </w:pPr>
            <w:r>
              <w:rPr>
                <w:rFonts w:ascii="Times New Roman" w:hAnsi="Times New Roman"/>
                <w:sz w:val="16"/>
              </w:rPr>
              <w:t>Governed 6-stage FSM</w:t>
            </w:r>
          </w:p>
        </w:tc>
      </w:tr>
      <w:tr>
        <w:tc>
          <w:tcPr>
            <w:tcW w:type="dxa" w:w="1584"/>
            <w:shd w:fill="F8FAFC"/>
            <w:tcMar>
              <w:top w:w="50" w:type="dxa"/>
              <w:bottom w:w="50" w:type="dxa"/>
              <w:left w:w="90" w:type="dxa"/>
              <w:right w:w="90" w:type="dxa"/>
            </w:tcMar>
          </w:tcPr>
          <w:p>
            <w:pPr>
              <w:jc w:val="left"/>
            </w:pPr>
            <w:r>
              <w:rPr>
                <w:rFonts w:ascii="Times New Roman" w:hAnsi="Times New Roman"/>
                <w:sz w:val="16"/>
              </w:rPr>
              <w:t>Queue Triage</w:t>
            </w:r>
          </w:p>
        </w:tc>
        <w:tc>
          <w:tcPr>
            <w:tcW w:type="dxa" w:w="1584"/>
            <w:shd w:fill="F8FAFC"/>
            <w:tcMar>
              <w:top w:w="50" w:type="dxa"/>
              <w:bottom w:w="50" w:type="dxa"/>
              <w:left w:w="90" w:type="dxa"/>
              <w:right w:w="90" w:type="dxa"/>
            </w:tcMar>
          </w:tcPr>
          <w:p>
            <w:pPr>
              <w:jc w:val="left"/>
            </w:pPr>
            <w:r>
              <w:rPr>
                <w:rFonts w:ascii="Times New Roman" w:hAnsi="Times New Roman"/>
                <w:sz w:val="16"/>
              </w:rPr>
              <w:t>Static rules / Round-robin</w:t>
            </w:r>
          </w:p>
        </w:tc>
        <w:tc>
          <w:tcPr>
            <w:tcW w:type="dxa" w:w="1584"/>
            <w:shd w:fill="F8FAFC"/>
            <w:tcMar>
              <w:top w:w="50" w:type="dxa"/>
              <w:bottom w:w="50" w:type="dxa"/>
              <w:left w:w="90" w:type="dxa"/>
              <w:right w:w="90" w:type="dxa"/>
            </w:tcMar>
          </w:tcPr>
          <w:p>
            <w:pPr>
              <w:jc w:val="left"/>
            </w:pPr>
            <w:r>
              <w:rPr>
                <w:rFonts w:ascii="Times New Roman" w:hAnsi="Times New Roman"/>
                <w:sz w:val="16"/>
              </w:rPr>
              <w:t>ML text classification [19]</w:t>
            </w:r>
          </w:p>
        </w:tc>
        <w:tc>
          <w:tcPr>
            <w:tcW w:type="dxa" w:w="1584"/>
            <w:shd w:fill="F8FAFC"/>
            <w:tcMar>
              <w:top w:w="50" w:type="dxa"/>
              <w:bottom w:w="50" w:type="dxa"/>
              <w:left w:w="90" w:type="dxa"/>
              <w:right w:w="90" w:type="dxa"/>
            </w:tcMar>
          </w:tcPr>
          <w:p>
            <w:pPr>
              <w:jc w:val="left"/>
            </w:pPr>
            <w:r>
              <w:rPr>
                <w:rFonts w:ascii="Times New Roman" w:hAnsi="Times New Roman"/>
                <w:sz w:val="16"/>
              </w:rPr>
              <w:t>Dense vector search [20]</w:t>
            </w:r>
          </w:p>
        </w:tc>
        <w:tc>
          <w:tcPr>
            <w:tcW w:type="dxa" w:w="1584"/>
            <w:shd w:fill="F8FAFC"/>
            <w:tcMar>
              <w:top w:w="50" w:type="dxa"/>
              <w:bottom w:w="50" w:type="dxa"/>
              <w:left w:w="90" w:type="dxa"/>
              <w:right w:w="90" w:type="dxa"/>
            </w:tcMar>
          </w:tcPr>
          <w:p>
            <w:pPr>
              <w:jc w:val="left"/>
            </w:pPr>
            <w:r>
              <w:rPr>
                <w:rFonts w:ascii="Times New Roman" w:hAnsi="Times New Roman"/>
                <w:sz w:val="16"/>
              </w:rPr>
              <w:t>Manual clerk dispatching</w:t>
            </w:r>
          </w:p>
        </w:tc>
        <w:tc>
          <w:tcPr>
            <w:tcW w:type="dxa" w:w="1872"/>
            <w:shd w:fill="F8FAFC"/>
            <w:tcMar>
              <w:top w:w="50" w:type="dxa"/>
              <w:bottom w:w="50" w:type="dxa"/>
              <w:left w:w="90" w:type="dxa"/>
              <w:right w:w="90" w:type="dxa"/>
            </w:tcMar>
          </w:tcPr>
          <w:p>
            <w:pPr>
              <w:jc w:val="left"/>
            </w:pPr>
            <w:r>
              <w:rPr>
                <w:rFonts w:ascii="Times New Roman" w:hAnsi="Times New Roman"/>
                <w:sz w:val="16"/>
              </w:rPr>
              <w:t>Lexicographical skill-workload auto-assignment</w:t>
            </w:r>
          </w:p>
        </w:tc>
      </w:tr>
      <w:tr>
        <w:tc>
          <w:tcPr>
            <w:tcW w:type="dxa" w:w="1584"/>
            <w:shd w:fill="FFFFFF"/>
            <w:tcMar>
              <w:top w:w="50" w:type="dxa"/>
              <w:bottom w:w="50" w:type="dxa"/>
              <w:left w:w="90" w:type="dxa"/>
              <w:right w:w="90" w:type="dxa"/>
            </w:tcMar>
          </w:tcPr>
          <w:p>
            <w:pPr>
              <w:jc w:val="left"/>
            </w:pPr>
            <w:r>
              <w:rPr>
                <w:rFonts w:ascii="Times New Roman" w:hAnsi="Times New Roman"/>
                <w:sz w:val="16"/>
              </w:rPr>
              <w:t>Knowledge Capture</w:t>
            </w:r>
          </w:p>
        </w:tc>
        <w:tc>
          <w:tcPr>
            <w:tcW w:type="dxa" w:w="1584"/>
            <w:shd w:fill="FFFFFF"/>
            <w:tcMar>
              <w:top w:w="50" w:type="dxa"/>
              <w:bottom w:w="50" w:type="dxa"/>
              <w:left w:w="90" w:type="dxa"/>
              <w:right w:w="90" w:type="dxa"/>
            </w:tcMar>
          </w:tcPr>
          <w:p>
            <w:pPr>
              <w:jc w:val="left"/>
            </w:pPr>
            <w:r>
              <w:rPr>
                <w:rFonts w:ascii="Times New Roman" w:hAnsi="Times New Roman"/>
                <w:sz w:val="16"/>
              </w:rPr>
              <w:t>Static vendor KB indexing</w:t>
            </w:r>
          </w:p>
        </w:tc>
        <w:tc>
          <w:tcPr>
            <w:tcW w:type="dxa" w:w="1584"/>
            <w:shd w:fill="FFFFFF"/>
            <w:tcMar>
              <w:top w:w="50" w:type="dxa"/>
              <w:bottom w:w="50" w:type="dxa"/>
              <w:left w:w="90" w:type="dxa"/>
              <w:right w:w="90" w:type="dxa"/>
            </w:tcMar>
          </w:tcPr>
          <w:p>
            <w:pPr>
              <w:jc w:val="center"/>
            </w:pPr>
            <w:r>
              <w:rPr>
                <w:rFonts w:ascii="Times New Roman" w:hAnsi="Times New Roman"/>
                <w:sz w:val="16"/>
              </w:rPr>
              <w:t>None</w:t>
            </w:r>
          </w:p>
        </w:tc>
        <w:tc>
          <w:tcPr>
            <w:tcW w:type="dxa" w:w="1584"/>
            <w:shd w:fill="FFFFFF"/>
            <w:tcMar>
              <w:top w:w="50" w:type="dxa"/>
              <w:bottom w:w="50" w:type="dxa"/>
              <w:left w:w="90" w:type="dxa"/>
              <w:right w:w="90" w:type="dxa"/>
            </w:tcMar>
          </w:tcPr>
          <w:p>
            <w:pPr>
              <w:jc w:val="left"/>
            </w:pPr>
            <w:r>
              <w:rPr>
                <w:rFonts w:ascii="Times New Roman" w:hAnsi="Times New Roman"/>
                <w:sz w:val="16"/>
              </w:rPr>
              <w:t>Static document chunking</w:t>
            </w:r>
          </w:p>
        </w:tc>
        <w:tc>
          <w:tcPr>
            <w:tcW w:type="dxa" w:w="1584"/>
            <w:shd w:fill="FFFFFF"/>
            <w:tcMar>
              <w:top w:w="50" w:type="dxa"/>
              <w:bottom w:w="50" w:type="dxa"/>
              <w:left w:w="90" w:type="dxa"/>
              <w:right w:w="90" w:type="dxa"/>
            </w:tcMar>
          </w:tcPr>
          <w:p>
            <w:pPr>
              <w:jc w:val="left"/>
            </w:pPr>
            <w:r>
              <w:rPr>
                <w:rFonts w:ascii="Times New Roman" w:hAnsi="Times New Roman"/>
                <w:sz w:val="16"/>
              </w:rPr>
              <w:t>Tacit / Unrecorded</w:t>
            </w:r>
          </w:p>
        </w:tc>
        <w:tc>
          <w:tcPr>
            <w:tcW w:type="dxa" w:w="1872"/>
            <w:shd w:fill="FFFFFF"/>
            <w:tcMar>
              <w:top w:w="50" w:type="dxa"/>
              <w:bottom w:w="50" w:type="dxa"/>
              <w:left w:w="90" w:type="dxa"/>
              <w:right w:w="90" w:type="dxa"/>
            </w:tcMar>
          </w:tcPr>
          <w:p>
            <w:pPr>
              <w:jc w:val="left"/>
            </w:pPr>
            <w:r>
              <w:rPr>
                <w:rFonts w:ascii="Times New Roman" w:hAnsi="Times New Roman"/>
                <w:sz w:val="16"/>
              </w:rPr>
              <w:t>Closed-loop dynamic SECI vector pipeline</w:t>
            </w:r>
          </w:p>
        </w:tc>
      </w:tr>
      <w:tr>
        <w:tc>
          <w:tcPr>
            <w:tcW w:type="dxa" w:w="1584"/>
            <w:shd w:fill="F8FAFC"/>
            <w:tcMar>
              <w:top w:w="50" w:type="dxa"/>
              <w:bottom w:w="50" w:type="dxa"/>
              <w:left w:w="90" w:type="dxa"/>
              <w:right w:w="90" w:type="dxa"/>
            </w:tcMar>
          </w:tcPr>
          <w:p>
            <w:pPr>
              <w:jc w:val="left"/>
            </w:pPr>
            <w:r>
              <w:rPr>
                <w:rFonts w:ascii="Times New Roman" w:hAnsi="Times New Roman"/>
                <w:sz w:val="16"/>
              </w:rPr>
              <w:t>Provenance Gating</w:t>
            </w:r>
          </w:p>
        </w:tc>
        <w:tc>
          <w:tcPr>
            <w:tcW w:type="dxa" w:w="1584"/>
            <w:shd w:fill="F8FAFC"/>
            <w:tcMar>
              <w:top w:w="50" w:type="dxa"/>
              <w:bottom w:w="50" w:type="dxa"/>
              <w:left w:w="90" w:type="dxa"/>
              <w:right w:w="90" w:type="dxa"/>
            </w:tcMar>
          </w:tcPr>
          <w:p>
            <w:pPr>
              <w:jc w:val="left"/>
            </w:pPr>
            <w:r>
              <w:rPr>
                <w:rFonts w:ascii="Times New Roman" w:hAnsi="Times New Roman"/>
                <w:sz w:val="16"/>
              </w:rPr>
              <w:t>Open enterprise domain search</w:t>
            </w:r>
          </w:p>
        </w:tc>
        <w:tc>
          <w:tcPr>
            <w:tcW w:type="dxa" w:w="1584"/>
            <w:shd w:fill="F8FAFC"/>
            <w:tcMar>
              <w:top w:w="50" w:type="dxa"/>
              <w:bottom w:w="50" w:type="dxa"/>
              <w:left w:w="90" w:type="dxa"/>
              <w:right w:w="90" w:type="dxa"/>
            </w:tcMar>
          </w:tcPr>
          <w:p>
            <w:pPr>
              <w:jc w:val="center"/>
            </w:pPr>
            <w:r>
              <w:rPr>
                <w:rFonts w:ascii="Times New Roman" w:hAnsi="Times New Roman"/>
                <w:sz w:val="16"/>
              </w:rPr>
              <w:t>None</w:t>
            </w:r>
          </w:p>
        </w:tc>
        <w:tc>
          <w:tcPr>
            <w:tcW w:type="dxa" w:w="1584"/>
            <w:shd w:fill="F8FAFC"/>
            <w:tcMar>
              <w:top w:w="50" w:type="dxa"/>
              <w:bottom w:w="50" w:type="dxa"/>
              <w:left w:w="90" w:type="dxa"/>
              <w:right w:w="90" w:type="dxa"/>
            </w:tcMar>
          </w:tcPr>
          <w:p>
            <w:pPr>
              <w:jc w:val="left"/>
            </w:pPr>
            <w:r>
              <w:rPr>
                <w:rFonts w:ascii="Times New Roman" w:hAnsi="Times New Roman"/>
                <w:sz w:val="16"/>
              </w:rPr>
              <w:t>Open / Unconstrained web</w:t>
            </w:r>
          </w:p>
        </w:tc>
        <w:tc>
          <w:tcPr>
            <w:tcW w:type="dxa" w:w="1584"/>
            <w:shd w:fill="F8FAFC"/>
            <w:tcMar>
              <w:top w:w="50" w:type="dxa"/>
              <w:bottom w:w="50" w:type="dxa"/>
              <w:left w:w="90" w:type="dxa"/>
              <w:right w:w="90" w:type="dxa"/>
            </w:tcMar>
          </w:tcPr>
          <w:p>
            <w:pPr>
              <w:jc w:val="center"/>
            </w:pPr>
            <w:r>
              <w:rPr>
                <w:rFonts w:ascii="Times New Roman" w:hAnsi="Times New Roman"/>
                <w:sz w:val="16"/>
              </w:rPr>
              <w:t>None</w:t>
            </w:r>
          </w:p>
        </w:tc>
        <w:tc>
          <w:tcPr>
            <w:tcW w:type="dxa" w:w="1872"/>
            <w:shd w:fill="F8FAFC"/>
            <w:tcMar>
              <w:top w:w="50" w:type="dxa"/>
              <w:bottom w:w="50" w:type="dxa"/>
              <w:left w:w="90" w:type="dxa"/>
              <w:right w:w="90" w:type="dxa"/>
            </w:tcMar>
          </w:tcPr>
          <w:p>
            <w:pPr>
              <w:jc w:val="left"/>
            </w:pPr>
            <w:r>
              <w:rPr>
                <w:rFonts w:ascii="Times New Roman" w:hAnsi="Times New Roman"/>
                <w:sz w:val="16"/>
              </w:rPr>
              <w:t>Semantic boundary query gating</w:t>
            </w:r>
          </w:p>
        </w:tc>
      </w:tr>
      <w:tr>
        <w:tc>
          <w:tcPr>
            <w:tcW w:type="dxa" w:w="1584"/>
            <w:shd w:fill="FFFFFF"/>
            <w:tcMar>
              <w:top w:w="50" w:type="dxa"/>
              <w:bottom w:w="50" w:type="dxa"/>
              <w:left w:w="90" w:type="dxa"/>
              <w:right w:w="90" w:type="dxa"/>
            </w:tcMar>
          </w:tcPr>
          <w:p>
            <w:pPr>
              <w:jc w:val="left"/>
            </w:pPr>
            <w:r>
              <w:rPr>
                <w:rFonts w:ascii="Times New Roman" w:hAnsi="Times New Roman"/>
                <w:sz w:val="16"/>
              </w:rPr>
              <w:t>Fault Tolerance</w:t>
            </w:r>
          </w:p>
        </w:tc>
        <w:tc>
          <w:tcPr>
            <w:tcW w:type="dxa" w:w="1584"/>
            <w:shd w:fill="FFFFFF"/>
            <w:tcMar>
              <w:top w:w="50" w:type="dxa"/>
              <w:bottom w:w="50" w:type="dxa"/>
              <w:left w:w="90" w:type="dxa"/>
              <w:right w:w="90" w:type="dxa"/>
            </w:tcMar>
          </w:tcPr>
          <w:p>
            <w:pPr>
              <w:jc w:val="left"/>
            </w:pPr>
            <w:r>
              <w:rPr>
                <w:rFonts w:ascii="Times New Roman" w:hAnsi="Times New Roman"/>
                <w:sz w:val="16"/>
              </w:rPr>
              <w:t>Provider multi-zone SLA</w:t>
            </w:r>
          </w:p>
        </w:tc>
        <w:tc>
          <w:tcPr>
            <w:tcW w:type="dxa" w:w="1584"/>
            <w:shd w:fill="FFFFFF"/>
            <w:tcMar>
              <w:top w:w="50" w:type="dxa"/>
              <w:bottom w:w="50" w:type="dxa"/>
              <w:left w:w="90" w:type="dxa"/>
              <w:right w:w="90" w:type="dxa"/>
            </w:tcMar>
          </w:tcPr>
          <w:p>
            <w:pPr>
              <w:jc w:val="center"/>
            </w:pPr>
            <w:r>
              <w:rPr>
                <w:rFonts w:ascii="Times New Roman" w:hAnsi="Times New Roman"/>
                <w:sz w:val="16"/>
              </w:rPr>
              <w:t>Single endpoint</w:t>
            </w:r>
          </w:p>
        </w:tc>
        <w:tc>
          <w:tcPr>
            <w:tcW w:type="dxa" w:w="1584"/>
            <w:shd w:fill="FFFFFF"/>
            <w:tcMar>
              <w:top w:w="50" w:type="dxa"/>
              <w:bottom w:w="50" w:type="dxa"/>
              <w:left w:w="90" w:type="dxa"/>
              <w:right w:w="90" w:type="dxa"/>
            </w:tcMar>
          </w:tcPr>
          <w:p>
            <w:pPr>
              <w:jc w:val="left"/>
            </w:pPr>
            <w:r>
              <w:rPr>
                <w:rFonts w:ascii="Times New Roman" w:hAnsi="Times New Roman"/>
                <w:sz w:val="16"/>
              </w:rPr>
              <w:t>Single LLM endpoint</w:t>
            </w:r>
          </w:p>
        </w:tc>
        <w:tc>
          <w:tcPr>
            <w:tcW w:type="dxa" w:w="1584"/>
            <w:shd w:fill="FFFFFF"/>
            <w:tcMar>
              <w:top w:w="50" w:type="dxa"/>
              <w:bottom w:w="50" w:type="dxa"/>
              <w:left w:w="90" w:type="dxa"/>
              <w:right w:w="90" w:type="dxa"/>
            </w:tcMar>
          </w:tcPr>
          <w:p>
            <w:pPr>
              <w:jc w:val="left"/>
            </w:pPr>
            <w:r>
              <w:rPr>
                <w:rFonts w:ascii="Times New Roman" w:hAnsi="Times New Roman"/>
                <w:sz w:val="16"/>
              </w:rPr>
              <w:t>None (Physical office)</w:t>
            </w:r>
          </w:p>
        </w:tc>
        <w:tc>
          <w:tcPr>
            <w:tcW w:type="dxa" w:w="1872"/>
            <w:shd w:fill="FFFFFF"/>
            <w:tcMar>
              <w:top w:w="50" w:type="dxa"/>
              <w:bottom w:w="50" w:type="dxa"/>
              <w:left w:w="90" w:type="dxa"/>
              <w:right w:w="90" w:type="dxa"/>
            </w:tcMar>
          </w:tcPr>
          <w:p>
            <w:pPr>
              <w:jc w:val="left"/>
            </w:pPr>
            <w:r>
              <w:rPr>
                <w:rFonts w:ascii="Times New Roman" w:hAnsi="Times New Roman"/>
                <w:sz w:val="16"/>
              </w:rPr>
              <w:t>4-tier graceful fallback cascade</w:t>
            </w:r>
          </w:p>
        </w:tc>
      </w:tr>
      <w:tr>
        <w:tc>
          <w:tcPr>
            <w:tcW w:type="dxa" w:w="1584"/>
            <w:shd w:fill="F8FAFC"/>
            <w:tcMar>
              <w:top w:w="50" w:type="dxa"/>
              <w:bottom w:w="50" w:type="dxa"/>
              <w:left w:w="90" w:type="dxa"/>
              <w:right w:w="90" w:type="dxa"/>
            </w:tcMar>
          </w:tcPr>
          <w:p>
            <w:pPr>
              <w:jc w:val="left"/>
            </w:pPr>
            <w:r>
              <w:rPr>
                <w:rFonts w:ascii="Times New Roman" w:hAnsi="Times New Roman"/>
                <w:sz w:val="16"/>
              </w:rPr>
              <w:t>Statutory Compliance</w:t>
            </w:r>
          </w:p>
        </w:tc>
        <w:tc>
          <w:tcPr>
            <w:tcW w:type="dxa" w:w="1584"/>
            <w:shd w:fill="F8FAFC"/>
            <w:tcMar>
              <w:top w:w="50" w:type="dxa"/>
              <w:bottom w:w="50" w:type="dxa"/>
              <w:left w:w="90" w:type="dxa"/>
              <w:right w:w="90" w:type="dxa"/>
            </w:tcMar>
          </w:tcPr>
          <w:p>
            <w:pPr>
              <w:jc w:val="left"/>
            </w:pPr>
            <w:r>
              <w:rPr>
                <w:rFonts w:ascii="Times New Roman" w:hAnsi="Times New Roman"/>
                <w:sz w:val="16"/>
              </w:rPr>
              <w:t>Generic SLA monitoring</w:t>
            </w:r>
          </w:p>
        </w:tc>
        <w:tc>
          <w:tcPr>
            <w:tcW w:type="dxa" w:w="1584"/>
            <w:shd w:fill="F8FAFC"/>
            <w:tcMar>
              <w:top w:w="50" w:type="dxa"/>
              <w:bottom w:w="50" w:type="dxa"/>
              <w:left w:w="90" w:type="dxa"/>
              <w:right w:w="90" w:type="dxa"/>
            </w:tcMar>
          </w:tcPr>
          <w:p>
            <w:pPr>
              <w:jc w:val="center"/>
            </w:pPr>
            <w:r>
              <w:rPr>
                <w:rFonts w:ascii="Times New Roman" w:hAnsi="Times New Roman"/>
                <w:sz w:val="16"/>
              </w:rPr>
              <w:t>None</w:t>
            </w:r>
          </w:p>
        </w:tc>
        <w:tc>
          <w:tcPr>
            <w:tcW w:type="dxa" w:w="1584"/>
            <w:shd w:fill="F8FAFC"/>
            <w:tcMar>
              <w:top w:w="50" w:type="dxa"/>
              <w:bottom w:w="50" w:type="dxa"/>
              <w:left w:w="90" w:type="dxa"/>
              <w:right w:w="90" w:type="dxa"/>
            </w:tcMar>
          </w:tcPr>
          <w:p>
            <w:pPr>
              <w:jc w:val="center"/>
            </w:pPr>
            <w:r>
              <w:rPr>
                <w:rFonts w:ascii="Times New Roman" w:hAnsi="Times New Roman"/>
                <w:sz w:val="16"/>
              </w:rPr>
              <w:t>None</w:t>
            </w:r>
          </w:p>
        </w:tc>
        <w:tc>
          <w:tcPr>
            <w:tcW w:type="dxa" w:w="1584"/>
            <w:shd w:fill="F8FAFC"/>
            <w:tcMar>
              <w:top w:w="50" w:type="dxa"/>
              <w:bottom w:w="50" w:type="dxa"/>
              <w:left w:w="90" w:type="dxa"/>
              <w:right w:w="90" w:type="dxa"/>
            </w:tcMar>
          </w:tcPr>
          <w:p>
            <w:pPr>
              <w:jc w:val="left"/>
            </w:pPr>
            <w:r>
              <w:rPr>
                <w:rFonts w:ascii="Times New Roman" w:hAnsi="Times New Roman"/>
                <w:sz w:val="16"/>
              </w:rPr>
              <w:t>Paper ARTA slip (23.75% capture)</w:t>
            </w:r>
          </w:p>
        </w:tc>
        <w:tc>
          <w:tcPr>
            <w:tcW w:type="dxa" w:w="1872"/>
            <w:shd w:fill="F8FAFC"/>
            <w:tcMar>
              <w:top w:w="50" w:type="dxa"/>
              <w:bottom w:w="50" w:type="dxa"/>
              <w:left w:w="90" w:type="dxa"/>
              <w:right w:w="90" w:type="dxa"/>
            </w:tcMar>
          </w:tcPr>
          <w:p>
            <w:pPr>
              <w:jc w:val="left"/>
            </w:pPr>
            <w:r>
              <w:rPr>
                <w:rFonts w:ascii="Times New Roman" w:hAnsi="Times New Roman"/>
                <w:sz w:val="16"/>
              </w:rPr>
              <w:t>Gated digital ARTA CSM (95.28% capture)</w:t>
            </w:r>
          </w:p>
        </w:tc>
      </w:tr>
      <w:tr>
        <w:tc>
          <w:tcPr>
            <w:tcW w:type="dxa" w:w="1584"/>
            <w:shd w:fill="F1F5F9"/>
            <w:tcMar>
              <w:top w:w="50" w:type="dxa"/>
              <w:bottom w:w="50" w:type="dxa"/>
              <w:left w:w="90" w:type="dxa"/>
              <w:right w:w="90" w:type="dxa"/>
            </w:tcMar>
          </w:tcPr>
          <w:p>
            <w:pPr>
              <w:jc w:val="left"/>
            </w:pPr>
            <w:r>
              <w:rPr>
                <w:rFonts w:ascii="Times New Roman" w:hAnsi="Times New Roman"/>
                <w:b/>
                <w:sz w:val="16"/>
              </w:rPr>
              <w:t>Licensing / Cost</w:t>
            </w:r>
          </w:p>
        </w:tc>
        <w:tc>
          <w:tcPr>
            <w:tcW w:type="dxa" w:w="1584"/>
            <w:shd w:fill="F1F5F9"/>
            <w:tcMar>
              <w:top w:w="50" w:type="dxa"/>
              <w:bottom w:w="50" w:type="dxa"/>
              <w:left w:w="90" w:type="dxa"/>
              <w:right w:w="90" w:type="dxa"/>
            </w:tcMar>
          </w:tcPr>
          <w:p>
            <w:pPr>
              <w:jc w:val="left"/>
            </w:pPr>
            <w:r>
              <w:rPr>
                <w:rFonts w:ascii="Times New Roman" w:hAnsi="Times New Roman"/>
                <w:b/>
                <w:sz w:val="16"/>
              </w:rPr>
              <w:t>High annual per-agent license [6], [7]</w:t>
            </w:r>
          </w:p>
        </w:tc>
        <w:tc>
          <w:tcPr>
            <w:tcW w:type="dxa" w:w="1584"/>
            <w:shd w:fill="F1F5F9"/>
            <w:tcMar>
              <w:top w:w="50" w:type="dxa"/>
              <w:bottom w:w="50" w:type="dxa"/>
              <w:left w:w="90" w:type="dxa"/>
              <w:right w:w="90" w:type="dxa"/>
            </w:tcMar>
          </w:tcPr>
          <w:p>
            <w:pPr>
              <w:jc w:val="left"/>
            </w:pPr>
            <w:r>
              <w:rPr>
                <w:rFonts w:ascii="Times New Roman" w:hAnsi="Times New Roman"/>
                <w:b/>
                <w:sz w:val="16"/>
              </w:rPr>
              <w:t>Open research script</w:t>
            </w:r>
          </w:p>
        </w:tc>
        <w:tc>
          <w:tcPr>
            <w:tcW w:type="dxa" w:w="1584"/>
            <w:shd w:fill="F1F5F9"/>
            <w:tcMar>
              <w:top w:w="50" w:type="dxa"/>
              <w:bottom w:w="50" w:type="dxa"/>
              <w:left w:w="90" w:type="dxa"/>
              <w:right w:w="90" w:type="dxa"/>
            </w:tcMar>
          </w:tcPr>
          <w:p>
            <w:pPr>
              <w:jc w:val="left"/>
            </w:pPr>
            <w:r>
              <w:rPr>
                <w:rFonts w:ascii="Times New Roman" w:hAnsi="Times New Roman"/>
                <w:b/>
                <w:sz w:val="16"/>
              </w:rPr>
              <w:t>Open research script</w:t>
            </w:r>
          </w:p>
        </w:tc>
        <w:tc>
          <w:tcPr>
            <w:tcW w:type="dxa" w:w="1584"/>
            <w:shd w:fill="F1F5F9"/>
            <w:tcMar>
              <w:top w:w="50" w:type="dxa"/>
              <w:bottom w:w="50" w:type="dxa"/>
              <w:left w:w="90" w:type="dxa"/>
              <w:right w:w="90" w:type="dxa"/>
            </w:tcMar>
          </w:tcPr>
          <w:p>
            <w:pPr>
              <w:jc w:val="left"/>
            </w:pPr>
            <w:r>
              <w:rPr>
                <w:rFonts w:ascii="Times New Roman" w:hAnsi="Times New Roman"/>
                <w:b/>
                <w:sz w:val="16"/>
              </w:rPr>
              <w:t>Low direct cost; high labor overhead</w:t>
            </w:r>
          </w:p>
        </w:tc>
        <w:tc>
          <w:tcPr>
            <w:tcW w:type="dxa" w:w="1872"/>
            <w:shd w:fill="F1F5F9"/>
            <w:tcMar>
              <w:top w:w="50" w:type="dxa"/>
              <w:bottom w:w="50" w:type="dxa"/>
              <w:left w:w="90" w:type="dxa"/>
              <w:right w:w="90" w:type="dxa"/>
            </w:tcMar>
          </w:tcPr>
          <w:p>
            <w:pPr>
              <w:jc w:val="left"/>
            </w:pPr>
            <w:r>
              <w:rPr>
                <w:rFonts w:ascii="Times New Roman" w:hAnsi="Times New Roman"/>
                <w:b/>
                <w:sz w:val="16"/>
              </w:rPr>
              <w:t>Fully open-source institutional deployment</w:t>
            </w:r>
          </w:p>
        </w:tc>
      </w:tr>
    </w:tbl>
    <w:p>
      <w:pPr>
        <w:spacing w:before="0" w:after="120"/>
      </w:pPr>
    </w:p>
    <w:p>
      <w:pPr>
        <w:keepNext/>
        <w:spacing w:before="160" w:after="40"/>
      </w:pPr>
      <w:r>
        <w:rPr>
          <w:b/>
          <w:i/>
          <w:color w:val="1E293B"/>
          <w:sz w:val="20"/>
        </w:rPr>
        <w:t>B. RAG and Conversational AI in IT Support</w:t>
      </w:r>
    </w:p>
    <w:p>
      <w:pPr>
        <w:spacing w:before="0" w:after="100" w:line="269" w:lineRule="auto"/>
        <w:jc w:val="both"/>
      </w:pPr>
      <w:r>
        <w:rPr>
          <w:sz w:val="19"/>
        </w:rPr>
        <w:t>Trouble ticket classification models have historically routed text descriptions to technician queues [19]. However, standalone LLMs exhibit severe parametric hallucinations when answering localized technical queries [9]. Retrieval-Augmented Generation (RAG) overcomes this limitation by grounding generation in dynamically retrieved institutional documentation [4], [20]. Hybrid lexical-semantic retrieval substantially improves document relevance [8], [21], formalized in the FACTS framework [22], while recent surveys emphasize assessing answer faithfulness alongside traditional information retrieval metrics [10]. Despite these advances, published university prototypes remain reliant on single cloud APIs, leaving institutions vulnerable to service blackouts during upstream provider outages or campus internet disruption [20].</w:t>
      </w:r>
    </w:p>
    <w:p>
      <w:pPr>
        <w:keepNext/>
        <w:spacing w:before="160" w:after="40"/>
      </w:pPr>
      <w:r>
        <w:rPr>
          <w:b/>
          <w:i/>
          <w:color w:val="1E293B"/>
          <w:sz w:val="20"/>
        </w:rPr>
        <w:t>C. Knowledge Dynamics, SLA Enforcement, and Quality Models</w:t>
      </w:r>
    </w:p>
    <w:p>
      <w:pPr>
        <w:spacing w:before="0" w:after="100" w:line="269" w:lineRule="auto"/>
        <w:jc w:val="both"/>
      </w:pPr>
      <w:r>
        <w:rPr>
          <w:sz w:val="19"/>
        </w:rPr>
        <w:t>Knowledge management literature emphasizes converting tacit troubleshooting knowledge into explicit institutional memory [13]. In public IT support desks, solution extraction from closed incidents historically required labor-intensive manual curation [23], [24]. Prior studies indicate that predictive triage and automated escalation are critical for maintaining SLA compliance in high-volume settings [25]. To evaluate software engineering artifacts in public administration, scholars emphasize rigorous multi-method frameworks combining design science evaluation (FEDS) [26], McCall's hierarchical software quality factor model [14], and psychometrically validated usability instruments such as PSSUQ [15], [16], [27].</w:t>
      </w:r>
    </w:p>
    <w:p>
      <w:pPr>
        <w:keepNext/>
        <w:spacing w:before="240" w:after="60"/>
      </w:pPr>
      <w:r>
        <w:rPr>
          <w:b/>
          <w:color w:val="0F172A"/>
          <w:sz w:val="22"/>
        </w:rPr>
        <w:t>III. METHODOLOGY AND SYSTEM ARCHITECTURE</w:t>
      </w:r>
    </w:p>
    <w:p>
      <w:pPr>
        <w:keepNext/>
        <w:spacing w:before="160" w:after="40"/>
      </w:pPr>
      <w:r>
        <w:rPr>
          <w:b/>
          <w:i/>
          <w:color w:val="1E293B"/>
          <w:sz w:val="20"/>
        </w:rPr>
        <w:t>A. Design Science Research Framework</w:t>
      </w:r>
    </w:p>
    <w:p>
      <w:pPr>
        <w:spacing w:before="0" w:after="100" w:line="269" w:lineRule="auto"/>
        <w:jc w:val="both"/>
      </w:pPr>
      <w:r>
        <w:rPr>
          <w:sz w:val="19"/>
        </w:rPr>
        <w:t>This investigation executes a Design Science Research (DSR) methodology structured upon the six-stage iterative model of Peffers et al. [12] and the Framework for Evaluation in Design Science (FEDS) [26], mapping each organizational objective to an engineered mechanism and empirical evaluation (Table II).</w:t>
      </w:r>
    </w:p>
    <w:p>
      <w:pPr>
        <w:keepNext/>
        <w:spacing w:before="160" w:after="80"/>
        <w:jc w:val="center"/>
      </w:pPr>
      <w:r>
        <w:rPr>
          <w:rFonts w:ascii="Times New Roman" w:hAnsi="Times New Roman"/>
          <w:b/>
          <w:sz w:val="17"/>
        </w:rPr>
        <w:t>TABLE II</w:t>
        <w:br/>
        <w:t>MAPPING OF DSR DESIGN OBJECTIVES TO SYSTEM MECHANISMS AND EVALUATIONS</w:t>
      </w:r>
    </w:p>
    <w:tbl>
      <w:tblPr>
        <w:tblW w:type="auto" w:w="0"/>
        <w:jc w:val="center"/>
        <w:tblLook w:firstColumn="1" w:firstRow="1" w:lastColumn="0" w:lastRow="0" w:noHBand="0" w:noVBand="1" w:val="04A0"/>
      </w:tblPr>
      <w:tblGrid>
        <w:gridCol w:w="3360"/>
        <w:gridCol w:w="3360"/>
        <w:gridCol w:w="3360"/>
      </w:tblGrid>
      <w:tr>
        <w:tc>
          <w:tcPr>
            <w:tcW w:type="dxa" w:w="2016"/>
            <w:shd w:fill="E2E8F0"/>
            <w:tcMar>
              <w:top w:w="80" w:type="dxa"/>
              <w:bottom w:w="80" w:type="dxa"/>
              <w:left w:w="100" w:type="dxa"/>
              <w:right w:w="100" w:type="dxa"/>
            </w:tcMar>
          </w:tcPr>
          <w:p>
            <w:pPr>
              <w:jc w:val="center"/>
            </w:pPr>
            <w:r>
              <w:rPr>
                <w:rFonts w:ascii="Times New Roman" w:hAnsi="Times New Roman"/>
                <w:b/>
                <w:color w:val="0F172A"/>
                <w:sz w:val="16"/>
              </w:rPr>
              <w:t>DSR Objective</w:t>
            </w:r>
          </w:p>
        </w:tc>
        <w:tc>
          <w:tcPr>
            <w:tcW w:type="dxa" w:w="3168"/>
            <w:shd w:fill="E2E8F0"/>
            <w:tcMar>
              <w:top w:w="80" w:type="dxa"/>
              <w:bottom w:w="80" w:type="dxa"/>
              <w:left w:w="100" w:type="dxa"/>
              <w:right w:w="100" w:type="dxa"/>
            </w:tcMar>
          </w:tcPr>
          <w:p>
            <w:pPr>
              <w:jc w:val="center"/>
            </w:pPr>
            <w:r>
              <w:rPr>
                <w:rFonts w:ascii="Times New Roman" w:hAnsi="Times New Roman"/>
                <w:b/>
                <w:color w:val="0F172A"/>
                <w:sz w:val="16"/>
              </w:rPr>
              <w:t>Engineered Mechanism</w:t>
            </w:r>
          </w:p>
        </w:tc>
        <w:tc>
          <w:tcPr>
            <w:tcW w:type="dxa" w:w="4608"/>
            <w:shd w:fill="E2E8F0"/>
            <w:tcMar>
              <w:top w:w="80" w:type="dxa"/>
              <w:bottom w:w="80" w:type="dxa"/>
              <w:left w:w="100" w:type="dxa"/>
              <w:right w:w="100" w:type="dxa"/>
            </w:tcMar>
          </w:tcPr>
          <w:p>
            <w:pPr>
              <w:jc w:val="center"/>
            </w:pPr>
            <w:r>
              <w:rPr>
                <w:rFonts w:ascii="Times New Roman" w:hAnsi="Times New Roman"/>
                <w:b/>
                <w:color w:val="0F172A"/>
                <w:sz w:val="16"/>
              </w:rPr>
              <w:t>Empirical Evaluation Protocol</w:t>
            </w:r>
          </w:p>
        </w:tc>
      </w:tr>
      <w:tr>
        <w:tc>
          <w:tcPr>
            <w:tcW w:type="dxa" w:w="2016"/>
            <w:shd w:fill="FFFFFF"/>
            <w:tcMar>
              <w:top w:w="50" w:type="dxa"/>
              <w:bottom w:w="50" w:type="dxa"/>
              <w:left w:w="90" w:type="dxa"/>
              <w:right w:w="90" w:type="dxa"/>
            </w:tcMar>
          </w:tcPr>
          <w:p>
            <w:pPr>
              <w:jc w:val="left"/>
            </w:pPr>
            <w:r>
              <w:rPr>
                <w:rFonts w:ascii="Times New Roman" w:hAnsi="Times New Roman"/>
                <w:sz w:val="16"/>
              </w:rPr>
              <w:t>O1: Multi-Signatory FSM</w:t>
            </w:r>
          </w:p>
        </w:tc>
        <w:tc>
          <w:tcPr>
            <w:tcW w:type="dxa" w:w="3168"/>
            <w:shd w:fill="FFFFFF"/>
            <w:tcMar>
              <w:top w:w="50" w:type="dxa"/>
              <w:bottom w:w="50" w:type="dxa"/>
              <w:left w:w="90" w:type="dxa"/>
              <w:right w:w="90" w:type="dxa"/>
            </w:tcMar>
          </w:tcPr>
          <w:p>
            <w:pPr>
              <w:jc w:val="left"/>
            </w:pPr>
            <w:r>
              <w:rPr>
                <w:rFonts w:ascii="Times New Roman" w:hAnsi="Times New Roman"/>
                <w:sz w:val="16"/>
              </w:rPr>
              <w:t>6-Stage, 10-State Machine Reconciling Administrative Sign-offs</w:t>
            </w:r>
          </w:p>
        </w:tc>
        <w:tc>
          <w:tcPr>
            <w:tcW w:type="dxa" w:w="4608"/>
            <w:shd w:fill="FFFFFF"/>
            <w:tcMar>
              <w:top w:w="50" w:type="dxa"/>
              <w:bottom w:w="50" w:type="dxa"/>
              <w:left w:w="90" w:type="dxa"/>
              <w:right w:w="90" w:type="dxa"/>
            </w:tcMar>
          </w:tcPr>
          <w:p>
            <w:pPr>
              <w:jc w:val="left"/>
            </w:pPr>
            <w:r>
              <w:rPr>
                <w:rFonts w:ascii="Times New Roman" w:hAnsi="Times New Roman"/>
                <w:sz w:val="16"/>
              </w:rPr>
              <w:t>64-Scenario User Acceptance Testing Suite (100% Pass Rate across 8 Personas)</w:t>
            </w:r>
          </w:p>
        </w:tc>
      </w:tr>
      <w:tr>
        <w:tc>
          <w:tcPr>
            <w:tcW w:type="dxa" w:w="2016"/>
            <w:shd w:fill="F8FAFC"/>
            <w:tcMar>
              <w:top w:w="50" w:type="dxa"/>
              <w:bottom w:w="50" w:type="dxa"/>
              <w:left w:w="90" w:type="dxa"/>
              <w:right w:w="90" w:type="dxa"/>
            </w:tcMar>
          </w:tcPr>
          <w:p>
            <w:pPr>
              <w:jc w:val="left"/>
            </w:pPr>
            <w:r>
              <w:rPr>
                <w:rFonts w:ascii="Times New Roman" w:hAnsi="Times New Roman"/>
                <w:sz w:val="16"/>
              </w:rPr>
              <w:t>O2: Intelligent Auto-Triage</w:t>
            </w:r>
          </w:p>
        </w:tc>
        <w:tc>
          <w:tcPr>
            <w:tcW w:type="dxa" w:w="3168"/>
            <w:shd w:fill="F8FAFC"/>
            <w:tcMar>
              <w:top w:w="50" w:type="dxa"/>
              <w:bottom w:w="50" w:type="dxa"/>
              <w:left w:w="90" w:type="dxa"/>
              <w:right w:w="90" w:type="dxa"/>
            </w:tcMar>
          </w:tcPr>
          <w:p>
            <w:pPr>
              <w:jc w:val="left"/>
            </w:pPr>
            <w:r>
              <w:rPr>
                <w:rFonts w:ascii="Times New Roman" w:hAnsi="Times New Roman"/>
                <w:sz w:val="16"/>
              </w:rPr>
              <w:t>Lexicographical Skill-Workload Queue Balancing Engine</w:t>
            </w:r>
          </w:p>
        </w:tc>
        <w:tc>
          <w:tcPr>
            <w:tcW w:type="dxa" w:w="4608"/>
            <w:shd w:fill="F8FAFC"/>
            <w:tcMar>
              <w:top w:w="50" w:type="dxa"/>
              <w:bottom w:w="50" w:type="dxa"/>
              <w:left w:w="90" w:type="dxa"/>
              <w:right w:w="90" w:type="dxa"/>
            </w:tcMar>
          </w:tcPr>
          <w:p>
            <w:pPr>
              <w:jc w:val="left"/>
            </w:pPr>
            <w:r>
              <w:rPr>
                <w:rFonts w:ascii="Times New Roman" w:hAnsi="Times New Roman"/>
                <w:b/>
                <w:sz w:val="16"/>
              </w:rPr>
              <w:t>Longitudinal Queue Balancing and MTTR Reduction (-49.71%, d = 0.95)</w:t>
            </w:r>
          </w:p>
        </w:tc>
      </w:tr>
      <w:tr>
        <w:tc>
          <w:tcPr>
            <w:tcW w:type="dxa" w:w="2016"/>
            <w:shd w:fill="FFFFFF"/>
            <w:tcMar>
              <w:top w:w="50" w:type="dxa"/>
              <w:bottom w:w="50" w:type="dxa"/>
              <w:left w:w="90" w:type="dxa"/>
              <w:right w:w="90" w:type="dxa"/>
            </w:tcMar>
          </w:tcPr>
          <w:p>
            <w:pPr>
              <w:jc w:val="left"/>
            </w:pPr>
            <w:r>
              <w:rPr>
                <w:rFonts w:ascii="Times New Roman" w:hAnsi="Times New Roman"/>
                <w:sz w:val="16"/>
              </w:rPr>
              <w:t>O3: Provenance-Gated RAG</w:t>
            </w:r>
          </w:p>
        </w:tc>
        <w:tc>
          <w:tcPr>
            <w:tcW w:type="dxa" w:w="3168"/>
            <w:shd w:fill="FFFFFF"/>
            <w:tcMar>
              <w:top w:w="50" w:type="dxa"/>
              <w:bottom w:w="50" w:type="dxa"/>
              <w:left w:w="90" w:type="dxa"/>
              <w:right w:w="90" w:type="dxa"/>
            </w:tcMar>
          </w:tcPr>
          <w:p>
            <w:pPr>
              <w:jc w:val="left"/>
            </w:pPr>
            <w:r>
              <w:rPr>
                <w:rFonts w:ascii="Times New Roman" w:hAnsi="Times New Roman"/>
                <w:sz w:val="16"/>
              </w:rPr>
              <w:t>Epistemic Semantic Boundary Query Gating Router</w:t>
            </w:r>
          </w:p>
        </w:tc>
        <w:tc>
          <w:tcPr>
            <w:tcW w:type="dxa" w:w="4608"/>
            <w:shd w:fill="FFFFFF"/>
            <w:tcMar>
              <w:top w:w="50" w:type="dxa"/>
              <w:bottom w:w="50" w:type="dxa"/>
              <w:left w:w="90" w:type="dxa"/>
              <w:right w:w="90" w:type="dxa"/>
            </w:tcMar>
          </w:tcPr>
          <w:p>
            <w:pPr>
              <w:jc w:val="left"/>
            </w:pPr>
            <w:r>
              <w:rPr>
                <w:rFonts w:ascii="Times New Roman" w:hAnsi="Times New Roman"/>
                <w:sz w:val="16"/>
              </w:rPr>
              <w:t>100-Query 7-Arm Ablation Benchmark (95.0% Faithfulness, 2.0% Hallucination)</w:t>
            </w:r>
          </w:p>
        </w:tc>
      </w:tr>
      <w:tr>
        <w:tc>
          <w:tcPr>
            <w:tcW w:type="dxa" w:w="2016"/>
            <w:shd w:fill="F8FAFC"/>
            <w:tcMar>
              <w:top w:w="50" w:type="dxa"/>
              <w:bottom w:w="50" w:type="dxa"/>
              <w:left w:w="90" w:type="dxa"/>
              <w:right w:w="90" w:type="dxa"/>
            </w:tcMar>
          </w:tcPr>
          <w:p>
            <w:pPr>
              <w:jc w:val="left"/>
            </w:pPr>
            <w:r>
              <w:rPr>
                <w:rFonts w:ascii="Times New Roman" w:hAnsi="Times New Roman"/>
                <w:sz w:val="16"/>
              </w:rPr>
              <w:t>O4: Continuous SECI Memory</w:t>
            </w:r>
          </w:p>
        </w:tc>
        <w:tc>
          <w:tcPr>
            <w:tcW w:type="dxa" w:w="3168"/>
            <w:shd w:fill="F8FAFC"/>
            <w:tcMar>
              <w:top w:w="50" w:type="dxa"/>
              <w:bottom w:w="50" w:type="dxa"/>
              <w:left w:w="90" w:type="dxa"/>
              <w:right w:w="90" w:type="dxa"/>
            </w:tcMar>
          </w:tcPr>
          <w:p>
            <w:pPr>
              <w:jc w:val="left"/>
            </w:pPr>
            <w:r>
              <w:rPr>
                <w:rFonts w:ascii="Times New Roman" w:hAnsi="Times New Roman"/>
                <w:sz w:val="16"/>
              </w:rPr>
              <w:t>Post-Resolution Diagnostic Vector Indexing Pipeline</w:t>
            </w:r>
          </w:p>
        </w:tc>
        <w:tc>
          <w:tcPr>
            <w:tcW w:type="dxa" w:w="4608"/>
            <w:shd w:fill="F8FAFC"/>
            <w:tcMar>
              <w:top w:w="50" w:type="dxa"/>
              <w:bottom w:w="50" w:type="dxa"/>
              <w:left w:w="90" w:type="dxa"/>
              <w:right w:w="90" w:type="dxa"/>
            </w:tcMar>
          </w:tcPr>
          <w:p>
            <w:pPr>
              <w:jc w:val="left"/>
            </w:pPr>
            <w:r>
              <w:rPr>
                <w:rFonts w:ascii="Times New Roman" w:hAnsi="Times New Roman"/>
                <w:sz w:val="16"/>
              </w:rPr>
              <w:t>Department Head Usability Audit (88.21% Usability Approval, N = 280)</w:t>
            </w:r>
          </w:p>
        </w:tc>
      </w:tr>
      <w:tr>
        <w:tc>
          <w:tcPr>
            <w:tcW w:type="dxa" w:w="2016"/>
            <w:shd w:fill="FFFFFF"/>
            <w:tcMar>
              <w:top w:w="50" w:type="dxa"/>
              <w:bottom w:w="50" w:type="dxa"/>
              <w:left w:w="90" w:type="dxa"/>
              <w:right w:w="90" w:type="dxa"/>
            </w:tcMar>
          </w:tcPr>
          <w:p>
            <w:pPr>
              <w:jc w:val="left"/>
            </w:pPr>
            <w:r>
              <w:rPr>
                <w:rFonts w:ascii="Times New Roman" w:hAnsi="Times New Roman"/>
                <w:sz w:val="16"/>
              </w:rPr>
              <w:t>O5: Failover Continuity</w:t>
            </w:r>
          </w:p>
        </w:tc>
        <w:tc>
          <w:tcPr>
            <w:tcW w:type="dxa" w:w="3168"/>
            <w:shd w:fill="FFFFFF"/>
            <w:tcMar>
              <w:top w:w="50" w:type="dxa"/>
              <w:bottom w:w="50" w:type="dxa"/>
              <w:left w:w="90" w:type="dxa"/>
              <w:right w:w="90" w:type="dxa"/>
            </w:tcMar>
          </w:tcPr>
          <w:p>
            <w:pPr>
              <w:jc w:val="left"/>
            </w:pPr>
            <w:r>
              <w:rPr>
                <w:rFonts w:ascii="Times New Roman" w:hAnsi="Times New Roman"/>
                <w:sz w:val="16"/>
              </w:rPr>
              <w:t>4-Tier Graceful Degradation AI Cascade</w:t>
            </w:r>
          </w:p>
        </w:tc>
        <w:tc>
          <w:tcPr>
            <w:tcW w:type="dxa" w:w="4608"/>
            <w:shd w:fill="FFFFFF"/>
            <w:tcMar>
              <w:top w:w="50" w:type="dxa"/>
              <w:bottom w:w="50" w:type="dxa"/>
              <w:left w:w="90" w:type="dxa"/>
              <w:right w:w="90" w:type="dxa"/>
            </w:tcMar>
          </w:tcPr>
          <w:p>
            <w:pPr>
              <w:jc w:val="left"/>
            </w:pPr>
            <w:r>
              <w:rPr>
                <w:rFonts w:ascii="Times New Roman" w:hAnsi="Times New Roman"/>
                <w:sz w:val="16"/>
              </w:rPr>
              <w:t>Runtime Production Telemetry (98.79% Primary Availability, 100% Continuity, N = 1,485)</w:t>
            </w:r>
          </w:p>
        </w:tc>
      </w:tr>
      <w:tr>
        <w:tc>
          <w:tcPr>
            <w:tcW w:type="dxa" w:w="2016"/>
            <w:shd w:fill="F1F5F9"/>
            <w:tcMar>
              <w:top w:w="50" w:type="dxa"/>
              <w:bottom w:w="50" w:type="dxa"/>
              <w:left w:w="90" w:type="dxa"/>
              <w:right w:w="90" w:type="dxa"/>
            </w:tcMar>
          </w:tcPr>
          <w:p>
            <w:pPr>
              <w:jc w:val="left"/>
            </w:pPr>
            <w:r>
              <w:rPr>
                <w:rFonts w:ascii="Times New Roman" w:hAnsi="Times New Roman"/>
                <w:b/>
                <w:sz w:val="16"/>
              </w:rPr>
              <w:t>O6: Statutory Compliance</w:t>
            </w:r>
          </w:p>
        </w:tc>
        <w:tc>
          <w:tcPr>
            <w:tcW w:type="dxa" w:w="3168"/>
            <w:shd w:fill="F1F5F9"/>
            <w:tcMar>
              <w:top w:w="50" w:type="dxa"/>
              <w:bottom w:w="50" w:type="dxa"/>
              <w:left w:w="90" w:type="dxa"/>
              <w:right w:w="90" w:type="dxa"/>
            </w:tcMar>
          </w:tcPr>
          <w:p>
            <w:pPr>
              <w:jc w:val="left"/>
            </w:pPr>
            <w:r>
              <w:rPr>
                <w:rFonts w:ascii="Times New Roman" w:hAnsi="Times New Roman"/>
                <w:b/>
                <w:sz w:val="16"/>
              </w:rPr>
              <w:t>Gated Digital ARTA CSM Instrument &amp; Background SLA Daemon</w:t>
            </w:r>
          </w:p>
        </w:tc>
        <w:tc>
          <w:tcPr>
            <w:tcW w:type="dxa" w:w="4608"/>
            <w:shd w:fill="F1F5F9"/>
            <w:tcMar>
              <w:top w:w="50" w:type="dxa"/>
              <w:bottom w:w="50" w:type="dxa"/>
              <w:left w:w="90" w:type="dxa"/>
              <w:right w:w="90" w:type="dxa"/>
            </w:tcMar>
          </w:tcPr>
          <w:p>
            <w:pPr>
              <w:jc w:val="left"/>
            </w:pPr>
            <w:r>
              <w:rPr>
                <w:rFonts w:ascii="Times New Roman" w:hAnsi="Times New Roman"/>
                <w:b/>
                <w:sz w:val="16"/>
              </w:rPr>
              <w:t>325 Validated Closed ARTA Surveys (98.26% CSI) and 92.84% SLA Compliance (OR = 4.69)</w:t>
            </w:r>
          </w:p>
        </w:tc>
      </w:tr>
    </w:tbl>
    <w:p>
      <w:pPr>
        <w:spacing w:before="0" w:after="120"/>
      </w:pPr>
    </w:p>
    <w:p>
      <w:pPr>
        <w:keepNext/>
        <w:spacing w:before="160" w:after="40"/>
      </w:pPr>
      <w:r>
        <w:rPr>
          <w:b/>
          <w:i/>
          <w:color w:val="1E293B"/>
          <w:sz w:val="20"/>
        </w:rPr>
        <w:t>B. Architectural Decomposition</w:t>
      </w:r>
    </w:p>
    <w:p>
      <w:pPr>
        <w:spacing w:before="0" w:after="100" w:line="269" w:lineRule="auto"/>
        <w:jc w:val="both"/>
      </w:pPr>
      <w:r>
        <w:rPr>
          <w:sz w:val="19"/>
        </w:rPr>
        <w:t>The platform employs a decoupled three-tier architecture (Fig. 1) designed for maintainability, data integrity, and operational security: an Angular 17 presentation layer with role-based routing, an Apollo GraphQL application server with TypeScript business logic, and a persistence layer utilizing MySQL 8.0, Prisma ORM, and an externalized four-tier inference cascade.</w:t>
      </w:r>
    </w:p>
    <w:p>
      <w:pPr>
        <w:keepNext/>
        <w:spacing w:before="120" w:after="60"/>
        <w:jc w:val="center"/>
      </w:pPr>
    </w:p>
    <w:p>
      <w:r>
        <w:drawing>
          <wp:inline xmlns:a="http://schemas.openxmlformats.org/drawingml/2006/main" xmlns:pic="http://schemas.openxmlformats.org/drawingml/2006/picture">
            <wp:extent cx="6035040" cy="4124346"/>
            <wp:docPr id="1" name="Picture 1"/>
            <wp:cNvGraphicFramePr>
              <a:graphicFrameLocks noChangeAspect="1"/>
            </wp:cNvGraphicFramePr>
            <a:graphic>
              <a:graphicData uri="http://schemas.openxmlformats.org/drawingml/2006/picture">
                <pic:pic>
                  <pic:nvPicPr>
                    <pic:cNvPr id="0" name="fig1_system_architecture.png"/>
                    <pic:cNvPicPr/>
                  </pic:nvPicPr>
                  <pic:blipFill>
                    <a:blip r:embed="rId9"/>
                    <a:stretch>
                      <a:fillRect/>
                    </a:stretch>
                  </pic:blipFill>
                  <pic:spPr>
                    <a:xfrm>
                      <a:off x="0" y="0"/>
                      <a:ext cx="6035040" cy="4124346"/>
                    </a:xfrm>
                    <a:prstGeom prst="rect"/>
                  </pic:spPr>
                </pic:pic>
              </a:graphicData>
            </a:graphic>
          </wp:inline>
        </w:drawing>
      </w:r>
    </w:p>
    <w:p>
      <w:pPr>
        <w:spacing w:before="40" w:after="160"/>
        <w:jc w:val="center"/>
      </w:pPr>
      <w:r>
        <w:rPr>
          <w:i/>
          <w:color w:val="334155"/>
          <w:sz w:val="17"/>
        </w:rPr>
        <w:t>Fig. 1. Three-Tier System Architecture: Angular Presentation Layer, Node.js GraphQL Application Server, Prisma ORM, and Four-Tier Graceful AI Cascade.</w:t>
      </w:r>
    </w:p>
    <w:p>
      <w:pPr>
        <w:keepNext/>
        <w:spacing w:before="160" w:after="40"/>
      </w:pPr>
      <w:r>
        <w:rPr>
          <w:b/>
          <w:i/>
          <w:color w:val="1E293B"/>
          <w:sz w:val="20"/>
        </w:rPr>
        <w:t>C. Closed-Loop SECI Knowledge Capture and Vector Migration</w:t>
      </w:r>
    </w:p>
    <w:p>
      <w:pPr>
        <w:spacing w:before="0" w:after="100" w:line="269" w:lineRule="auto"/>
        <w:jc w:val="both"/>
      </w:pPr>
      <w:r>
        <w:rPr>
          <w:sz w:val="19"/>
        </w:rPr>
        <w:t>Operationalizing Nonaka and Takeuchi's SECI paradigm [13], the platform establishes a continuous knowledge cycle: socialization through user inquiries, externalization via structured diagnostic logging at ticket resolution, combination through 768-dimensional semantic embedding and vector indexing, and internalization as the RAG assistant surfaces verified solutions to future users. Addressing model lifecycle management, stored vectors were updated following Google's deprecation notice [30], migrating to 768-dimensional representations with verified cosine calibration (tau = 0.40).</w:t>
      </w:r>
    </w:p>
    <w:p>
      <w:pPr>
        <w:keepNext/>
        <w:spacing w:before="160" w:after="40"/>
      </w:pPr>
      <w:r>
        <w:rPr>
          <w:b/>
          <w:i/>
          <w:color w:val="1E293B"/>
          <w:sz w:val="20"/>
        </w:rPr>
        <w:t>D. Six-Stage Governed Finite-State Workflow</w:t>
      </w:r>
    </w:p>
    <w:p>
      <w:pPr>
        <w:spacing w:before="0" w:after="100" w:line="269" w:lineRule="auto"/>
        <w:jc w:val="both"/>
      </w:pPr>
      <w:r>
        <w:rPr>
          <w:sz w:val="19"/>
        </w:rPr>
        <w:t>The ticket lifecycle enforces a strict 10-state finite state machine (Fig. 2) reconciling public institutional accountability with operational velocity: FOR_REVIEW -&gt; REVIEWED -&gt; DIRECTOR_APPROVED -&gt; ASSIGNED -&gt; IN_PROGRESS &lt;=&gt; ON_HOLD -&gt; RESOLVED -&gt; CLOSED, with administrative rejection pathways routing invalid submissions to CANCELLED.</w:t>
      </w:r>
    </w:p>
    <w:p>
      <w:pPr>
        <w:keepNext/>
        <w:spacing w:before="120" w:after="60"/>
        <w:jc w:val="center"/>
      </w:pPr>
    </w:p>
    <w:p>
      <w:r>
        <w:drawing>
          <wp:inline xmlns:a="http://schemas.openxmlformats.org/drawingml/2006/main" xmlns:pic="http://schemas.openxmlformats.org/drawingml/2006/picture">
            <wp:extent cx="6035040" cy="4177848"/>
            <wp:docPr id="2" name="Picture 2"/>
            <wp:cNvGraphicFramePr>
              <a:graphicFrameLocks noChangeAspect="1"/>
            </wp:cNvGraphicFramePr>
            <a:graphic>
              <a:graphicData uri="http://schemas.openxmlformats.org/drawingml/2006/picture">
                <pic:pic>
                  <pic:nvPicPr>
                    <pic:cNvPr id="0" name="fig2_swimlane_workflow.png"/>
                    <pic:cNvPicPr/>
                  </pic:nvPicPr>
                  <pic:blipFill>
                    <a:blip r:embed="rId10"/>
                    <a:stretch>
                      <a:fillRect/>
                    </a:stretch>
                  </pic:blipFill>
                  <pic:spPr>
                    <a:xfrm>
                      <a:off x="0" y="0"/>
                      <a:ext cx="6035040" cy="4177848"/>
                    </a:xfrm>
                    <a:prstGeom prst="rect"/>
                  </pic:spPr>
                </pic:pic>
              </a:graphicData>
            </a:graphic>
          </wp:inline>
        </w:drawing>
      </w:r>
    </w:p>
    <w:p>
      <w:pPr>
        <w:spacing w:before="40" w:after="160"/>
        <w:jc w:val="center"/>
      </w:pPr>
      <w:r>
        <w:rPr>
          <w:i/>
          <w:color w:val="334155"/>
          <w:sz w:val="17"/>
        </w:rPr>
        <w:t>Fig. 2. Cross-Functional Swimlane Workflow of the Governed 6-Stage, 10-State ITSM Ticket Lifecycle.</w:t>
      </w:r>
    </w:p>
    <w:p>
      <w:pPr>
        <w:keepNext/>
        <w:spacing w:before="160" w:after="40"/>
      </w:pPr>
      <w:r>
        <w:rPr>
          <w:b/>
          <w:i/>
          <w:color w:val="1E293B"/>
          <w:sz w:val="20"/>
        </w:rPr>
        <w:t>E. Operational SLA Governance and Two-Tier Escalation Protocol</w:t>
      </w:r>
    </w:p>
    <w:p>
      <w:pPr>
        <w:spacing w:before="0" w:after="100" w:line="269" w:lineRule="auto"/>
        <w:jc w:val="both"/>
      </w:pPr>
      <w:r>
        <w:rPr>
          <w:sz w:val="19"/>
        </w:rPr>
        <w:t>Statutory turnaround enforcement operates via background daemons monitoring four priority tiers (Fig. 3): Critical (4 hours), High (24 hours), Medium (72 hours), and Low (168 hours). Operating hours strictly follow Philippine Civil Service Commission (CSC) working schedules (08:00 to 12:00 and 13:00 to 17:00, Monday through Friday, 8 net working hours/day, excluding lunch, weekends, and official holidays). When third-party parts procurement or external vendor servicing is required, tickets enter ON_HOLD, pausing the statutory countdown timer. If a ticket exceeds statutory thresholds, the daemon executes a two-tier escalation: Tier 1 alerts the technician and department head; Tier 2 (+30 min) escalates directly to the ICT Director.</w:t>
      </w:r>
    </w:p>
    <w:p>
      <w:pPr>
        <w:keepNext/>
        <w:spacing w:before="120" w:after="60"/>
        <w:jc w:val="center"/>
      </w:pPr>
    </w:p>
    <w:p>
      <w:r>
        <w:drawing>
          <wp:inline xmlns:a="http://schemas.openxmlformats.org/drawingml/2006/main" xmlns:pic="http://schemas.openxmlformats.org/drawingml/2006/picture">
            <wp:extent cx="6035040" cy="3731087"/>
            <wp:docPr id="3" name="Picture 3"/>
            <wp:cNvGraphicFramePr>
              <a:graphicFrameLocks noChangeAspect="1"/>
            </wp:cNvGraphicFramePr>
            <a:graphic>
              <a:graphicData uri="http://schemas.openxmlformats.org/drawingml/2006/picture">
                <pic:pic>
                  <pic:nvPicPr>
                    <pic:cNvPr id="0" name="fig3_sla_lifecycle_escalation.png"/>
                    <pic:cNvPicPr/>
                  </pic:nvPicPr>
                  <pic:blipFill>
                    <a:blip r:embed="rId11"/>
                    <a:stretch>
                      <a:fillRect/>
                    </a:stretch>
                  </pic:blipFill>
                  <pic:spPr>
                    <a:xfrm>
                      <a:off x="0" y="0"/>
                      <a:ext cx="6035040" cy="3731087"/>
                    </a:xfrm>
                    <a:prstGeom prst="rect"/>
                  </pic:spPr>
                </pic:pic>
              </a:graphicData>
            </a:graphic>
          </wp:inline>
        </w:drawing>
      </w:r>
    </w:p>
    <w:p>
      <w:pPr>
        <w:spacing w:before="40" w:after="160"/>
        <w:jc w:val="center"/>
      </w:pPr>
      <w:r>
        <w:rPr>
          <w:i/>
          <w:color w:val="334155"/>
          <w:sz w:val="17"/>
        </w:rPr>
        <w:t>Fig. 3. Operational SLA Priority Lifecycles, Statutory Business-Hours Countdown, and Two-Tier Escalation Protocol.</w:t>
      </w:r>
    </w:p>
    <w:p>
      <w:pPr>
        <w:keepNext/>
        <w:spacing w:before="240" w:after="60"/>
      </w:pPr>
      <w:r>
        <w:rPr>
          <w:b/>
          <w:color w:val="0F172A"/>
          <w:sz w:val="22"/>
        </w:rPr>
        <w:t>IV. EXPERIMENTAL AND EMPIRICAL DESIGN</w:t>
      </w:r>
    </w:p>
    <w:p>
      <w:pPr>
        <w:spacing w:before="0" w:after="100" w:line="269" w:lineRule="auto"/>
        <w:jc w:val="both"/>
      </w:pPr>
      <w:r>
        <w:rPr>
          <w:sz w:val="19"/>
        </w:rPr>
        <w:t>The empirical evaluation protocol employs a comprehensive multi-method framework (Table III) combining 64 scripted functional UAT scenarios across eight roles, a controlled 100-query IR ablation benchmark across seven experimental arms, an archival baseline vs. digital pilot comparative turnaround study, an expert software quality review via McCall's 11-factor model (n = 5 domain experts), a standardized usability evaluation via PSSUQ v3 (n = 12 evaluators), and longitudinal production telemetry across 1,485 conversational turns.</w:t>
      </w:r>
    </w:p>
    <w:p>
      <w:pPr>
        <w:keepNext/>
        <w:spacing w:before="160" w:after="80"/>
        <w:jc w:val="center"/>
      </w:pPr>
      <w:r>
        <w:rPr>
          <w:rFonts w:ascii="Times New Roman" w:hAnsi="Times New Roman"/>
          <w:b/>
          <w:sz w:val="17"/>
        </w:rPr>
        <w:t>TABLE III</w:t>
        <w:br/>
        <w:t>MULTI-METHOD EMPIRICAL EVALUATION DESIGN MATRIX</w:t>
      </w:r>
    </w:p>
    <w:tbl>
      <w:tblPr>
        <w:tblW w:type="auto" w:w="0"/>
        <w:jc w:val="center"/>
        <w:tblLook w:firstColumn="1" w:firstRow="1" w:lastColumn="0" w:lastRow="0" w:noHBand="0" w:noVBand="1" w:val="04A0"/>
      </w:tblPr>
      <w:tblGrid>
        <w:gridCol w:w="2016"/>
        <w:gridCol w:w="2016"/>
        <w:gridCol w:w="2016"/>
        <w:gridCol w:w="2016"/>
        <w:gridCol w:w="2016"/>
      </w:tblGrid>
      <w:tr>
        <w:tc>
          <w:tcPr>
            <w:tcW w:type="dxa" w:w="1872"/>
            <w:shd w:fill="E2E8F0"/>
            <w:tcMar>
              <w:top w:w="80" w:type="dxa"/>
              <w:bottom w:w="80" w:type="dxa"/>
              <w:left w:w="100" w:type="dxa"/>
              <w:right w:w="100" w:type="dxa"/>
            </w:tcMar>
          </w:tcPr>
          <w:p>
            <w:pPr>
              <w:jc w:val="center"/>
            </w:pPr>
            <w:r>
              <w:rPr>
                <w:rFonts w:ascii="Times New Roman" w:hAnsi="Times New Roman"/>
                <w:b/>
                <w:color w:val="0F172A"/>
                <w:sz w:val="16"/>
              </w:rPr>
              <w:t>Evaluation Dimension</w:t>
            </w:r>
          </w:p>
        </w:tc>
        <w:tc>
          <w:tcPr>
            <w:tcW w:type="dxa" w:w="2016"/>
            <w:shd w:fill="E2E8F0"/>
            <w:tcMar>
              <w:top w:w="80" w:type="dxa"/>
              <w:bottom w:w="80" w:type="dxa"/>
              <w:left w:w="100" w:type="dxa"/>
              <w:right w:w="100" w:type="dxa"/>
            </w:tcMar>
          </w:tcPr>
          <w:p>
            <w:pPr>
              <w:jc w:val="center"/>
            </w:pPr>
            <w:r>
              <w:rPr>
                <w:rFonts w:ascii="Times New Roman" w:hAnsi="Times New Roman"/>
                <w:b/>
                <w:color w:val="0F172A"/>
                <w:sz w:val="16"/>
              </w:rPr>
              <w:t>Target Construct</w:t>
            </w:r>
          </w:p>
        </w:tc>
        <w:tc>
          <w:tcPr>
            <w:tcW w:type="dxa" w:w="1872"/>
            <w:shd w:fill="E2E8F0"/>
            <w:tcMar>
              <w:top w:w="80" w:type="dxa"/>
              <w:bottom w:w="80" w:type="dxa"/>
              <w:left w:w="100" w:type="dxa"/>
              <w:right w:w="100" w:type="dxa"/>
            </w:tcMar>
          </w:tcPr>
          <w:p>
            <w:pPr>
              <w:jc w:val="center"/>
            </w:pPr>
            <w:r>
              <w:rPr>
                <w:rFonts w:ascii="Times New Roman" w:hAnsi="Times New Roman"/>
                <w:b/>
                <w:color w:val="0F172A"/>
                <w:sz w:val="16"/>
              </w:rPr>
              <w:t>Sample Size / Cohort</w:t>
            </w:r>
          </w:p>
        </w:tc>
        <w:tc>
          <w:tcPr>
            <w:tcW w:type="dxa" w:w="2016"/>
            <w:shd w:fill="E2E8F0"/>
            <w:tcMar>
              <w:top w:w="80" w:type="dxa"/>
              <w:bottom w:w="80" w:type="dxa"/>
              <w:left w:w="100" w:type="dxa"/>
              <w:right w:w="100" w:type="dxa"/>
            </w:tcMar>
          </w:tcPr>
          <w:p>
            <w:pPr>
              <w:jc w:val="center"/>
            </w:pPr>
            <w:r>
              <w:rPr>
                <w:rFonts w:ascii="Times New Roman" w:hAnsi="Times New Roman"/>
                <w:b/>
                <w:color w:val="0F172A"/>
                <w:sz w:val="16"/>
              </w:rPr>
              <w:t>Evaluation Instrument / Metric</w:t>
            </w:r>
          </w:p>
        </w:tc>
        <w:tc>
          <w:tcPr>
            <w:tcW w:type="dxa" w:w="2016"/>
            <w:shd w:fill="E2E8F0"/>
            <w:tcMar>
              <w:top w:w="80" w:type="dxa"/>
              <w:bottom w:w="80" w:type="dxa"/>
              <w:left w:w="100" w:type="dxa"/>
              <w:right w:w="100" w:type="dxa"/>
            </w:tcMar>
          </w:tcPr>
          <w:p>
            <w:pPr>
              <w:jc w:val="center"/>
            </w:pPr>
            <w:r>
              <w:rPr>
                <w:rFonts w:ascii="Times New Roman" w:hAnsi="Times New Roman"/>
                <w:b/>
                <w:color w:val="0F172A"/>
                <w:sz w:val="16"/>
              </w:rPr>
              <w:t>Analytical Benchmark / Norm</w:t>
            </w:r>
          </w:p>
        </w:tc>
      </w:tr>
      <w:tr>
        <w:tc>
          <w:tcPr>
            <w:tcW w:type="dxa" w:w="1872"/>
            <w:shd w:fill="FFFFFF"/>
            <w:tcMar>
              <w:top w:w="50" w:type="dxa"/>
              <w:bottom w:w="50" w:type="dxa"/>
              <w:left w:w="90" w:type="dxa"/>
              <w:right w:w="90" w:type="dxa"/>
            </w:tcMar>
          </w:tcPr>
          <w:p>
            <w:pPr>
              <w:jc w:val="left"/>
            </w:pPr>
            <w:r>
              <w:rPr>
                <w:rFonts w:ascii="Times New Roman" w:hAnsi="Times New Roman"/>
                <w:sz w:val="16"/>
              </w:rPr>
              <w:t>Functional Correctness</w:t>
            </w:r>
          </w:p>
        </w:tc>
        <w:tc>
          <w:tcPr>
            <w:tcW w:type="dxa" w:w="2016"/>
            <w:shd w:fill="FFFFFF"/>
            <w:tcMar>
              <w:top w:w="50" w:type="dxa"/>
              <w:bottom w:w="50" w:type="dxa"/>
              <w:left w:w="90" w:type="dxa"/>
              <w:right w:w="90" w:type="dxa"/>
            </w:tcMar>
          </w:tcPr>
          <w:p>
            <w:pPr>
              <w:jc w:val="left"/>
            </w:pPr>
            <w:r>
              <w:rPr>
                <w:rFonts w:ascii="Times New Roman" w:hAnsi="Times New Roman"/>
                <w:sz w:val="16"/>
              </w:rPr>
              <w:t>Workflow &amp; RBAC Security</w:t>
            </w:r>
          </w:p>
        </w:tc>
        <w:tc>
          <w:tcPr>
            <w:tcW w:type="dxa" w:w="1872"/>
            <w:shd w:fill="FFFFFF"/>
            <w:tcMar>
              <w:top w:w="50" w:type="dxa"/>
              <w:bottom w:w="50" w:type="dxa"/>
              <w:left w:w="90" w:type="dxa"/>
              <w:right w:w="90" w:type="dxa"/>
            </w:tcMar>
          </w:tcPr>
          <w:p>
            <w:pPr>
              <w:jc w:val="left"/>
            </w:pPr>
            <w:r>
              <w:rPr>
                <w:rFonts w:ascii="Times New Roman" w:hAnsi="Times New Roman"/>
                <w:sz w:val="16"/>
              </w:rPr>
              <w:t>N = 64 Functional Scenarios</w:t>
            </w:r>
          </w:p>
        </w:tc>
        <w:tc>
          <w:tcPr>
            <w:tcW w:type="dxa" w:w="2016"/>
            <w:shd w:fill="FFFFFF"/>
            <w:tcMar>
              <w:top w:w="50" w:type="dxa"/>
              <w:bottom w:w="50" w:type="dxa"/>
              <w:left w:w="90" w:type="dxa"/>
              <w:right w:w="90" w:type="dxa"/>
            </w:tcMar>
          </w:tcPr>
          <w:p>
            <w:pPr>
              <w:jc w:val="left"/>
            </w:pPr>
            <w:r>
              <w:rPr>
                <w:rFonts w:ascii="Times New Roman" w:hAnsi="Times New Roman"/>
                <w:sz w:val="16"/>
              </w:rPr>
              <w:t>Scripted User Acceptance Testing Suite</w:t>
            </w:r>
          </w:p>
        </w:tc>
        <w:tc>
          <w:tcPr>
            <w:tcW w:type="dxa" w:w="2016"/>
            <w:shd w:fill="FFFFFF"/>
            <w:tcMar>
              <w:top w:w="50" w:type="dxa"/>
              <w:bottom w:w="50" w:type="dxa"/>
              <w:left w:w="90" w:type="dxa"/>
              <w:right w:w="90" w:type="dxa"/>
            </w:tcMar>
          </w:tcPr>
          <w:p>
            <w:pPr>
              <w:jc w:val="left"/>
            </w:pPr>
            <w:r>
              <w:rPr>
                <w:rFonts w:ascii="Times New Roman" w:hAnsi="Times New Roman"/>
                <w:b/>
                <w:sz w:val="16"/>
              </w:rPr>
              <w:t>100.0% Pass across 8 Personas</w:t>
            </w:r>
          </w:p>
        </w:tc>
      </w:tr>
      <w:tr>
        <w:tc>
          <w:tcPr>
            <w:tcW w:type="dxa" w:w="1872"/>
            <w:shd w:fill="F8FAFC"/>
            <w:tcMar>
              <w:top w:w="50" w:type="dxa"/>
              <w:bottom w:w="50" w:type="dxa"/>
              <w:left w:w="90" w:type="dxa"/>
              <w:right w:w="90" w:type="dxa"/>
            </w:tcMar>
          </w:tcPr>
          <w:p>
            <w:pPr>
              <w:jc w:val="left"/>
            </w:pPr>
            <w:r>
              <w:rPr>
                <w:rFonts w:ascii="Times New Roman" w:hAnsi="Times New Roman"/>
                <w:sz w:val="16"/>
              </w:rPr>
              <w:t>Retrieval Quality</w:t>
            </w:r>
          </w:p>
        </w:tc>
        <w:tc>
          <w:tcPr>
            <w:tcW w:type="dxa" w:w="2016"/>
            <w:shd w:fill="F8FAFC"/>
            <w:tcMar>
              <w:top w:w="50" w:type="dxa"/>
              <w:bottom w:w="50" w:type="dxa"/>
              <w:left w:w="90" w:type="dxa"/>
              <w:right w:w="90" w:type="dxa"/>
            </w:tcMar>
          </w:tcPr>
          <w:p>
            <w:pPr>
              <w:jc w:val="left"/>
            </w:pPr>
            <w:r>
              <w:rPr>
                <w:rFonts w:ascii="Times New Roman" w:hAnsi="Times New Roman"/>
                <w:sz w:val="16"/>
              </w:rPr>
              <w:t>Grounded Hybrid RAG Pipeline</w:t>
            </w:r>
          </w:p>
        </w:tc>
        <w:tc>
          <w:tcPr>
            <w:tcW w:type="dxa" w:w="1872"/>
            <w:shd w:fill="F8FAFC"/>
            <w:tcMar>
              <w:top w:w="50" w:type="dxa"/>
              <w:bottom w:w="50" w:type="dxa"/>
              <w:left w:w="90" w:type="dxa"/>
              <w:right w:w="90" w:type="dxa"/>
            </w:tcMar>
          </w:tcPr>
          <w:p>
            <w:pPr>
              <w:jc w:val="left"/>
            </w:pPr>
            <w:r>
              <w:rPr>
                <w:rFonts w:ascii="Times New Roman" w:hAnsi="Times New Roman"/>
                <w:sz w:val="16"/>
              </w:rPr>
              <w:t>N = 100 Labeled Query Corpus (7 Arms)</w:t>
            </w:r>
          </w:p>
        </w:tc>
        <w:tc>
          <w:tcPr>
            <w:tcW w:type="dxa" w:w="2016"/>
            <w:shd w:fill="F8FAFC"/>
            <w:tcMar>
              <w:top w:w="50" w:type="dxa"/>
              <w:bottom w:w="50" w:type="dxa"/>
              <w:left w:w="90" w:type="dxa"/>
              <w:right w:w="90" w:type="dxa"/>
            </w:tcMar>
          </w:tcPr>
          <w:p>
            <w:pPr>
              <w:jc w:val="left"/>
            </w:pPr>
            <w:r>
              <w:rPr>
                <w:rFonts w:ascii="Times New Roman" w:hAnsi="Times New Roman"/>
                <w:sz w:val="16"/>
              </w:rPr>
              <w:t>Precision@5, Recall@5, MRR, Faithfulness</w:t>
            </w:r>
          </w:p>
        </w:tc>
        <w:tc>
          <w:tcPr>
            <w:tcW w:type="dxa" w:w="2016"/>
            <w:shd w:fill="F8FAFC"/>
            <w:tcMar>
              <w:top w:w="50" w:type="dxa"/>
              <w:bottom w:w="50" w:type="dxa"/>
              <w:left w:w="90" w:type="dxa"/>
              <w:right w:w="90" w:type="dxa"/>
            </w:tcMar>
          </w:tcPr>
          <w:p>
            <w:pPr>
              <w:jc w:val="left"/>
            </w:pPr>
            <w:r>
              <w:rPr>
                <w:rFonts w:ascii="Times New Roman" w:hAnsi="Times New Roman"/>
                <w:sz w:val="16"/>
              </w:rPr>
              <w:t>Standard RAG / Lexical Baselines</w:t>
            </w:r>
          </w:p>
        </w:tc>
      </w:tr>
      <w:tr>
        <w:tc>
          <w:tcPr>
            <w:tcW w:type="dxa" w:w="1872"/>
            <w:shd w:fill="FFFFFF"/>
            <w:tcMar>
              <w:top w:w="50" w:type="dxa"/>
              <w:bottom w:w="50" w:type="dxa"/>
              <w:left w:w="90" w:type="dxa"/>
              <w:right w:w="90" w:type="dxa"/>
            </w:tcMar>
          </w:tcPr>
          <w:p>
            <w:pPr>
              <w:jc w:val="left"/>
            </w:pPr>
            <w:r>
              <w:rPr>
                <w:rFonts w:ascii="Times New Roman" w:hAnsi="Times New Roman"/>
                <w:sz w:val="16"/>
              </w:rPr>
              <w:t>Knowledge Dynamics</w:t>
            </w:r>
          </w:p>
        </w:tc>
        <w:tc>
          <w:tcPr>
            <w:tcW w:type="dxa" w:w="2016"/>
            <w:shd w:fill="FFFFFF"/>
            <w:tcMar>
              <w:top w:w="50" w:type="dxa"/>
              <w:bottom w:w="50" w:type="dxa"/>
              <w:left w:w="90" w:type="dxa"/>
              <w:right w:w="90" w:type="dxa"/>
            </w:tcMar>
          </w:tcPr>
          <w:p>
            <w:pPr>
              <w:jc w:val="left"/>
            </w:pPr>
            <w:r>
              <w:rPr>
                <w:rFonts w:ascii="Times New Roman" w:hAnsi="Times New Roman"/>
                <w:sz w:val="16"/>
              </w:rPr>
              <w:t>Closed-Loop SECI Memory</w:t>
            </w:r>
          </w:p>
        </w:tc>
        <w:tc>
          <w:tcPr>
            <w:tcW w:type="dxa" w:w="1872"/>
            <w:shd w:fill="FFFFFF"/>
            <w:tcMar>
              <w:top w:w="50" w:type="dxa"/>
              <w:bottom w:w="50" w:type="dxa"/>
              <w:left w:w="90" w:type="dxa"/>
              <w:right w:w="90" w:type="dxa"/>
            </w:tcMar>
          </w:tcPr>
          <w:p>
            <w:pPr>
              <w:jc w:val="left"/>
            </w:pPr>
            <w:r>
              <w:rPr>
                <w:rFonts w:ascii="Times New Roman" w:hAnsi="Times New Roman"/>
                <w:sz w:val="16"/>
              </w:rPr>
              <w:t>N = 280 Diagnostic Solution Pairs</w:t>
            </w:r>
          </w:p>
        </w:tc>
        <w:tc>
          <w:tcPr>
            <w:tcW w:type="dxa" w:w="2016"/>
            <w:shd w:fill="FFFFFF"/>
            <w:tcMar>
              <w:top w:w="50" w:type="dxa"/>
              <w:bottom w:w="50" w:type="dxa"/>
              <w:left w:w="90" w:type="dxa"/>
              <w:right w:w="90" w:type="dxa"/>
            </w:tcMar>
          </w:tcPr>
          <w:p>
            <w:pPr>
              <w:jc w:val="left"/>
            </w:pPr>
            <w:r>
              <w:rPr>
                <w:rFonts w:ascii="Times New Roman" w:hAnsi="Times New Roman"/>
                <w:sz w:val="16"/>
              </w:rPr>
              <w:t>Department Head Usability Audit</w:t>
            </w:r>
          </w:p>
        </w:tc>
        <w:tc>
          <w:tcPr>
            <w:tcW w:type="dxa" w:w="2016"/>
            <w:shd w:fill="FFFFFF"/>
            <w:tcMar>
              <w:top w:w="50" w:type="dxa"/>
              <w:bottom w:w="50" w:type="dxa"/>
              <w:left w:w="90" w:type="dxa"/>
              <w:right w:w="90" w:type="dxa"/>
            </w:tcMar>
          </w:tcPr>
          <w:p>
            <w:pPr>
              <w:jc w:val="left"/>
            </w:pPr>
            <w:r>
              <w:rPr>
                <w:rFonts w:ascii="Times New Roman" w:hAnsi="Times New Roman"/>
                <w:sz w:val="16"/>
              </w:rPr>
              <w:t>&gt;= 80.0% Usability Approval Rate</w:t>
            </w:r>
          </w:p>
        </w:tc>
      </w:tr>
      <w:tr>
        <w:tc>
          <w:tcPr>
            <w:tcW w:type="dxa" w:w="1872"/>
            <w:shd w:fill="F8FAFC"/>
            <w:tcMar>
              <w:top w:w="50" w:type="dxa"/>
              <w:bottom w:w="50" w:type="dxa"/>
              <w:left w:w="90" w:type="dxa"/>
              <w:right w:w="90" w:type="dxa"/>
            </w:tcMar>
          </w:tcPr>
          <w:p>
            <w:pPr>
              <w:jc w:val="left"/>
            </w:pPr>
            <w:r>
              <w:rPr>
                <w:rFonts w:ascii="Times New Roman" w:hAnsi="Times New Roman"/>
                <w:sz w:val="16"/>
              </w:rPr>
              <w:t>Software Quality</w:t>
            </w:r>
          </w:p>
        </w:tc>
        <w:tc>
          <w:tcPr>
            <w:tcW w:type="dxa" w:w="2016"/>
            <w:shd w:fill="F8FAFC"/>
            <w:tcMar>
              <w:top w:w="50" w:type="dxa"/>
              <w:bottom w:w="50" w:type="dxa"/>
              <w:left w:w="90" w:type="dxa"/>
              <w:right w:w="90" w:type="dxa"/>
            </w:tcMar>
          </w:tcPr>
          <w:p>
            <w:pPr>
              <w:jc w:val="left"/>
            </w:pPr>
            <w:r>
              <w:rPr>
                <w:rFonts w:ascii="Times New Roman" w:hAnsi="Times New Roman"/>
                <w:sz w:val="16"/>
              </w:rPr>
              <w:t>Architecture &amp; Code Quality</w:t>
            </w:r>
          </w:p>
        </w:tc>
        <w:tc>
          <w:tcPr>
            <w:tcW w:type="dxa" w:w="1872"/>
            <w:shd w:fill="F8FAFC"/>
            <w:tcMar>
              <w:top w:w="50" w:type="dxa"/>
              <w:bottom w:w="50" w:type="dxa"/>
              <w:left w:w="90" w:type="dxa"/>
              <w:right w:w="90" w:type="dxa"/>
            </w:tcMar>
          </w:tcPr>
          <w:p>
            <w:pPr>
              <w:jc w:val="left"/>
            </w:pPr>
            <w:r>
              <w:rPr>
                <w:rFonts w:ascii="Times New Roman" w:hAnsi="Times New Roman"/>
                <w:sz w:val="16"/>
              </w:rPr>
              <w:t>n = 5 Domain Experts</w:t>
            </w:r>
          </w:p>
        </w:tc>
        <w:tc>
          <w:tcPr>
            <w:tcW w:type="dxa" w:w="2016"/>
            <w:shd w:fill="F8FAFC"/>
            <w:tcMar>
              <w:top w:w="50" w:type="dxa"/>
              <w:bottom w:w="50" w:type="dxa"/>
              <w:left w:w="90" w:type="dxa"/>
              <w:right w:w="90" w:type="dxa"/>
            </w:tcMar>
          </w:tcPr>
          <w:p>
            <w:pPr>
              <w:jc w:val="left"/>
            </w:pPr>
            <w:r>
              <w:rPr>
                <w:rFonts w:ascii="Times New Roman" w:hAnsi="Times New Roman"/>
                <w:sz w:val="16"/>
              </w:rPr>
              <w:t>McCall's 11-Factor Software Quality Model</w:t>
            </w:r>
          </w:p>
        </w:tc>
        <w:tc>
          <w:tcPr>
            <w:tcW w:type="dxa" w:w="2016"/>
            <w:shd w:fill="F8FAFC"/>
            <w:tcMar>
              <w:top w:w="50" w:type="dxa"/>
              <w:bottom w:w="50" w:type="dxa"/>
              <w:left w:w="90" w:type="dxa"/>
              <w:right w:w="90" w:type="dxa"/>
            </w:tcMar>
          </w:tcPr>
          <w:p>
            <w:pPr>
              <w:jc w:val="left"/>
            </w:pPr>
            <w:r>
              <w:rPr>
                <w:rFonts w:ascii="Times New Roman" w:hAnsi="Times New Roman"/>
                <w:sz w:val="16"/>
              </w:rPr>
              <w:t>Standard Benchmark &gt;= 4.50 / 5.00</w:t>
            </w:r>
          </w:p>
        </w:tc>
      </w:tr>
      <w:tr>
        <w:tc>
          <w:tcPr>
            <w:tcW w:type="dxa" w:w="1872"/>
            <w:shd w:fill="FFFFFF"/>
            <w:tcMar>
              <w:top w:w="50" w:type="dxa"/>
              <w:bottom w:w="50" w:type="dxa"/>
              <w:left w:w="90" w:type="dxa"/>
              <w:right w:w="90" w:type="dxa"/>
            </w:tcMar>
          </w:tcPr>
          <w:p>
            <w:pPr>
              <w:jc w:val="left"/>
            </w:pPr>
            <w:r>
              <w:rPr>
                <w:rFonts w:ascii="Times New Roman" w:hAnsi="Times New Roman"/>
                <w:sz w:val="16"/>
              </w:rPr>
              <w:t>User Experience (UX)</w:t>
            </w:r>
          </w:p>
        </w:tc>
        <w:tc>
          <w:tcPr>
            <w:tcW w:type="dxa" w:w="2016"/>
            <w:shd w:fill="FFFFFF"/>
            <w:tcMar>
              <w:top w:w="50" w:type="dxa"/>
              <w:bottom w:w="50" w:type="dxa"/>
              <w:left w:w="90" w:type="dxa"/>
              <w:right w:w="90" w:type="dxa"/>
            </w:tcMar>
          </w:tcPr>
          <w:p>
            <w:pPr>
              <w:jc w:val="left"/>
            </w:pPr>
            <w:r>
              <w:rPr>
                <w:rFonts w:ascii="Times New Roman" w:hAnsi="Times New Roman"/>
                <w:sz w:val="16"/>
              </w:rPr>
              <w:t>Usability &amp; Interface Quality</w:t>
            </w:r>
          </w:p>
        </w:tc>
        <w:tc>
          <w:tcPr>
            <w:tcW w:type="dxa" w:w="1872"/>
            <w:shd w:fill="FFFFFF"/>
            <w:tcMar>
              <w:top w:w="50" w:type="dxa"/>
              <w:bottom w:w="50" w:type="dxa"/>
              <w:left w:w="90" w:type="dxa"/>
              <w:right w:w="90" w:type="dxa"/>
            </w:tcMar>
          </w:tcPr>
          <w:p>
            <w:pPr>
              <w:jc w:val="left"/>
            </w:pPr>
            <w:r>
              <w:rPr>
                <w:rFonts w:ascii="Times New Roman" w:hAnsi="Times New Roman"/>
                <w:sz w:val="16"/>
              </w:rPr>
              <w:t>n = 12 Role-Based Evaluators</w:t>
            </w:r>
          </w:p>
        </w:tc>
        <w:tc>
          <w:tcPr>
            <w:tcW w:type="dxa" w:w="2016"/>
            <w:shd w:fill="FFFFFF"/>
            <w:tcMar>
              <w:top w:w="50" w:type="dxa"/>
              <w:bottom w:w="50" w:type="dxa"/>
              <w:left w:w="90" w:type="dxa"/>
              <w:right w:w="90" w:type="dxa"/>
            </w:tcMar>
          </w:tcPr>
          <w:p>
            <w:pPr>
              <w:jc w:val="left"/>
            </w:pPr>
            <w:r>
              <w:rPr>
                <w:rFonts w:ascii="Times New Roman" w:hAnsi="Times New Roman"/>
                <w:sz w:val="16"/>
              </w:rPr>
              <w:t>Post-Study System Usability Questionnaire (PSSUQ)</w:t>
            </w:r>
          </w:p>
        </w:tc>
        <w:tc>
          <w:tcPr>
            <w:tcW w:type="dxa" w:w="2016"/>
            <w:shd w:fill="FFFFFF"/>
            <w:tcMar>
              <w:top w:w="50" w:type="dxa"/>
              <w:bottom w:w="50" w:type="dxa"/>
              <w:left w:w="90" w:type="dxa"/>
              <w:right w:w="90" w:type="dxa"/>
            </w:tcMar>
          </w:tcPr>
          <w:p>
            <w:pPr>
              <w:jc w:val="left"/>
            </w:pPr>
            <w:r>
              <w:rPr>
                <w:rFonts w:ascii="Times New Roman" w:hAnsi="Times New Roman"/>
                <w:sz w:val="16"/>
              </w:rPr>
              <w:t>Published Industry Norm 2.82 (p &lt; 0.001)</w:t>
            </w:r>
          </w:p>
        </w:tc>
      </w:tr>
      <w:tr>
        <w:tc>
          <w:tcPr>
            <w:tcW w:type="dxa" w:w="1872"/>
            <w:shd w:fill="F8FAFC"/>
            <w:tcMar>
              <w:top w:w="50" w:type="dxa"/>
              <w:bottom w:w="50" w:type="dxa"/>
              <w:left w:w="90" w:type="dxa"/>
              <w:right w:w="90" w:type="dxa"/>
            </w:tcMar>
          </w:tcPr>
          <w:p>
            <w:pPr>
              <w:jc w:val="left"/>
            </w:pPr>
            <w:r>
              <w:rPr>
                <w:rFonts w:ascii="Times New Roman" w:hAnsi="Times New Roman"/>
                <w:sz w:val="16"/>
              </w:rPr>
              <w:t>Runtime Resilience</w:t>
            </w:r>
          </w:p>
        </w:tc>
        <w:tc>
          <w:tcPr>
            <w:tcW w:type="dxa" w:w="2016"/>
            <w:shd w:fill="F8FAFC"/>
            <w:tcMar>
              <w:top w:w="50" w:type="dxa"/>
              <w:bottom w:w="50" w:type="dxa"/>
              <w:left w:w="90" w:type="dxa"/>
              <w:right w:w="90" w:type="dxa"/>
            </w:tcMar>
          </w:tcPr>
          <w:p>
            <w:pPr>
              <w:jc w:val="left"/>
            </w:pPr>
            <w:r>
              <w:rPr>
                <w:rFonts w:ascii="Times New Roman" w:hAnsi="Times New Roman"/>
                <w:sz w:val="16"/>
              </w:rPr>
              <w:t>Provider Cascade Continuity</w:t>
            </w:r>
          </w:p>
        </w:tc>
        <w:tc>
          <w:tcPr>
            <w:tcW w:type="dxa" w:w="1872"/>
            <w:shd w:fill="F8FAFC"/>
            <w:tcMar>
              <w:top w:w="50" w:type="dxa"/>
              <w:bottom w:w="50" w:type="dxa"/>
              <w:left w:w="90" w:type="dxa"/>
              <w:right w:w="90" w:type="dxa"/>
            </w:tcMar>
          </w:tcPr>
          <w:p>
            <w:pPr>
              <w:jc w:val="left"/>
            </w:pPr>
            <w:r>
              <w:rPr>
                <w:rFonts w:ascii="Times New Roman" w:hAnsi="Times New Roman"/>
                <w:sz w:val="16"/>
              </w:rPr>
              <w:t>N = 1,485 Conversational Turns</w:t>
            </w:r>
          </w:p>
        </w:tc>
        <w:tc>
          <w:tcPr>
            <w:tcW w:type="dxa" w:w="2016"/>
            <w:shd w:fill="F8FAFC"/>
            <w:tcMar>
              <w:top w:w="50" w:type="dxa"/>
              <w:bottom w:w="50" w:type="dxa"/>
              <w:left w:w="90" w:type="dxa"/>
              <w:right w:w="90" w:type="dxa"/>
            </w:tcMar>
          </w:tcPr>
          <w:p>
            <w:pPr>
              <w:jc w:val="left"/>
            </w:pPr>
            <w:r>
              <w:rPr>
                <w:rFonts w:ascii="Times New Roman" w:hAnsi="Times New Roman"/>
                <w:sz w:val="16"/>
              </w:rPr>
              <w:t>Server-Side Telemetry Logging</w:t>
            </w:r>
          </w:p>
        </w:tc>
        <w:tc>
          <w:tcPr>
            <w:tcW w:type="dxa" w:w="2016"/>
            <w:shd w:fill="F8FAFC"/>
            <w:tcMar>
              <w:top w:w="50" w:type="dxa"/>
              <w:bottom w:w="50" w:type="dxa"/>
              <w:left w:w="90" w:type="dxa"/>
              <w:right w:w="90" w:type="dxa"/>
            </w:tcMar>
          </w:tcPr>
          <w:p>
            <w:pPr>
              <w:jc w:val="left"/>
            </w:pPr>
            <w:r>
              <w:rPr>
                <w:rFonts w:ascii="Times New Roman" w:hAnsi="Times New Roman"/>
                <w:sz w:val="16"/>
              </w:rPr>
              <w:t>&gt;= 98.0% Avail; 100% Continuity</w:t>
            </w:r>
          </w:p>
        </w:tc>
      </w:tr>
      <w:tr>
        <w:tc>
          <w:tcPr>
            <w:tcW w:type="dxa" w:w="1872"/>
            <w:shd w:fill="F1F5F9"/>
            <w:tcMar>
              <w:top w:w="50" w:type="dxa"/>
              <w:bottom w:w="50" w:type="dxa"/>
              <w:left w:w="90" w:type="dxa"/>
              <w:right w:w="90" w:type="dxa"/>
            </w:tcMar>
          </w:tcPr>
          <w:p>
            <w:pPr>
              <w:jc w:val="left"/>
            </w:pPr>
            <w:r>
              <w:rPr>
                <w:rFonts w:ascii="Times New Roman" w:hAnsi="Times New Roman"/>
                <w:b/>
                <w:sz w:val="16"/>
              </w:rPr>
              <w:t>Statutory Compliance</w:t>
            </w:r>
          </w:p>
        </w:tc>
        <w:tc>
          <w:tcPr>
            <w:tcW w:type="dxa" w:w="2016"/>
            <w:shd w:fill="F1F5F9"/>
            <w:tcMar>
              <w:top w:w="50" w:type="dxa"/>
              <w:bottom w:w="50" w:type="dxa"/>
              <w:left w:w="90" w:type="dxa"/>
              <w:right w:w="90" w:type="dxa"/>
            </w:tcMar>
          </w:tcPr>
          <w:p>
            <w:pPr>
              <w:jc w:val="left"/>
            </w:pPr>
            <w:r>
              <w:rPr>
                <w:rFonts w:ascii="Times New Roman" w:hAnsi="Times New Roman"/>
                <w:b/>
                <w:sz w:val="16"/>
              </w:rPr>
              <w:t>Turnaround &amp; Citizen Satisfaction</w:t>
            </w:r>
          </w:p>
        </w:tc>
        <w:tc>
          <w:tcPr>
            <w:tcW w:type="dxa" w:w="1872"/>
            <w:shd w:fill="F1F5F9"/>
            <w:tcMar>
              <w:top w:w="50" w:type="dxa"/>
              <w:bottom w:w="50" w:type="dxa"/>
              <w:left w:w="90" w:type="dxa"/>
              <w:right w:w="90" w:type="dxa"/>
            </w:tcMar>
          </w:tcPr>
          <w:p>
            <w:pPr>
              <w:jc w:val="left"/>
            </w:pPr>
            <w:r>
              <w:rPr>
                <w:rFonts w:ascii="Times New Roman" w:hAnsi="Times New Roman"/>
                <w:b/>
                <w:sz w:val="16"/>
              </w:rPr>
              <w:t>N = 339 Pilot Tickets (n=325 closed)</w:t>
            </w:r>
          </w:p>
        </w:tc>
        <w:tc>
          <w:tcPr>
            <w:tcW w:type="dxa" w:w="2016"/>
            <w:shd w:fill="F1F5F9"/>
            <w:tcMar>
              <w:top w:w="50" w:type="dxa"/>
              <w:bottom w:w="50" w:type="dxa"/>
              <w:left w:w="90" w:type="dxa"/>
              <w:right w:w="90" w:type="dxa"/>
            </w:tcMar>
          </w:tcPr>
          <w:p>
            <w:pPr>
              <w:jc w:val="left"/>
            </w:pPr>
            <w:r>
              <w:rPr>
                <w:rFonts w:ascii="Times New Roman" w:hAnsi="Times New Roman"/>
                <w:b/>
                <w:sz w:val="16"/>
              </w:rPr>
              <w:t>Philippine ARTA CSM Instrument (CC1-3, SQD0-8)</w:t>
            </w:r>
          </w:p>
        </w:tc>
        <w:tc>
          <w:tcPr>
            <w:tcW w:type="dxa" w:w="2016"/>
            <w:shd w:fill="F1F5F9"/>
            <w:tcMar>
              <w:top w:w="50" w:type="dxa"/>
              <w:bottom w:w="50" w:type="dxa"/>
              <w:left w:w="90" w:type="dxa"/>
              <w:right w:w="90" w:type="dxa"/>
            </w:tcMar>
          </w:tcPr>
          <w:p>
            <w:pPr>
              <w:jc w:val="left"/>
            </w:pPr>
            <w:r>
              <w:rPr>
                <w:rFonts w:ascii="Times New Roman" w:hAnsi="Times New Roman"/>
                <w:b/>
                <w:sz w:val="16"/>
              </w:rPr>
              <w:t>Statutory ARTA Benchmark &gt;= 90.0% (Outstanding)</w:t>
            </w:r>
          </w:p>
        </w:tc>
      </w:tr>
    </w:tbl>
    <w:p>
      <w:pPr>
        <w:spacing w:before="0" w:after="120"/>
      </w:pPr>
    </w:p>
    <w:p>
      <w:pPr>
        <w:keepNext/>
        <w:spacing w:before="160" w:after="40"/>
      </w:pPr>
      <w:r>
        <w:rPr>
          <w:b/>
          <w:i/>
          <w:color w:val="1E293B"/>
          <w:sz w:val="20"/>
        </w:rPr>
        <w:t>Archival Baseline Sampling and Priority Assignment</w:t>
      </w:r>
    </w:p>
    <w:p>
      <w:pPr>
        <w:spacing w:before="0" w:after="100" w:line="269" w:lineRule="auto"/>
        <w:jc w:val="both"/>
      </w:pPr>
      <w:r>
        <w:rPr>
          <w:sz w:val="19"/>
        </w:rPr>
        <w:t>To evaluate operational velocity gains, archival paper requests (N = 320) were sampled from physical logbooks covering the 6-month operational cycle preceding digital deployment (November 1, 2025 to April 30, 2026). The baseline dataset comprises 128 MIS software requests and 192 ITS hardware/network service slips. Because historical paper slips recorded natural text descriptions without explicit priority levels, two technical supervisors independently reviewed and classified all 320 baseline requests into Critical, High, Medium, and Low tiers using the standard institutional service catalog taxonomy, achieving an inter-rater agreement of Cohen's kappa = 0.89.</w:t>
      </w:r>
    </w:p>
    <w:p>
      <w:pPr>
        <w:keepNext/>
        <w:spacing w:before="160" w:after="40"/>
      </w:pPr>
      <w:r>
        <w:rPr>
          <w:b/>
          <w:i/>
          <w:color w:val="1E293B"/>
          <w:sz w:val="20"/>
        </w:rPr>
        <w:t>Working Hours Definition, Data Provenance, and Clock Accounting</w:t>
      </w:r>
    </w:p>
    <w:p>
      <w:pPr>
        <w:spacing w:before="0" w:after="100" w:line="269" w:lineRule="auto"/>
        <w:jc w:val="both"/>
      </w:pPr>
      <w:r>
        <w:rPr>
          <w:sz w:val="19"/>
        </w:rPr>
        <w:t>Turnaround time for both periods is analyzed under the Philippine Civil Service Commission (CSC) schedule of 8 working hours per day (08:00–12:00 and 13:00–17:00, Monday through Friday, excluding official non-working holidays). In the digital platform, the SLA countdown timer is programmatically suspended during lunch breaks, non-working hours, weekends, and authorized ON_HOLD intervals (such as waiting for replacement parts or user diagnostics).</w:t>
        <w:br/>
        <w:br/>
        <w:t>Regarding data provenance, campus network accessibility, and temporal distributions:</w:t>
        <w:br/>
        <w:t>• Baseline Paper Logbooks (N = 320): Recorded manually by service desk student assistants and administrative clerks at the physical ICT Service Desks (Green Building, Talisay Campus). The physical service counters operate strictly during official university office hours (08:00--12:00 and 13:00--17:00, Monday through Friday; administrative offices are closed on weekends and official Philippine holidays). Historical paper slips frequently noted only the transaction date without exact minute stamps; during retrospective archival digitization into the institutional database, clerks assigned standard office-hour intake timestamps based on morning and afternoon intake batches. Requisitions accumulated over the weekend or from Friday afternoon were batched and logged on Monday morning, naturally resulting in Monday exhibiting higher recorded intake volume than other weekdays.</w:t>
        <w:br/>
        <w:t>• Digital Pilot Tickets (N = 339): Captured via the digital ITSM web portal deployed on the campus local intranet. In accordance with institutional network security policy and administrative protocols, portal ticket submission was restricted to the campus local area network (accessible from faculty office desktop PCs and campus laboratory workstations during active operational hours, Monday through Friday, 08:00--17:00). Similar to the baseline, Monday volume was highest as faculty and departmental staff reported instructional equipment, portal access, and laboratory network issues that manifested over the weekend upon powering up campus systems for the instructional week.</w:t>
        <w:br/>
        <w:t>• Sequential Identifiers and Absence of Ticket Cancellations: All 339 pilot tickets feature contiguous integer primary keys (id 1 through 339; TICK-001 through TICK-339), representing the complete, unpruned census of service requests submitted during the pilot evaluation period. No tickets were deleted or purged from the database. Furthermore, because the pilot user interface was intentionally designed without an end-user self-service ticket cancellation or retraction button (to prevent users from retracting valid pending requisitions without supervisor review), tickets remained active in the lifecycle until formally resolved or reviewed. Consequently, exactly four tickets remained in the IN_PROGRESS state at the study audit cutoff date (undergoing ongoing hardware component replacement testing), with zero tickets marked as cancelled or rejected.</w:t>
        <w:br/>
        <w:t>• Dual Clock Sensitivity Reporting: Historical paper logbooks recorded elapsed times based on an unadjusted span (08:00–17:00). For complete methodological transparency, both net statutory MTTR (deducting authorized ON_HOLD pauses) and gross continuous elapsed MTTR (without pause deductions) are evaluated. Net pilot MTTR averaged 19.79 h (SD 22.07), while gross pilot MTTR averaged 22.84 h (SD 22.47), both demonstrating substantive velocity gains over the 39.36 h baseline (Cohen's d = 0.95 net, d = 0.80 gross).</w:t>
      </w:r>
    </w:p>
    <w:p>
      <w:pPr>
        <w:keepNext/>
        <w:spacing w:before="240" w:after="60"/>
      </w:pPr>
      <w:r>
        <w:rPr>
          <w:b/>
          <w:color w:val="0F172A"/>
          <w:sz w:val="22"/>
        </w:rPr>
        <w:t>V. EMPIRICAL RESULTS AND DISCUSSION</w:t>
      </w:r>
    </w:p>
    <w:p>
      <w:pPr>
        <w:keepNext/>
        <w:spacing w:before="160" w:after="40"/>
      </w:pPr>
      <w:r>
        <w:rPr>
          <w:b/>
          <w:i/>
          <w:color w:val="1E293B"/>
          <w:sz w:val="20"/>
        </w:rPr>
        <w:t>A. Functional User Acceptance Testing (RQ1)</w:t>
      </w:r>
    </w:p>
    <w:p>
      <w:pPr>
        <w:spacing w:before="0" w:after="100" w:line="269" w:lineRule="auto"/>
        <w:jc w:val="both"/>
      </w:pPr>
      <w:r>
        <w:rPr>
          <w:sz w:val="19"/>
        </w:rPr>
        <w:t>All 64 functional scenarios passed successfully across all eight role-based access control personas (End-User: 16/16, Secretary: 8/8, Director: 8/8, MIS Head: 8/8, ITS Head: 8/8, Technical Staff: 10/10, Developer: 6/6, System Administrator: 8/8), yielding a 100.0% pass rate (exact binomial p &lt; 0.001) and confirming that the six-stage FSM reliably enforces approval hierarchies without state corruption (Table IV).</w:t>
      </w:r>
    </w:p>
    <w:p>
      <w:pPr>
        <w:keepNext/>
        <w:spacing w:before="160" w:after="80"/>
        <w:jc w:val="center"/>
      </w:pPr>
      <w:r>
        <w:rPr>
          <w:rFonts w:ascii="Times New Roman" w:hAnsi="Times New Roman"/>
          <w:b/>
          <w:sz w:val="17"/>
        </w:rPr>
        <w:t>TABLE IV</w:t>
        <w:br/>
        <w:t>ROLE-BASED FUNCTIONAL USER ACCEPTANCE TESTING RESULTS (N = 64)</w:t>
      </w:r>
    </w:p>
    <w:tbl>
      <w:tblPr>
        <w:tblW w:type="auto" w:w="0"/>
        <w:jc w:val="center"/>
        <w:tblLook w:firstColumn="1" w:firstRow="1" w:lastColumn="0" w:lastRow="0" w:noHBand="0" w:noVBand="1" w:val="04A0"/>
      </w:tblPr>
      <w:tblGrid>
        <w:gridCol w:w="2520"/>
        <w:gridCol w:w="2520"/>
        <w:gridCol w:w="2520"/>
        <w:gridCol w:w="2520"/>
      </w:tblGrid>
      <w:tr>
        <w:tc>
          <w:tcPr>
            <w:tcW w:type="dxa" w:w="2160"/>
            <w:shd w:fill="E2E8F0"/>
            <w:tcMar>
              <w:top w:w="80" w:type="dxa"/>
              <w:bottom w:w="80" w:type="dxa"/>
              <w:left w:w="100" w:type="dxa"/>
              <w:right w:w="100" w:type="dxa"/>
            </w:tcMar>
          </w:tcPr>
          <w:p>
            <w:pPr>
              <w:jc w:val="center"/>
            </w:pPr>
            <w:r>
              <w:rPr>
                <w:rFonts w:ascii="Times New Roman" w:hAnsi="Times New Roman"/>
                <w:b/>
                <w:color w:val="0F172A"/>
                <w:sz w:val="16"/>
              </w:rPr>
              <w:t>Role-Based Persona</w:t>
            </w:r>
          </w:p>
        </w:tc>
        <w:tc>
          <w:tcPr>
            <w:tcW w:type="dxa" w:w="864"/>
            <w:shd w:fill="E2E8F0"/>
            <w:tcMar>
              <w:top w:w="80" w:type="dxa"/>
              <w:bottom w:w="80" w:type="dxa"/>
              <w:left w:w="100" w:type="dxa"/>
              <w:right w:w="100" w:type="dxa"/>
            </w:tcMar>
          </w:tcPr>
          <w:p>
            <w:pPr>
              <w:jc w:val="center"/>
            </w:pPr>
            <w:r>
              <w:rPr>
                <w:rFonts w:ascii="Times New Roman" w:hAnsi="Times New Roman"/>
                <w:b/>
                <w:color w:val="0F172A"/>
                <w:sz w:val="16"/>
              </w:rPr>
              <w:t>Cases</w:t>
            </w:r>
          </w:p>
        </w:tc>
        <w:tc>
          <w:tcPr>
            <w:tcW w:type="dxa" w:w="1728"/>
            <w:shd w:fill="E2E8F0"/>
            <w:tcMar>
              <w:top w:w="80" w:type="dxa"/>
              <w:bottom w:w="80" w:type="dxa"/>
              <w:left w:w="100" w:type="dxa"/>
              <w:right w:w="100" w:type="dxa"/>
            </w:tcMar>
          </w:tcPr>
          <w:p>
            <w:pPr>
              <w:jc w:val="center"/>
            </w:pPr>
            <w:r>
              <w:rPr>
                <w:rFonts w:ascii="Times New Roman" w:hAnsi="Times New Roman"/>
                <w:b/>
                <w:color w:val="0F172A"/>
                <w:sz w:val="16"/>
              </w:rPr>
              <w:t>Pass Rate</w:t>
            </w:r>
          </w:p>
        </w:tc>
        <w:tc>
          <w:tcPr>
            <w:tcW w:type="dxa" w:w="5040"/>
            <w:shd w:fill="E2E8F0"/>
            <w:tcMar>
              <w:top w:w="80" w:type="dxa"/>
              <w:bottom w:w="80" w:type="dxa"/>
              <w:left w:w="100" w:type="dxa"/>
              <w:right w:w="100" w:type="dxa"/>
            </w:tcMar>
          </w:tcPr>
          <w:p>
            <w:pPr>
              <w:jc w:val="center"/>
            </w:pPr>
            <w:r>
              <w:rPr>
                <w:rFonts w:ascii="Times New Roman" w:hAnsi="Times New Roman"/>
                <w:b/>
                <w:color w:val="0F172A"/>
                <w:sz w:val="16"/>
              </w:rPr>
              <w:t>Verified Governance Capability</w:t>
            </w:r>
          </w:p>
        </w:tc>
      </w:tr>
      <w:tr>
        <w:tc>
          <w:tcPr>
            <w:tcW w:type="dxa" w:w="2160"/>
            <w:shd w:fill="FFFFFF"/>
            <w:tcMar>
              <w:top w:w="50" w:type="dxa"/>
              <w:bottom w:w="50" w:type="dxa"/>
              <w:left w:w="90" w:type="dxa"/>
              <w:right w:w="90" w:type="dxa"/>
            </w:tcMar>
          </w:tcPr>
          <w:p>
            <w:pPr>
              <w:jc w:val="left"/>
            </w:pPr>
            <w:r>
              <w:rPr>
                <w:rFonts w:ascii="Times New Roman" w:hAnsi="Times New Roman"/>
                <w:sz w:val="16"/>
              </w:rPr>
              <w:t>End-User Persona</w:t>
            </w:r>
          </w:p>
        </w:tc>
        <w:tc>
          <w:tcPr>
            <w:tcW w:type="dxa" w:w="864"/>
            <w:shd w:fill="FFFFFF"/>
            <w:tcMar>
              <w:top w:w="50" w:type="dxa"/>
              <w:bottom w:w="50" w:type="dxa"/>
              <w:left w:w="90" w:type="dxa"/>
              <w:right w:w="90" w:type="dxa"/>
            </w:tcMar>
          </w:tcPr>
          <w:p>
            <w:pPr>
              <w:jc w:val="center"/>
            </w:pPr>
            <w:r>
              <w:rPr>
                <w:rFonts w:ascii="Times New Roman" w:hAnsi="Times New Roman"/>
                <w:sz w:val="16"/>
              </w:rPr>
              <w:t>n = 16</w:t>
            </w:r>
          </w:p>
        </w:tc>
        <w:tc>
          <w:tcPr>
            <w:tcW w:type="dxa" w:w="1728"/>
            <w:shd w:fill="FFFFFF"/>
            <w:tcMar>
              <w:top w:w="50" w:type="dxa"/>
              <w:bottom w:w="50" w:type="dxa"/>
              <w:left w:w="90" w:type="dxa"/>
              <w:right w:w="90" w:type="dxa"/>
            </w:tcMar>
          </w:tcPr>
          <w:p>
            <w:pPr>
              <w:jc w:val="center"/>
            </w:pPr>
            <w:r>
              <w:rPr>
                <w:rFonts w:ascii="Times New Roman" w:hAnsi="Times New Roman"/>
                <w:b/>
                <w:sz w:val="16"/>
              </w:rPr>
              <w:t>100.0% (16/16)</w:t>
            </w:r>
          </w:p>
        </w:tc>
        <w:tc>
          <w:tcPr>
            <w:tcW w:type="dxa" w:w="5040"/>
            <w:shd w:fill="FFFFFF"/>
            <w:tcMar>
              <w:top w:w="50" w:type="dxa"/>
              <w:bottom w:w="50" w:type="dxa"/>
              <w:left w:w="90" w:type="dxa"/>
              <w:right w:w="90" w:type="dxa"/>
            </w:tcMar>
          </w:tcPr>
          <w:p>
            <w:pPr>
              <w:jc w:val="left"/>
            </w:pPr>
            <w:r>
              <w:rPr>
                <w:rFonts w:ascii="Times New Roman" w:hAnsi="Times New Roman"/>
                <w:sz w:val="16"/>
              </w:rPr>
              <w:t>Ticket creation, file attachments, tracking, ARTA survey</w:t>
            </w:r>
          </w:p>
        </w:tc>
      </w:tr>
      <w:tr>
        <w:tc>
          <w:tcPr>
            <w:tcW w:type="dxa" w:w="2160"/>
            <w:shd w:fill="F8FAFC"/>
            <w:tcMar>
              <w:top w:w="50" w:type="dxa"/>
              <w:bottom w:w="50" w:type="dxa"/>
              <w:left w:w="90" w:type="dxa"/>
              <w:right w:w="90" w:type="dxa"/>
            </w:tcMar>
          </w:tcPr>
          <w:p>
            <w:pPr>
              <w:jc w:val="left"/>
            </w:pPr>
            <w:r>
              <w:rPr>
                <w:rFonts w:ascii="Times New Roman" w:hAnsi="Times New Roman"/>
                <w:sz w:val="16"/>
              </w:rPr>
              <w:t>ICT Secretary Persona</w:t>
            </w:r>
          </w:p>
        </w:tc>
        <w:tc>
          <w:tcPr>
            <w:tcW w:type="dxa" w:w="864"/>
            <w:shd w:fill="F8FAFC"/>
            <w:tcMar>
              <w:top w:w="50" w:type="dxa"/>
              <w:bottom w:w="50" w:type="dxa"/>
              <w:left w:w="90" w:type="dxa"/>
              <w:right w:w="90" w:type="dxa"/>
            </w:tcMar>
          </w:tcPr>
          <w:p>
            <w:pPr>
              <w:jc w:val="center"/>
            </w:pPr>
            <w:r>
              <w:rPr>
                <w:rFonts w:ascii="Times New Roman" w:hAnsi="Times New Roman"/>
                <w:sz w:val="16"/>
              </w:rPr>
              <w:t>n = 8</w:t>
            </w:r>
          </w:p>
        </w:tc>
        <w:tc>
          <w:tcPr>
            <w:tcW w:type="dxa" w:w="1728"/>
            <w:shd w:fill="F8FAFC"/>
            <w:tcMar>
              <w:top w:w="50" w:type="dxa"/>
              <w:bottom w:w="50" w:type="dxa"/>
              <w:left w:w="90" w:type="dxa"/>
              <w:right w:w="90" w:type="dxa"/>
            </w:tcMar>
          </w:tcPr>
          <w:p>
            <w:pPr>
              <w:jc w:val="center"/>
            </w:pPr>
            <w:r>
              <w:rPr>
                <w:rFonts w:ascii="Times New Roman" w:hAnsi="Times New Roman"/>
                <w:b/>
                <w:sz w:val="16"/>
              </w:rPr>
              <w:t>100.0% (8/8)</w:t>
            </w:r>
          </w:p>
        </w:tc>
        <w:tc>
          <w:tcPr>
            <w:tcW w:type="dxa" w:w="5040"/>
            <w:shd w:fill="F8FAFC"/>
            <w:tcMar>
              <w:top w:w="50" w:type="dxa"/>
              <w:bottom w:w="50" w:type="dxa"/>
              <w:left w:w="90" w:type="dxa"/>
              <w:right w:w="90" w:type="dxa"/>
            </w:tcMar>
          </w:tcPr>
          <w:p>
            <w:pPr>
              <w:jc w:val="left"/>
            </w:pPr>
            <w:r>
              <w:rPr>
                <w:rFonts w:ascii="Times New Roman" w:hAnsi="Times New Roman"/>
                <w:sz w:val="16"/>
              </w:rPr>
              <w:t>Initial triage, data verification, administrative rejection</w:t>
            </w:r>
          </w:p>
        </w:tc>
      </w:tr>
      <w:tr>
        <w:tc>
          <w:tcPr>
            <w:tcW w:type="dxa" w:w="2160"/>
            <w:shd w:fill="FFFFFF"/>
            <w:tcMar>
              <w:top w:w="50" w:type="dxa"/>
              <w:bottom w:w="50" w:type="dxa"/>
              <w:left w:w="90" w:type="dxa"/>
              <w:right w:w="90" w:type="dxa"/>
            </w:tcMar>
          </w:tcPr>
          <w:p>
            <w:pPr>
              <w:jc w:val="left"/>
            </w:pPr>
            <w:r>
              <w:rPr>
                <w:rFonts w:ascii="Times New Roman" w:hAnsi="Times New Roman"/>
                <w:sz w:val="16"/>
              </w:rPr>
              <w:t>ICT Director Persona</w:t>
            </w:r>
          </w:p>
        </w:tc>
        <w:tc>
          <w:tcPr>
            <w:tcW w:type="dxa" w:w="864"/>
            <w:shd w:fill="FFFFFF"/>
            <w:tcMar>
              <w:top w:w="50" w:type="dxa"/>
              <w:bottom w:w="50" w:type="dxa"/>
              <w:left w:w="90" w:type="dxa"/>
              <w:right w:w="90" w:type="dxa"/>
            </w:tcMar>
          </w:tcPr>
          <w:p>
            <w:pPr>
              <w:jc w:val="center"/>
            </w:pPr>
            <w:r>
              <w:rPr>
                <w:rFonts w:ascii="Times New Roman" w:hAnsi="Times New Roman"/>
                <w:sz w:val="16"/>
              </w:rPr>
              <w:t>n = 8</w:t>
            </w:r>
          </w:p>
        </w:tc>
        <w:tc>
          <w:tcPr>
            <w:tcW w:type="dxa" w:w="1728"/>
            <w:shd w:fill="FFFFFF"/>
            <w:tcMar>
              <w:top w:w="50" w:type="dxa"/>
              <w:bottom w:w="50" w:type="dxa"/>
              <w:left w:w="90" w:type="dxa"/>
              <w:right w:w="90" w:type="dxa"/>
            </w:tcMar>
          </w:tcPr>
          <w:p>
            <w:pPr>
              <w:jc w:val="center"/>
            </w:pPr>
            <w:r>
              <w:rPr>
                <w:rFonts w:ascii="Times New Roman" w:hAnsi="Times New Roman"/>
                <w:b/>
                <w:sz w:val="16"/>
              </w:rPr>
              <w:t>100.0% (8/8)</w:t>
            </w:r>
          </w:p>
        </w:tc>
        <w:tc>
          <w:tcPr>
            <w:tcW w:type="dxa" w:w="5040"/>
            <w:shd w:fill="FFFFFF"/>
            <w:tcMar>
              <w:top w:w="50" w:type="dxa"/>
              <w:bottom w:w="50" w:type="dxa"/>
              <w:left w:w="90" w:type="dxa"/>
              <w:right w:w="90" w:type="dxa"/>
            </w:tcMar>
          </w:tcPr>
          <w:p>
            <w:pPr>
              <w:jc w:val="left"/>
            </w:pPr>
            <w:r>
              <w:rPr>
                <w:rFonts w:ascii="Times New Roman" w:hAnsi="Times New Roman"/>
                <w:sz w:val="16"/>
              </w:rPr>
              <w:t>Executive authorization, re-routing, SLA breach audit</w:t>
            </w:r>
          </w:p>
        </w:tc>
      </w:tr>
      <w:tr>
        <w:tc>
          <w:tcPr>
            <w:tcW w:type="dxa" w:w="2160"/>
            <w:shd w:fill="F8FAFC"/>
            <w:tcMar>
              <w:top w:w="50" w:type="dxa"/>
              <w:bottom w:w="50" w:type="dxa"/>
              <w:left w:w="90" w:type="dxa"/>
              <w:right w:w="90" w:type="dxa"/>
            </w:tcMar>
          </w:tcPr>
          <w:p>
            <w:pPr>
              <w:jc w:val="left"/>
            </w:pPr>
            <w:r>
              <w:rPr>
                <w:rFonts w:ascii="Times New Roman" w:hAnsi="Times New Roman"/>
                <w:sz w:val="16"/>
              </w:rPr>
              <w:t>MIS Department Head</w:t>
            </w:r>
          </w:p>
        </w:tc>
        <w:tc>
          <w:tcPr>
            <w:tcW w:type="dxa" w:w="864"/>
            <w:shd w:fill="F8FAFC"/>
            <w:tcMar>
              <w:top w:w="50" w:type="dxa"/>
              <w:bottom w:w="50" w:type="dxa"/>
              <w:left w:w="90" w:type="dxa"/>
              <w:right w:w="90" w:type="dxa"/>
            </w:tcMar>
          </w:tcPr>
          <w:p>
            <w:pPr>
              <w:jc w:val="center"/>
            </w:pPr>
            <w:r>
              <w:rPr>
                <w:rFonts w:ascii="Times New Roman" w:hAnsi="Times New Roman"/>
                <w:sz w:val="16"/>
              </w:rPr>
              <w:t>n = 8</w:t>
            </w:r>
          </w:p>
        </w:tc>
        <w:tc>
          <w:tcPr>
            <w:tcW w:type="dxa" w:w="1728"/>
            <w:shd w:fill="F8FAFC"/>
            <w:tcMar>
              <w:top w:w="50" w:type="dxa"/>
              <w:bottom w:w="50" w:type="dxa"/>
              <w:left w:w="90" w:type="dxa"/>
              <w:right w:w="90" w:type="dxa"/>
            </w:tcMar>
          </w:tcPr>
          <w:p>
            <w:pPr>
              <w:jc w:val="center"/>
            </w:pPr>
            <w:r>
              <w:rPr>
                <w:rFonts w:ascii="Times New Roman" w:hAnsi="Times New Roman"/>
                <w:b/>
                <w:sz w:val="16"/>
              </w:rPr>
              <w:t>100.0% (8/8)</w:t>
            </w:r>
          </w:p>
        </w:tc>
        <w:tc>
          <w:tcPr>
            <w:tcW w:type="dxa" w:w="5040"/>
            <w:shd w:fill="F8FAFC"/>
            <w:tcMar>
              <w:top w:w="50" w:type="dxa"/>
              <w:bottom w:w="50" w:type="dxa"/>
              <w:left w:w="90" w:type="dxa"/>
              <w:right w:w="90" w:type="dxa"/>
            </w:tcMar>
          </w:tcPr>
          <w:p>
            <w:pPr>
              <w:jc w:val="left"/>
            </w:pPr>
            <w:r>
              <w:rPr>
                <w:rFonts w:ascii="Times New Roman" w:hAnsi="Times New Roman"/>
                <w:sz w:val="16"/>
              </w:rPr>
              <w:t>Software queue, skill assignment, solution vector audit</w:t>
            </w:r>
          </w:p>
        </w:tc>
      </w:tr>
      <w:tr>
        <w:tc>
          <w:tcPr>
            <w:tcW w:type="dxa" w:w="2160"/>
            <w:shd w:fill="FFFFFF"/>
            <w:tcMar>
              <w:top w:w="50" w:type="dxa"/>
              <w:bottom w:w="50" w:type="dxa"/>
              <w:left w:w="90" w:type="dxa"/>
              <w:right w:w="90" w:type="dxa"/>
            </w:tcMar>
          </w:tcPr>
          <w:p>
            <w:pPr>
              <w:jc w:val="left"/>
            </w:pPr>
            <w:r>
              <w:rPr>
                <w:rFonts w:ascii="Times New Roman" w:hAnsi="Times New Roman"/>
                <w:sz w:val="16"/>
              </w:rPr>
              <w:t>ITS Department Head</w:t>
            </w:r>
          </w:p>
        </w:tc>
        <w:tc>
          <w:tcPr>
            <w:tcW w:type="dxa" w:w="864"/>
            <w:shd w:fill="FFFFFF"/>
            <w:tcMar>
              <w:top w:w="50" w:type="dxa"/>
              <w:bottom w:w="50" w:type="dxa"/>
              <w:left w:w="90" w:type="dxa"/>
              <w:right w:w="90" w:type="dxa"/>
            </w:tcMar>
          </w:tcPr>
          <w:p>
            <w:pPr>
              <w:jc w:val="center"/>
            </w:pPr>
            <w:r>
              <w:rPr>
                <w:rFonts w:ascii="Times New Roman" w:hAnsi="Times New Roman"/>
                <w:sz w:val="16"/>
              </w:rPr>
              <w:t>n = 8</w:t>
            </w:r>
          </w:p>
        </w:tc>
        <w:tc>
          <w:tcPr>
            <w:tcW w:type="dxa" w:w="1728"/>
            <w:shd w:fill="FFFFFF"/>
            <w:tcMar>
              <w:top w:w="50" w:type="dxa"/>
              <w:bottom w:w="50" w:type="dxa"/>
              <w:left w:w="90" w:type="dxa"/>
              <w:right w:w="90" w:type="dxa"/>
            </w:tcMar>
          </w:tcPr>
          <w:p>
            <w:pPr>
              <w:jc w:val="center"/>
            </w:pPr>
            <w:r>
              <w:rPr>
                <w:rFonts w:ascii="Times New Roman" w:hAnsi="Times New Roman"/>
                <w:b/>
                <w:sz w:val="16"/>
              </w:rPr>
              <w:t>100.0% (8/8)</w:t>
            </w:r>
          </w:p>
        </w:tc>
        <w:tc>
          <w:tcPr>
            <w:tcW w:type="dxa" w:w="5040"/>
            <w:shd w:fill="FFFFFF"/>
            <w:tcMar>
              <w:top w:w="50" w:type="dxa"/>
              <w:bottom w:w="50" w:type="dxa"/>
              <w:left w:w="90" w:type="dxa"/>
              <w:right w:w="90" w:type="dxa"/>
            </w:tcMar>
          </w:tcPr>
          <w:p>
            <w:pPr>
              <w:jc w:val="left"/>
            </w:pPr>
            <w:r>
              <w:rPr>
                <w:rFonts w:ascii="Times New Roman" w:hAnsi="Times New Roman"/>
                <w:sz w:val="16"/>
              </w:rPr>
              <w:t>Hardware queue, borrow approvals, technician workload</w:t>
            </w:r>
          </w:p>
        </w:tc>
      </w:tr>
      <w:tr>
        <w:tc>
          <w:tcPr>
            <w:tcW w:type="dxa" w:w="2160"/>
            <w:shd w:fill="F8FAFC"/>
            <w:tcMar>
              <w:top w:w="50" w:type="dxa"/>
              <w:bottom w:w="50" w:type="dxa"/>
              <w:left w:w="90" w:type="dxa"/>
              <w:right w:w="90" w:type="dxa"/>
            </w:tcMar>
          </w:tcPr>
          <w:p>
            <w:pPr>
              <w:jc w:val="left"/>
            </w:pPr>
            <w:r>
              <w:rPr>
                <w:rFonts w:ascii="Times New Roman" w:hAnsi="Times New Roman"/>
                <w:sz w:val="16"/>
              </w:rPr>
              <w:t>Technical Staff Persona</w:t>
            </w:r>
          </w:p>
        </w:tc>
        <w:tc>
          <w:tcPr>
            <w:tcW w:type="dxa" w:w="864"/>
            <w:shd w:fill="F8FAFC"/>
            <w:tcMar>
              <w:top w:w="50" w:type="dxa"/>
              <w:bottom w:w="50" w:type="dxa"/>
              <w:left w:w="90" w:type="dxa"/>
              <w:right w:w="90" w:type="dxa"/>
            </w:tcMar>
          </w:tcPr>
          <w:p>
            <w:pPr>
              <w:jc w:val="center"/>
            </w:pPr>
            <w:r>
              <w:rPr>
                <w:rFonts w:ascii="Times New Roman" w:hAnsi="Times New Roman"/>
                <w:sz w:val="16"/>
              </w:rPr>
              <w:t>n = 10</w:t>
            </w:r>
          </w:p>
        </w:tc>
        <w:tc>
          <w:tcPr>
            <w:tcW w:type="dxa" w:w="1728"/>
            <w:shd w:fill="F8FAFC"/>
            <w:tcMar>
              <w:top w:w="50" w:type="dxa"/>
              <w:bottom w:w="50" w:type="dxa"/>
              <w:left w:w="90" w:type="dxa"/>
              <w:right w:w="90" w:type="dxa"/>
            </w:tcMar>
          </w:tcPr>
          <w:p>
            <w:pPr>
              <w:jc w:val="center"/>
            </w:pPr>
            <w:r>
              <w:rPr>
                <w:rFonts w:ascii="Times New Roman" w:hAnsi="Times New Roman"/>
                <w:b/>
                <w:sz w:val="16"/>
              </w:rPr>
              <w:t>100.0% (10/10)</w:t>
            </w:r>
          </w:p>
        </w:tc>
        <w:tc>
          <w:tcPr>
            <w:tcW w:type="dxa" w:w="5040"/>
            <w:shd w:fill="F8FAFC"/>
            <w:tcMar>
              <w:top w:w="50" w:type="dxa"/>
              <w:bottom w:w="50" w:type="dxa"/>
              <w:left w:w="90" w:type="dxa"/>
              <w:right w:w="90" w:type="dxa"/>
            </w:tcMar>
          </w:tcPr>
          <w:p>
            <w:pPr>
              <w:jc w:val="left"/>
            </w:pPr>
            <w:r>
              <w:rPr>
                <w:rFonts w:ascii="Times New Roman" w:hAnsi="Times New Roman"/>
                <w:sz w:val="16"/>
              </w:rPr>
              <w:t>Diagnostic note entry, ON_HOLD toggle, task sign-off</w:t>
            </w:r>
          </w:p>
        </w:tc>
      </w:tr>
      <w:tr>
        <w:tc>
          <w:tcPr>
            <w:tcW w:type="dxa" w:w="2160"/>
            <w:shd w:fill="FFFFFF"/>
            <w:tcMar>
              <w:top w:w="50" w:type="dxa"/>
              <w:bottom w:w="50" w:type="dxa"/>
              <w:left w:w="90" w:type="dxa"/>
              <w:right w:w="90" w:type="dxa"/>
            </w:tcMar>
          </w:tcPr>
          <w:p>
            <w:pPr>
              <w:jc w:val="left"/>
            </w:pPr>
            <w:r>
              <w:rPr>
                <w:rFonts w:ascii="Times New Roman" w:hAnsi="Times New Roman"/>
                <w:sz w:val="16"/>
              </w:rPr>
              <w:t>Developer Persona</w:t>
            </w:r>
          </w:p>
        </w:tc>
        <w:tc>
          <w:tcPr>
            <w:tcW w:type="dxa" w:w="864"/>
            <w:shd w:fill="FFFFFF"/>
            <w:tcMar>
              <w:top w:w="50" w:type="dxa"/>
              <w:bottom w:w="50" w:type="dxa"/>
              <w:left w:w="90" w:type="dxa"/>
              <w:right w:w="90" w:type="dxa"/>
            </w:tcMar>
          </w:tcPr>
          <w:p>
            <w:pPr>
              <w:jc w:val="center"/>
            </w:pPr>
            <w:r>
              <w:rPr>
                <w:rFonts w:ascii="Times New Roman" w:hAnsi="Times New Roman"/>
                <w:sz w:val="16"/>
              </w:rPr>
              <w:t>n = 6</w:t>
            </w:r>
          </w:p>
        </w:tc>
        <w:tc>
          <w:tcPr>
            <w:tcW w:type="dxa" w:w="1728"/>
            <w:shd w:fill="FFFFFF"/>
            <w:tcMar>
              <w:top w:w="50" w:type="dxa"/>
              <w:bottom w:w="50" w:type="dxa"/>
              <w:left w:w="90" w:type="dxa"/>
              <w:right w:w="90" w:type="dxa"/>
            </w:tcMar>
          </w:tcPr>
          <w:p>
            <w:pPr>
              <w:jc w:val="center"/>
            </w:pPr>
            <w:r>
              <w:rPr>
                <w:rFonts w:ascii="Times New Roman" w:hAnsi="Times New Roman"/>
                <w:b/>
                <w:sz w:val="16"/>
              </w:rPr>
              <w:t>100.0% (6/6)</w:t>
            </w:r>
          </w:p>
        </w:tc>
        <w:tc>
          <w:tcPr>
            <w:tcW w:type="dxa" w:w="5040"/>
            <w:shd w:fill="FFFFFF"/>
            <w:tcMar>
              <w:top w:w="50" w:type="dxa"/>
              <w:bottom w:w="50" w:type="dxa"/>
              <w:left w:w="90" w:type="dxa"/>
              <w:right w:w="90" w:type="dxa"/>
            </w:tcMar>
          </w:tcPr>
          <w:p>
            <w:pPr>
              <w:jc w:val="left"/>
            </w:pPr>
            <w:r>
              <w:rPr>
                <w:rFonts w:ascii="Times New Roman" w:hAnsi="Times New Roman"/>
                <w:sz w:val="16"/>
              </w:rPr>
              <w:t>Bug fix notes, issue linking, module deployment</w:t>
            </w:r>
          </w:p>
        </w:tc>
      </w:tr>
      <w:tr>
        <w:tc>
          <w:tcPr>
            <w:tcW w:type="dxa" w:w="2160"/>
            <w:shd w:fill="F8FAFC"/>
            <w:tcMar>
              <w:top w:w="50" w:type="dxa"/>
              <w:bottom w:w="50" w:type="dxa"/>
              <w:left w:w="90" w:type="dxa"/>
              <w:right w:w="90" w:type="dxa"/>
            </w:tcMar>
          </w:tcPr>
          <w:p>
            <w:pPr>
              <w:jc w:val="left"/>
            </w:pPr>
            <w:r>
              <w:rPr>
                <w:rFonts w:ascii="Times New Roman" w:hAnsi="Times New Roman"/>
                <w:sz w:val="16"/>
              </w:rPr>
              <w:t>System Administrator</w:t>
            </w:r>
          </w:p>
        </w:tc>
        <w:tc>
          <w:tcPr>
            <w:tcW w:type="dxa" w:w="864"/>
            <w:shd w:fill="F8FAFC"/>
            <w:tcMar>
              <w:top w:w="50" w:type="dxa"/>
              <w:bottom w:w="50" w:type="dxa"/>
              <w:left w:w="90" w:type="dxa"/>
              <w:right w:w="90" w:type="dxa"/>
            </w:tcMar>
          </w:tcPr>
          <w:p>
            <w:pPr>
              <w:jc w:val="center"/>
            </w:pPr>
            <w:r>
              <w:rPr>
                <w:rFonts w:ascii="Times New Roman" w:hAnsi="Times New Roman"/>
                <w:sz w:val="16"/>
              </w:rPr>
              <w:t>n = 8</w:t>
            </w:r>
          </w:p>
        </w:tc>
        <w:tc>
          <w:tcPr>
            <w:tcW w:type="dxa" w:w="1728"/>
            <w:shd w:fill="F8FAFC"/>
            <w:tcMar>
              <w:top w:w="50" w:type="dxa"/>
              <w:bottom w:w="50" w:type="dxa"/>
              <w:left w:w="90" w:type="dxa"/>
              <w:right w:w="90" w:type="dxa"/>
            </w:tcMar>
          </w:tcPr>
          <w:p>
            <w:pPr>
              <w:jc w:val="center"/>
            </w:pPr>
            <w:r>
              <w:rPr>
                <w:rFonts w:ascii="Times New Roman" w:hAnsi="Times New Roman"/>
                <w:b/>
                <w:sz w:val="16"/>
              </w:rPr>
              <w:t>100.0% (8/8)</w:t>
            </w:r>
          </w:p>
        </w:tc>
        <w:tc>
          <w:tcPr>
            <w:tcW w:type="dxa" w:w="5040"/>
            <w:shd w:fill="F8FAFC"/>
            <w:tcMar>
              <w:top w:w="50" w:type="dxa"/>
              <w:bottom w:w="50" w:type="dxa"/>
              <w:left w:w="90" w:type="dxa"/>
              <w:right w:w="90" w:type="dxa"/>
            </w:tcMar>
          </w:tcPr>
          <w:p>
            <w:pPr>
              <w:jc w:val="left"/>
            </w:pPr>
            <w:r>
              <w:rPr>
                <w:rFonts w:ascii="Times New Roman" w:hAnsi="Times New Roman"/>
                <w:sz w:val="16"/>
              </w:rPr>
              <w:t>RBAC role config, SLA threshold setup, audit trail</w:t>
            </w:r>
          </w:p>
        </w:tc>
      </w:tr>
      <w:tr>
        <w:tc>
          <w:tcPr>
            <w:tcW w:type="dxa" w:w="2160"/>
            <w:shd w:fill="F1F5F9"/>
            <w:tcMar>
              <w:top w:w="50" w:type="dxa"/>
              <w:bottom w:w="50" w:type="dxa"/>
              <w:left w:w="90" w:type="dxa"/>
              <w:right w:w="90" w:type="dxa"/>
            </w:tcMar>
          </w:tcPr>
          <w:p>
            <w:pPr>
              <w:jc w:val="left"/>
            </w:pPr>
            <w:r>
              <w:rPr>
                <w:rFonts w:ascii="Times New Roman" w:hAnsi="Times New Roman"/>
                <w:b/>
                <w:sz w:val="16"/>
              </w:rPr>
              <w:t>Overall Functional UAT</w:t>
            </w:r>
          </w:p>
        </w:tc>
        <w:tc>
          <w:tcPr>
            <w:tcW w:type="dxa" w:w="864"/>
            <w:shd w:fill="F1F5F9"/>
            <w:tcMar>
              <w:top w:w="50" w:type="dxa"/>
              <w:bottom w:w="50" w:type="dxa"/>
              <w:left w:w="90" w:type="dxa"/>
              <w:right w:w="90" w:type="dxa"/>
            </w:tcMar>
          </w:tcPr>
          <w:p>
            <w:pPr>
              <w:jc w:val="center"/>
            </w:pPr>
            <w:r>
              <w:rPr>
                <w:rFonts w:ascii="Times New Roman" w:hAnsi="Times New Roman"/>
                <w:b/>
                <w:sz w:val="16"/>
              </w:rPr>
              <w:t>N = 64</w:t>
            </w:r>
          </w:p>
        </w:tc>
        <w:tc>
          <w:tcPr>
            <w:tcW w:type="dxa" w:w="1728"/>
            <w:shd w:fill="F1F5F9"/>
            <w:tcMar>
              <w:top w:w="50" w:type="dxa"/>
              <w:bottom w:w="50" w:type="dxa"/>
              <w:left w:w="90" w:type="dxa"/>
              <w:right w:w="90" w:type="dxa"/>
            </w:tcMar>
          </w:tcPr>
          <w:p>
            <w:pPr>
              <w:jc w:val="center"/>
            </w:pPr>
            <w:r>
              <w:rPr>
                <w:rFonts w:ascii="Times New Roman" w:hAnsi="Times New Roman"/>
                <w:b/>
                <w:sz w:val="16"/>
              </w:rPr>
              <w:t>100.0% (64/64)</w:t>
            </w:r>
          </w:p>
        </w:tc>
        <w:tc>
          <w:tcPr>
            <w:tcW w:type="dxa" w:w="5040"/>
            <w:shd w:fill="F1F5F9"/>
            <w:tcMar>
              <w:top w:w="50" w:type="dxa"/>
              <w:bottom w:w="50" w:type="dxa"/>
              <w:left w:w="90" w:type="dxa"/>
              <w:right w:w="90" w:type="dxa"/>
            </w:tcMar>
          </w:tcPr>
          <w:p>
            <w:pPr>
              <w:jc w:val="left"/>
            </w:pPr>
            <w:r>
              <w:rPr>
                <w:rFonts w:ascii="Times New Roman" w:hAnsi="Times New Roman"/>
                <w:b/>
                <w:sz w:val="16"/>
              </w:rPr>
              <w:t>Exact binomial p &lt; 0.001; Zero critical defects</w:t>
            </w:r>
          </w:p>
        </w:tc>
      </w:tr>
    </w:tbl>
    <w:p>
      <w:pPr>
        <w:spacing w:before="0" w:after="120"/>
      </w:pPr>
    </w:p>
    <w:p>
      <w:pPr>
        <w:keepNext/>
        <w:spacing w:before="160" w:after="40"/>
      </w:pPr>
      <w:r>
        <w:rPr>
          <w:b/>
          <w:i/>
          <w:color w:val="1E293B"/>
          <w:sz w:val="20"/>
        </w:rPr>
        <w:t>B. Hybrid RAG Ablation Benchmark and Provenance Gating (RQ2)</w:t>
      </w:r>
    </w:p>
    <w:p>
      <w:pPr>
        <w:spacing w:before="0" w:after="100" w:line="269" w:lineRule="auto"/>
        <w:jc w:val="both"/>
      </w:pPr>
      <w:r>
        <w:rPr>
          <w:sz w:val="19"/>
        </w:rPr>
        <w:t>Addressing RQ2, standalone LLMs (Arm 1) hallucinated on 54.00% of queries, while unconstrained RAG without provenance gating (Arm 2) yielded a 26.00% hallucination rate by importing policies from external websites. Lexical search suffered from vocabulary mismatch (Arm 3a: P@5 = 0.42; Arm 3c: P@5 = 0.51). Dense vector search alone (Arm 4) achieved R@5 = 0.81. The proposed hybrid fusion with provenance gating (Arm 5) achieved the highest retrieval quality (P@5 = 0.86, R@5 = 0.92, MRR = 0.89), raising answer faithfulness to 95.00% and suppressing hallucinations to 2.00% (95% CI [0.55%, 7.00%]). Crucially, provenance routing blocked 95.00% (19/20) of unanswerable queries from web fabrication, converting them into pre-populated ticket payloads. Department head audit of N = 280 auto-extracted troubleshooting pairs approved 88.21% (247/280) as usable, validating closed-loop knowledge externalization (RQ3).</w:t>
      </w:r>
    </w:p>
    <w:p>
      <w:pPr>
        <w:keepNext/>
        <w:spacing w:before="120" w:after="60"/>
        <w:jc w:val="center"/>
      </w:pPr>
    </w:p>
    <w:p>
      <w:r>
        <w:drawing>
          <wp:inline xmlns:a="http://schemas.openxmlformats.org/drawingml/2006/main" xmlns:pic="http://schemas.openxmlformats.org/drawingml/2006/picture">
            <wp:extent cx="6035040" cy="3463347"/>
            <wp:docPr id="4" name="Picture 4"/>
            <wp:cNvGraphicFramePr>
              <a:graphicFrameLocks noChangeAspect="1"/>
            </wp:cNvGraphicFramePr>
            <a:graphic>
              <a:graphicData uri="http://schemas.openxmlformats.org/drawingml/2006/picture">
                <pic:pic>
                  <pic:nvPicPr>
                    <pic:cNvPr id="0" name="fig4_rag_ablation_benchmarks.png"/>
                    <pic:cNvPicPr/>
                  </pic:nvPicPr>
                  <pic:blipFill>
                    <a:blip r:embed="rId12"/>
                    <a:stretch>
                      <a:fillRect/>
                    </a:stretch>
                  </pic:blipFill>
                  <pic:spPr>
                    <a:xfrm>
                      <a:off x="0" y="0"/>
                      <a:ext cx="6035040" cy="3463347"/>
                    </a:xfrm>
                    <a:prstGeom prst="rect"/>
                  </pic:spPr>
                </pic:pic>
              </a:graphicData>
            </a:graphic>
          </wp:inline>
        </w:drawing>
      </w:r>
    </w:p>
    <w:p>
      <w:pPr>
        <w:spacing w:before="40" w:after="160"/>
        <w:jc w:val="center"/>
      </w:pPr>
      <w:r>
        <w:rPr>
          <w:i/>
          <w:color w:val="334155"/>
          <w:sz w:val="17"/>
        </w:rPr>
        <w:t>Fig. 4. Empirical Performance Benchmarking Across Seven RAG Experimental Ablation Arms (N = 100).</w:t>
      </w:r>
    </w:p>
    <w:p>
      <w:pPr>
        <w:keepNext/>
        <w:spacing w:before="160" w:after="80"/>
        <w:jc w:val="center"/>
      </w:pPr>
      <w:r>
        <w:rPr>
          <w:rFonts w:ascii="Times New Roman" w:hAnsi="Times New Roman"/>
          <w:b/>
          <w:sz w:val="17"/>
        </w:rPr>
        <w:t>TABLE V</w:t>
        <w:br/>
        <w:t>CONTROLLED RAG ABLATION BENCHMARK ON UNIFIED LABELED CORPUS (N = 100)</w:t>
      </w:r>
    </w:p>
    <w:tbl>
      <w:tblPr>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3024"/>
            <w:shd w:fill="E2E8F0"/>
            <w:tcMar>
              <w:top w:w="80" w:type="dxa"/>
              <w:bottom w:w="80" w:type="dxa"/>
              <w:left w:w="100" w:type="dxa"/>
              <w:right w:w="100" w:type="dxa"/>
            </w:tcMar>
          </w:tcPr>
          <w:p>
            <w:pPr>
              <w:jc w:val="center"/>
            </w:pPr>
            <w:r>
              <w:rPr>
                <w:rFonts w:ascii="Times New Roman" w:hAnsi="Times New Roman"/>
                <w:b/>
                <w:color w:val="0F172A"/>
                <w:sz w:val="16"/>
              </w:rPr>
              <w:t>Experimental Arm / Configuration</w:t>
            </w:r>
          </w:p>
        </w:tc>
        <w:tc>
          <w:tcPr>
            <w:tcW w:type="dxa" w:w="720"/>
            <w:shd w:fill="E2E8F0"/>
            <w:tcMar>
              <w:top w:w="80" w:type="dxa"/>
              <w:bottom w:w="80" w:type="dxa"/>
              <w:left w:w="100" w:type="dxa"/>
              <w:right w:w="100" w:type="dxa"/>
            </w:tcMar>
          </w:tcPr>
          <w:p>
            <w:pPr>
              <w:jc w:val="center"/>
            </w:pPr>
            <w:r>
              <w:rPr>
                <w:rFonts w:ascii="Times New Roman" w:hAnsi="Times New Roman"/>
                <w:b/>
                <w:color w:val="0F172A"/>
                <w:sz w:val="16"/>
              </w:rPr>
              <w:t>P@5</w:t>
            </w:r>
          </w:p>
        </w:tc>
        <w:tc>
          <w:tcPr>
            <w:tcW w:type="dxa" w:w="720"/>
            <w:shd w:fill="E2E8F0"/>
            <w:tcMar>
              <w:top w:w="80" w:type="dxa"/>
              <w:bottom w:w="80" w:type="dxa"/>
              <w:left w:w="100" w:type="dxa"/>
              <w:right w:w="100" w:type="dxa"/>
            </w:tcMar>
          </w:tcPr>
          <w:p>
            <w:pPr>
              <w:jc w:val="center"/>
            </w:pPr>
            <w:r>
              <w:rPr>
                <w:rFonts w:ascii="Times New Roman" w:hAnsi="Times New Roman"/>
                <w:b/>
                <w:color w:val="0F172A"/>
                <w:sz w:val="16"/>
              </w:rPr>
              <w:t>R@5</w:t>
            </w:r>
          </w:p>
        </w:tc>
        <w:tc>
          <w:tcPr>
            <w:tcW w:type="dxa" w:w="720"/>
            <w:shd w:fill="E2E8F0"/>
            <w:tcMar>
              <w:top w:w="80" w:type="dxa"/>
              <w:bottom w:w="80" w:type="dxa"/>
              <w:left w:w="100" w:type="dxa"/>
              <w:right w:w="100" w:type="dxa"/>
            </w:tcMar>
          </w:tcPr>
          <w:p>
            <w:pPr>
              <w:jc w:val="center"/>
            </w:pPr>
            <w:r>
              <w:rPr>
                <w:rFonts w:ascii="Times New Roman" w:hAnsi="Times New Roman"/>
                <w:b/>
                <w:color w:val="0F172A"/>
                <w:sz w:val="16"/>
              </w:rPr>
              <w:t>MRR</w:t>
            </w:r>
          </w:p>
        </w:tc>
        <w:tc>
          <w:tcPr>
            <w:tcW w:type="dxa" w:w="1584"/>
            <w:shd w:fill="E2E8F0"/>
            <w:tcMar>
              <w:top w:w="80" w:type="dxa"/>
              <w:bottom w:w="80" w:type="dxa"/>
              <w:left w:w="100" w:type="dxa"/>
              <w:right w:w="100" w:type="dxa"/>
            </w:tcMar>
          </w:tcPr>
          <w:p>
            <w:pPr>
              <w:jc w:val="center"/>
            </w:pPr>
            <w:r>
              <w:rPr>
                <w:rFonts w:ascii="Times New Roman" w:hAnsi="Times New Roman"/>
                <w:b/>
                <w:color w:val="0F172A"/>
                <w:sz w:val="16"/>
              </w:rPr>
              <w:t>Faithfulness (%) [95% CI]</w:t>
            </w:r>
          </w:p>
        </w:tc>
        <w:tc>
          <w:tcPr>
            <w:tcW w:type="dxa" w:w="1440"/>
            <w:shd w:fill="E2E8F0"/>
            <w:tcMar>
              <w:top w:w="80" w:type="dxa"/>
              <w:bottom w:w="80" w:type="dxa"/>
              <w:left w:w="100" w:type="dxa"/>
              <w:right w:w="100" w:type="dxa"/>
            </w:tcMar>
          </w:tcPr>
          <w:p>
            <w:pPr>
              <w:jc w:val="center"/>
            </w:pPr>
            <w:r>
              <w:rPr>
                <w:rFonts w:ascii="Times New Roman" w:hAnsi="Times New Roman"/>
                <w:b/>
                <w:color w:val="0F172A"/>
                <w:sz w:val="16"/>
              </w:rPr>
              <w:t>Hallucination (%) [95% CI]</w:t>
            </w:r>
          </w:p>
        </w:tc>
        <w:tc>
          <w:tcPr>
            <w:tcW w:type="dxa" w:w="1584"/>
            <w:shd w:fill="E2E8F0"/>
            <w:tcMar>
              <w:top w:w="80" w:type="dxa"/>
              <w:bottom w:w="80" w:type="dxa"/>
              <w:left w:w="100" w:type="dxa"/>
              <w:right w:w="100" w:type="dxa"/>
            </w:tcMar>
          </w:tcPr>
          <w:p>
            <w:pPr>
              <w:jc w:val="center"/>
            </w:pPr>
            <w:r>
              <w:rPr>
                <w:rFonts w:ascii="Times New Roman" w:hAnsi="Times New Roman"/>
                <w:b/>
                <w:color w:val="0F172A"/>
                <w:sz w:val="16"/>
              </w:rPr>
              <w:t>Provenance Routing</w:t>
            </w:r>
          </w:p>
        </w:tc>
      </w:tr>
      <w:tr>
        <w:tc>
          <w:tcPr>
            <w:tcW w:type="dxa" w:w="3024"/>
            <w:shd w:fill="FFFFFF"/>
            <w:tcMar>
              <w:top w:w="50" w:type="dxa"/>
              <w:bottom w:w="50" w:type="dxa"/>
              <w:left w:w="90" w:type="dxa"/>
              <w:right w:w="90" w:type="dxa"/>
            </w:tcMar>
          </w:tcPr>
          <w:p>
            <w:pPr>
              <w:jc w:val="left"/>
            </w:pPr>
            <w:r>
              <w:rPr>
                <w:rFonts w:ascii="Times New Roman" w:hAnsi="Times New Roman"/>
                <w:sz w:val="16"/>
              </w:rPr>
              <w:t>Arm 1: Zero-Shot LLM (Gemini Standalone)</w:t>
            </w:r>
          </w:p>
        </w:tc>
        <w:tc>
          <w:tcPr>
            <w:tcW w:type="dxa" w:w="720"/>
            <w:shd w:fill="FFFFFF"/>
            <w:tcMar>
              <w:top w:w="50" w:type="dxa"/>
              <w:bottom w:w="50" w:type="dxa"/>
              <w:left w:w="90" w:type="dxa"/>
              <w:right w:w="90" w:type="dxa"/>
            </w:tcMar>
          </w:tcPr>
          <w:p>
            <w:pPr>
              <w:jc w:val="center"/>
            </w:pPr>
            <w:r>
              <w:rPr>
                <w:rFonts w:ascii="Times New Roman" w:hAnsi="Times New Roman"/>
                <w:sz w:val="16"/>
              </w:rPr>
              <w:t>N/A</w:t>
            </w:r>
          </w:p>
        </w:tc>
        <w:tc>
          <w:tcPr>
            <w:tcW w:type="dxa" w:w="720"/>
            <w:shd w:fill="FFFFFF"/>
            <w:tcMar>
              <w:top w:w="50" w:type="dxa"/>
              <w:bottom w:w="50" w:type="dxa"/>
              <w:left w:w="90" w:type="dxa"/>
              <w:right w:w="90" w:type="dxa"/>
            </w:tcMar>
          </w:tcPr>
          <w:p>
            <w:pPr>
              <w:jc w:val="center"/>
            </w:pPr>
            <w:r>
              <w:rPr>
                <w:rFonts w:ascii="Times New Roman" w:hAnsi="Times New Roman"/>
                <w:sz w:val="16"/>
              </w:rPr>
              <w:t>N/A</w:t>
            </w:r>
          </w:p>
        </w:tc>
        <w:tc>
          <w:tcPr>
            <w:tcW w:type="dxa" w:w="720"/>
            <w:shd w:fill="FFFFFF"/>
            <w:tcMar>
              <w:top w:w="50" w:type="dxa"/>
              <w:bottom w:w="50" w:type="dxa"/>
              <w:left w:w="90" w:type="dxa"/>
              <w:right w:w="90" w:type="dxa"/>
            </w:tcMar>
          </w:tcPr>
          <w:p>
            <w:pPr>
              <w:jc w:val="center"/>
            </w:pPr>
            <w:r>
              <w:rPr>
                <w:rFonts w:ascii="Times New Roman" w:hAnsi="Times New Roman"/>
                <w:sz w:val="16"/>
              </w:rPr>
              <w:t>N/A</w:t>
            </w:r>
          </w:p>
        </w:tc>
        <w:tc>
          <w:tcPr>
            <w:tcW w:type="dxa" w:w="1584"/>
            <w:shd w:fill="FFFFFF"/>
            <w:tcMar>
              <w:top w:w="50" w:type="dxa"/>
              <w:bottom w:w="50" w:type="dxa"/>
              <w:left w:w="90" w:type="dxa"/>
              <w:right w:w="90" w:type="dxa"/>
            </w:tcMar>
          </w:tcPr>
          <w:p>
            <w:pPr>
              <w:jc w:val="left"/>
            </w:pPr>
            <w:r>
              <w:rPr>
                <w:rFonts w:ascii="Times New Roman" w:hAnsi="Times New Roman"/>
                <w:sz w:val="16"/>
              </w:rPr>
              <w:t>38.00% [29.1%, 47.8%]</w:t>
            </w:r>
          </w:p>
        </w:tc>
        <w:tc>
          <w:tcPr>
            <w:tcW w:type="dxa" w:w="1440"/>
            <w:shd w:fill="FFFFFF"/>
            <w:tcMar>
              <w:top w:w="50" w:type="dxa"/>
              <w:bottom w:w="50" w:type="dxa"/>
              <w:left w:w="90" w:type="dxa"/>
              <w:right w:w="90" w:type="dxa"/>
            </w:tcMar>
          </w:tcPr>
          <w:p>
            <w:pPr>
              <w:jc w:val="left"/>
            </w:pPr>
            <w:r>
              <w:rPr>
                <w:rFonts w:ascii="Times New Roman" w:hAnsi="Times New Roman"/>
                <w:sz w:val="16"/>
              </w:rPr>
              <w:t>54.00% [44.3%, 63.4%]</w:t>
            </w:r>
          </w:p>
        </w:tc>
        <w:tc>
          <w:tcPr>
            <w:tcW w:type="dxa" w:w="1584"/>
            <w:shd w:fill="FFFFFF"/>
            <w:tcMar>
              <w:top w:w="50" w:type="dxa"/>
              <w:bottom w:w="50" w:type="dxa"/>
              <w:left w:w="90" w:type="dxa"/>
              <w:right w:w="90" w:type="dxa"/>
            </w:tcMar>
          </w:tcPr>
          <w:p>
            <w:pPr>
              <w:jc w:val="center"/>
            </w:pPr>
            <w:r>
              <w:rPr>
                <w:rFonts w:ascii="Times New Roman" w:hAnsi="Times New Roman"/>
                <w:sz w:val="16"/>
              </w:rPr>
              <w:t>N/A (No router)</w:t>
            </w:r>
          </w:p>
        </w:tc>
      </w:tr>
      <w:tr>
        <w:tc>
          <w:tcPr>
            <w:tcW w:type="dxa" w:w="3024"/>
            <w:shd w:fill="F8FAFC"/>
            <w:tcMar>
              <w:top w:w="50" w:type="dxa"/>
              <w:bottom w:w="50" w:type="dxa"/>
              <w:left w:w="90" w:type="dxa"/>
              <w:right w:w="90" w:type="dxa"/>
            </w:tcMar>
          </w:tcPr>
          <w:p>
            <w:pPr>
              <w:jc w:val="left"/>
            </w:pPr>
            <w:r>
              <w:rPr>
                <w:rFonts w:ascii="Times New Roman" w:hAnsi="Times New Roman"/>
                <w:sz w:val="16"/>
              </w:rPr>
              <w:t>Arm 2: Standard RAG (Open Web Search)</w:t>
            </w:r>
          </w:p>
        </w:tc>
        <w:tc>
          <w:tcPr>
            <w:tcW w:type="dxa" w:w="720"/>
            <w:shd w:fill="F8FAFC"/>
            <w:tcMar>
              <w:top w:w="50" w:type="dxa"/>
              <w:bottom w:w="50" w:type="dxa"/>
              <w:left w:w="90" w:type="dxa"/>
              <w:right w:w="90" w:type="dxa"/>
            </w:tcMar>
          </w:tcPr>
          <w:p>
            <w:pPr>
              <w:jc w:val="center"/>
            </w:pPr>
            <w:r>
              <w:rPr>
                <w:rFonts w:ascii="Times New Roman" w:hAnsi="Times New Roman"/>
                <w:sz w:val="16"/>
              </w:rPr>
              <w:t>0.58</w:t>
            </w:r>
          </w:p>
        </w:tc>
        <w:tc>
          <w:tcPr>
            <w:tcW w:type="dxa" w:w="720"/>
            <w:shd w:fill="F8FAFC"/>
            <w:tcMar>
              <w:top w:w="50" w:type="dxa"/>
              <w:bottom w:w="50" w:type="dxa"/>
              <w:left w:w="90" w:type="dxa"/>
              <w:right w:w="90" w:type="dxa"/>
            </w:tcMar>
          </w:tcPr>
          <w:p>
            <w:pPr>
              <w:jc w:val="center"/>
            </w:pPr>
            <w:r>
              <w:rPr>
                <w:rFonts w:ascii="Times New Roman" w:hAnsi="Times New Roman"/>
                <w:sz w:val="16"/>
              </w:rPr>
              <w:t>0.64</w:t>
            </w:r>
          </w:p>
        </w:tc>
        <w:tc>
          <w:tcPr>
            <w:tcW w:type="dxa" w:w="720"/>
            <w:shd w:fill="F8FAFC"/>
            <w:tcMar>
              <w:top w:w="50" w:type="dxa"/>
              <w:bottom w:w="50" w:type="dxa"/>
              <w:left w:w="90" w:type="dxa"/>
              <w:right w:w="90" w:type="dxa"/>
            </w:tcMar>
          </w:tcPr>
          <w:p>
            <w:pPr>
              <w:jc w:val="center"/>
            </w:pPr>
            <w:r>
              <w:rPr>
                <w:rFonts w:ascii="Times New Roman" w:hAnsi="Times New Roman"/>
                <w:sz w:val="16"/>
              </w:rPr>
              <w:t>0.65</w:t>
            </w:r>
          </w:p>
        </w:tc>
        <w:tc>
          <w:tcPr>
            <w:tcW w:type="dxa" w:w="1584"/>
            <w:shd w:fill="F8FAFC"/>
            <w:tcMar>
              <w:top w:w="50" w:type="dxa"/>
              <w:bottom w:w="50" w:type="dxa"/>
              <w:left w:w="90" w:type="dxa"/>
              <w:right w:w="90" w:type="dxa"/>
            </w:tcMar>
          </w:tcPr>
          <w:p>
            <w:pPr>
              <w:jc w:val="left"/>
            </w:pPr>
            <w:r>
              <w:rPr>
                <w:rFonts w:ascii="Times New Roman" w:hAnsi="Times New Roman"/>
                <w:sz w:val="16"/>
              </w:rPr>
              <w:t>66.00% [56.3%, 74.5%]</w:t>
            </w:r>
          </w:p>
        </w:tc>
        <w:tc>
          <w:tcPr>
            <w:tcW w:type="dxa" w:w="1440"/>
            <w:shd w:fill="F8FAFC"/>
            <w:tcMar>
              <w:top w:w="50" w:type="dxa"/>
              <w:bottom w:w="50" w:type="dxa"/>
              <w:left w:w="90" w:type="dxa"/>
              <w:right w:w="90" w:type="dxa"/>
            </w:tcMar>
          </w:tcPr>
          <w:p>
            <w:pPr>
              <w:jc w:val="left"/>
            </w:pPr>
            <w:r>
              <w:rPr>
                <w:rFonts w:ascii="Times New Roman" w:hAnsi="Times New Roman"/>
                <w:sz w:val="16"/>
              </w:rPr>
              <w:t>26.00% [18.4%, 35.4%]</w:t>
            </w:r>
          </w:p>
        </w:tc>
        <w:tc>
          <w:tcPr>
            <w:tcW w:type="dxa" w:w="1584"/>
            <w:shd w:fill="F8FAFC"/>
            <w:tcMar>
              <w:top w:w="50" w:type="dxa"/>
              <w:bottom w:w="50" w:type="dxa"/>
              <w:left w:w="90" w:type="dxa"/>
              <w:right w:w="90" w:type="dxa"/>
            </w:tcMar>
          </w:tcPr>
          <w:p>
            <w:pPr>
              <w:jc w:val="left"/>
            </w:pPr>
            <w:r>
              <w:rPr>
                <w:rFonts w:ascii="Times New Roman" w:hAnsi="Times New Roman"/>
                <w:sz w:val="16"/>
              </w:rPr>
              <w:t>0.0% (Unconstrained)</w:t>
            </w:r>
          </w:p>
        </w:tc>
      </w:tr>
      <w:tr>
        <w:tc>
          <w:tcPr>
            <w:tcW w:type="dxa" w:w="3024"/>
            <w:shd w:fill="FFFFFF"/>
            <w:tcMar>
              <w:top w:w="50" w:type="dxa"/>
              <w:bottom w:w="50" w:type="dxa"/>
              <w:left w:w="90" w:type="dxa"/>
              <w:right w:w="90" w:type="dxa"/>
            </w:tcMar>
          </w:tcPr>
          <w:p>
            <w:pPr>
              <w:jc w:val="left"/>
            </w:pPr>
            <w:r>
              <w:rPr>
                <w:rFonts w:ascii="Times New Roman" w:hAnsi="Times New Roman"/>
                <w:sz w:val="16"/>
              </w:rPr>
              <w:t>Arm 3a: Lexical KB Only (Boolean Full-Text)</w:t>
            </w:r>
          </w:p>
        </w:tc>
        <w:tc>
          <w:tcPr>
            <w:tcW w:type="dxa" w:w="720"/>
            <w:shd w:fill="FFFFFF"/>
            <w:tcMar>
              <w:top w:w="50" w:type="dxa"/>
              <w:bottom w:w="50" w:type="dxa"/>
              <w:left w:w="90" w:type="dxa"/>
              <w:right w:w="90" w:type="dxa"/>
            </w:tcMar>
          </w:tcPr>
          <w:p>
            <w:pPr>
              <w:jc w:val="center"/>
            </w:pPr>
            <w:r>
              <w:rPr>
                <w:rFonts w:ascii="Times New Roman" w:hAnsi="Times New Roman"/>
                <w:sz w:val="16"/>
              </w:rPr>
              <w:t>0.42</w:t>
            </w:r>
          </w:p>
        </w:tc>
        <w:tc>
          <w:tcPr>
            <w:tcW w:type="dxa" w:w="720"/>
            <w:shd w:fill="FFFFFF"/>
            <w:tcMar>
              <w:top w:w="50" w:type="dxa"/>
              <w:bottom w:w="50" w:type="dxa"/>
              <w:left w:w="90" w:type="dxa"/>
              <w:right w:w="90" w:type="dxa"/>
            </w:tcMar>
          </w:tcPr>
          <w:p>
            <w:pPr>
              <w:jc w:val="center"/>
            </w:pPr>
            <w:r>
              <w:rPr>
                <w:rFonts w:ascii="Times New Roman" w:hAnsi="Times New Roman"/>
                <w:sz w:val="16"/>
              </w:rPr>
              <w:t>0.46</w:t>
            </w:r>
          </w:p>
        </w:tc>
        <w:tc>
          <w:tcPr>
            <w:tcW w:type="dxa" w:w="720"/>
            <w:shd w:fill="FFFFFF"/>
            <w:tcMar>
              <w:top w:w="50" w:type="dxa"/>
              <w:bottom w:w="50" w:type="dxa"/>
              <w:left w:w="90" w:type="dxa"/>
              <w:right w:w="90" w:type="dxa"/>
            </w:tcMar>
          </w:tcPr>
          <w:p>
            <w:pPr>
              <w:jc w:val="center"/>
            </w:pPr>
            <w:r>
              <w:rPr>
                <w:rFonts w:ascii="Times New Roman" w:hAnsi="Times New Roman"/>
                <w:sz w:val="16"/>
              </w:rPr>
              <w:t>0.51</w:t>
            </w:r>
          </w:p>
        </w:tc>
        <w:tc>
          <w:tcPr>
            <w:tcW w:type="dxa" w:w="1584"/>
            <w:shd w:fill="FFFFFF"/>
            <w:tcMar>
              <w:top w:w="50" w:type="dxa"/>
              <w:bottom w:w="50" w:type="dxa"/>
              <w:left w:w="90" w:type="dxa"/>
              <w:right w:w="90" w:type="dxa"/>
            </w:tcMar>
          </w:tcPr>
          <w:p>
            <w:pPr>
              <w:jc w:val="left"/>
            </w:pPr>
            <w:r>
              <w:rPr>
                <w:rFonts w:ascii="Times New Roman" w:hAnsi="Times New Roman"/>
                <w:sz w:val="16"/>
              </w:rPr>
              <w:t>72.00% [62.5%, 79.9%]</w:t>
            </w:r>
          </w:p>
        </w:tc>
        <w:tc>
          <w:tcPr>
            <w:tcW w:type="dxa" w:w="1440"/>
            <w:shd w:fill="FFFFFF"/>
            <w:tcMar>
              <w:top w:w="50" w:type="dxa"/>
              <w:bottom w:w="50" w:type="dxa"/>
              <w:left w:w="90" w:type="dxa"/>
              <w:right w:w="90" w:type="dxa"/>
            </w:tcMar>
          </w:tcPr>
          <w:p>
            <w:pPr>
              <w:jc w:val="left"/>
            </w:pPr>
            <w:r>
              <w:rPr>
                <w:rFonts w:ascii="Times New Roman" w:hAnsi="Times New Roman"/>
                <w:sz w:val="16"/>
              </w:rPr>
              <w:t>16.00% [10.1%, 24.4%]</w:t>
            </w:r>
          </w:p>
        </w:tc>
        <w:tc>
          <w:tcPr>
            <w:tcW w:type="dxa" w:w="1584"/>
            <w:shd w:fill="FFFFFF"/>
            <w:tcMar>
              <w:top w:w="50" w:type="dxa"/>
              <w:bottom w:w="50" w:type="dxa"/>
              <w:left w:w="90" w:type="dxa"/>
              <w:right w:w="90" w:type="dxa"/>
            </w:tcMar>
          </w:tcPr>
          <w:p>
            <w:pPr>
              <w:jc w:val="left"/>
            </w:pPr>
            <w:r>
              <w:rPr>
                <w:rFonts w:ascii="Times New Roman" w:hAnsi="Times New Roman"/>
                <w:sz w:val="16"/>
              </w:rPr>
              <w:t>N/A (Internal only)</w:t>
            </w:r>
          </w:p>
        </w:tc>
      </w:tr>
      <w:tr>
        <w:tc>
          <w:tcPr>
            <w:tcW w:type="dxa" w:w="3024"/>
            <w:shd w:fill="F8FAFC"/>
            <w:tcMar>
              <w:top w:w="50" w:type="dxa"/>
              <w:bottom w:w="50" w:type="dxa"/>
              <w:left w:w="90" w:type="dxa"/>
              <w:right w:w="90" w:type="dxa"/>
            </w:tcMar>
          </w:tcPr>
          <w:p>
            <w:pPr>
              <w:jc w:val="left"/>
            </w:pPr>
            <w:r>
              <w:rPr>
                <w:rFonts w:ascii="Times New Roman" w:hAnsi="Times New Roman"/>
                <w:sz w:val="16"/>
              </w:rPr>
              <w:t>Arm 3b: Lexical Tickets Only (Boolean Tickets)</w:t>
            </w:r>
          </w:p>
        </w:tc>
        <w:tc>
          <w:tcPr>
            <w:tcW w:type="dxa" w:w="720"/>
            <w:shd w:fill="F8FAFC"/>
            <w:tcMar>
              <w:top w:w="50" w:type="dxa"/>
              <w:bottom w:w="50" w:type="dxa"/>
              <w:left w:w="90" w:type="dxa"/>
              <w:right w:w="90" w:type="dxa"/>
            </w:tcMar>
          </w:tcPr>
          <w:p>
            <w:pPr>
              <w:jc w:val="center"/>
            </w:pPr>
            <w:r>
              <w:rPr>
                <w:rFonts w:ascii="Times New Roman" w:hAnsi="Times New Roman"/>
                <w:sz w:val="16"/>
              </w:rPr>
              <w:t>0.46</w:t>
            </w:r>
          </w:p>
        </w:tc>
        <w:tc>
          <w:tcPr>
            <w:tcW w:type="dxa" w:w="720"/>
            <w:shd w:fill="F8FAFC"/>
            <w:tcMar>
              <w:top w:w="50" w:type="dxa"/>
              <w:bottom w:w="50" w:type="dxa"/>
              <w:left w:w="90" w:type="dxa"/>
              <w:right w:w="90" w:type="dxa"/>
            </w:tcMar>
          </w:tcPr>
          <w:p>
            <w:pPr>
              <w:jc w:val="center"/>
            </w:pPr>
            <w:r>
              <w:rPr>
                <w:rFonts w:ascii="Times New Roman" w:hAnsi="Times New Roman"/>
                <w:sz w:val="16"/>
              </w:rPr>
              <w:t>0.50</w:t>
            </w:r>
          </w:p>
        </w:tc>
        <w:tc>
          <w:tcPr>
            <w:tcW w:type="dxa" w:w="720"/>
            <w:shd w:fill="F8FAFC"/>
            <w:tcMar>
              <w:top w:w="50" w:type="dxa"/>
              <w:bottom w:w="50" w:type="dxa"/>
              <w:left w:w="90" w:type="dxa"/>
              <w:right w:w="90" w:type="dxa"/>
            </w:tcMar>
          </w:tcPr>
          <w:p>
            <w:pPr>
              <w:jc w:val="center"/>
            </w:pPr>
            <w:r>
              <w:rPr>
                <w:rFonts w:ascii="Times New Roman" w:hAnsi="Times New Roman"/>
                <w:sz w:val="16"/>
              </w:rPr>
              <w:t>0.54</w:t>
            </w:r>
          </w:p>
        </w:tc>
        <w:tc>
          <w:tcPr>
            <w:tcW w:type="dxa" w:w="1584"/>
            <w:shd w:fill="F8FAFC"/>
            <w:tcMar>
              <w:top w:w="50" w:type="dxa"/>
              <w:bottom w:w="50" w:type="dxa"/>
              <w:left w:w="90" w:type="dxa"/>
              <w:right w:w="90" w:type="dxa"/>
            </w:tcMar>
          </w:tcPr>
          <w:p>
            <w:pPr>
              <w:jc w:val="left"/>
            </w:pPr>
            <w:r>
              <w:rPr>
                <w:rFonts w:ascii="Times New Roman" w:hAnsi="Times New Roman"/>
                <w:sz w:val="16"/>
              </w:rPr>
              <w:t>75.00% [65.7%, 82.5%]</w:t>
            </w:r>
          </w:p>
        </w:tc>
        <w:tc>
          <w:tcPr>
            <w:tcW w:type="dxa" w:w="1440"/>
            <w:shd w:fill="F8FAFC"/>
            <w:tcMar>
              <w:top w:w="50" w:type="dxa"/>
              <w:bottom w:w="50" w:type="dxa"/>
              <w:left w:w="90" w:type="dxa"/>
              <w:right w:w="90" w:type="dxa"/>
            </w:tcMar>
          </w:tcPr>
          <w:p>
            <w:pPr>
              <w:jc w:val="left"/>
            </w:pPr>
            <w:r>
              <w:rPr>
                <w:rFonts w:ascii="Times New Roman" w:hAnsi="Times New Roman"/>
                <w:sz w:val="16"/>
              </w:rPr>
              <w:t>14.00% [8.5%, 22.1%]</w:t>
            </w:r>
          </w:p>
        </w:tc>
        <w:tc>
          <w:tcPr>
            <w:tcW w:type="dxa" w:w="1584"/>
            <w:shd w:fill="F8FAFC"/>
            <w:tcMar>
              <w:top w:w="50" w:type="dxa"/>
              <w:bottom w:w="50" w:type="dxa"/>
              <w:left w:w="90" w:type="dxa"/>
              <w:right w:w="90" w:type="dxa"/>
            </w:tcMar>
          </w:tcPr>
          <w:p>
            <w:pPr>
              <w:jc w:val="left"/>
            </w:pPr>
            <w:r>
              <w:rPr>
                <w:rFonts w:ascii="Times New Roman" w:hAnsi="Times New Roman"/>
                <w:sz w:val="16"/>
              </w:rPr>
              <w:t>N/A (Internal only)</w:t>
            </w:r>
          </w:p>
        </w:tc>
      </w:tr>
      <w:tr>
        <w:tc>
          <w:tcPr>
            <w:tcW w:type="dxa" w:w="3024"/>
            <w:shd w:fill="FFFFFF"/>
            <w:tcMar>
              <w:top w:w="50" w:type="dxa"/>
              <w:bottom w:w="50" w:type="dxa"/>
              <w:left w:w="90" w:type="dxa"/>
              <w:right w:w="90" w:type="dxa"/>
            </w:tcMar>
          </w:tcPr>
          <w:p>
            <w:pPr>
              <w:jc w:val="left"/>
            </w:pPr>
            <w:r>
              <w:rPr>
                <w:rFonts w:ascii="Times New Roman" w:hAnsi="Times New Roman"/>
                <w:sz w:val="16"/>
              </w:rPr>
              <w:t>Arm 3c: Unified Lexical (Articles+Tickets+Solutions)</w:t>
            </w:r>
          </w:p>
        </w:tc>
        <w:tc>
          <w:tcPr>
            <w:tcW w:type="dxa" w:w="720"/>
            <w:shd w:fill="FFFFFF"/>
            <w:tcMar>
              <w:top w:w="50" w:type="dxa"/>
              <w:bottom w:w="50" w:type="dxa"/>
              <w:left w:w="90" w:type="dxa"/>
              <w:right w:w="90" w:type="dxa"/>
            </w:tcMar>
          </w:tcPr>
          <w:p>
            <w:pPr>
              <w:jc w:val="center"/>
            </w:pPr>
            <w:r>
              <w:rPr>
                <w:rFonts w:ascii="Times New Roman" w:hAnsi="Times New Roman"/>
                <w:sz w:val="16"/>
              </w:rPr>
              <w:t>0.51</w:t>
            </w:r>
          </w:p>
        </w:tc>
        <w:tc>
          <w:tcPr>
            <w:tcW w:type="dxa" w:w="720"/>
            <w:shd w:fill="FFFFFF"/>
            <w:tcMar>
              <w:top w:w="50" w:type="dxa"/>
              <w:bottom w:w="50" w:type="dxa"/>
              <w:left w:w="90" w:type="dxa"/>
              <w:right w:w="90" w:type="dxa"/>
            </w:tcMar>
          </w:tcPr>
          <w:p>
            <w:pPr>
              <w:jc w:val="center"/>
            </w:pPr>
            <w:r>
              <w:rPr>
                <w:rFonts w:ascii="Times New Roman" w:hAnsi="Times New Roman"/>
                <w:sz w:val="16"/>
              </w:rPr>
              <w:t>0.56</w:t>
            </w:r>
          </w:p>
        </w:tc>
        <w:tc>
          <w:tcPr>
            <w:tcW w:type="dxa" w:w="720"/>
            <w:shd w:fill="FFFFFF"/>
            <w:tcMar>
              <w:top w:w="50" w:type="dxa"/>
              <w:bottom w:w="50" w:type="dxa"/>
              <w:left w:w="90" w:type="dxa"/>
              <w:right w:w="90" w:type="dxa"/>
            </w:tcMar>
          </w:tcPr>
          <w:p>
            <w:pPr>
              <w:jc w:val="center"/>
            </w:pPr>
            <w:r>
              <w:rPr>
                <w:rFonts w:ascii="Times New Roman" w:hAnsi="Times New Roman"/>
                <w:sz w:val="16"/>
              </w:rPr>
              <w:t>0.60</w:t>
            </w:r>
          </w:p>
        </w:tc>
        <w:tc>
          <w:tcPr>
            <w:tcW w:type="dxa" w:w="1584"/>
            <w:shd w:fill="FFFFFF"/>
            <w:tcMar>
              <w:top w:w="50" w:type="dxa"/>
              <w:bottom w:w="50" w:type="dxa"/>
              <w:left w:w="90" w:type="dxa"/>
              <w:right w:w="90" w:type="dxa"/>
            </w:tcMar>
          </w:tcPr>
          <w:p>
            <w:pPr>
              <w:jc w:val="left"/>
            </w:pPr>
            <w:r>
              <w:rPr>
                <w:rFonts w:ascii="Times New Roman" w:hAnsi="Times New Roman"/>
                <w:sz w:val="16"/>
              </w:rPr>
              <w:t>80.00% [71.1%, 86.7%]</w:t>
            </w:r>
          </w:p>
        </w:tc>
        <w:tc>
          <w:tcPr>
            <w:tcW w:type="dxa" w:w="1440"/>
            <w:shd w:fill="FFFFFF"/>
            <w:tcMar>
              <w:top w:w="50" w:type="dxa"/>
              <w:bottom w:w="50" w:type="dxa"/>
              <w:left w:w="90" w:type="dxa"/>
              <w:right w:w="90" w:type="dxa"/>
            </w:tcMar>
          </w:tcPr>
          <w:p>
            <w:pPr>
              <w:jc w:val="left"/>
            </w:pPr>
            <w:r>
              <w:rPr>
                <w:rFonts w:ascii="Times New Roman" w:hAnsi="Times New Roman"/>
                <w:sz w:val="16"/>
              </w:rPr>
              <w:t>10.00% [5.5%, 17.4%]</w:t>
            </w:r>
          </w:p>
        </w:tc>
        <w:tc>
          <w:tcPr>
            <w:tcW w:type="dxa" w:w="1584"/>
            <w:shd w:fill="FFFFFF"/>
            <w:tcMar>
              <w:top w:w="50" w:type="dxa"/>
              <w:bottom w:w="50" w:type="dxa"/>
              <w:left w:w="90" w:type="dxa"/>
              <w:right w:w="90" w:type="dxa"/>
            </w:tcMar>
          </w:tcPr>
          <w:p>
            <w:pPr>
              <w:jc w:val="left"/>
            </w:pPr>
            <w:r>
              <w:rPr>
                <w:rFonts w:ascii="Times New Roman" w:hAnsi="Times New Roman"/>
                <w:sz w:val="16"/>
              </w:rPr>
              <w:t>N/A (Internal only)</w:t>
            </w:r>
          </w:p>
        </w:tc>
      </w:tr>
      <w:tr>
        <w:tc>
          <w:tcPr>
            <w:tcW w:type="dxa" w:w="3024"/>
            <w:shd w:fill="F8FAFC"/>
            <w:tcMar>
              <w:top w:w="50" w:type="dxa"/>
              <w:bottom w:w="50" w:type="dxa"/>
              <w:left w:w="90" w:type="dxa"/>
              <w:right w:w="90" w:type="dxa"/>
            </w:tcMar>
          </w:tcPr>
          <w:p>
            <w:pPr>
              <w:jc w:val="left"/>
            </w:pPr>
            <w:r>
              <w:rPr>
                <w:rFonts w:ascii="Times New Roman" w:hAnsi="Times New Roman"/>
                <w:sz w:val="16"/>
              </w:rPr>
              <w:t>Arm 4: Dense Vector Only (768-dim, sim &gt;= 0.40)</w:t>
            </w:r>
          </w:p>
        </w:tc>
        <w:tc>
          <w:tcPr>
            <w:tcW w:type="dxa" w:w="720"/>
            <w:shd w:fill="F8FAFC"/>
            <w:tcMar>
              <w:top w:w="50" w:type="dxa"/>
              <w:bottom w:w="50" w:type="dxa"/>
              <w:left w:w="90" w:type="dxa"/>
              <w:right w:w="90" w:type="dxa"/>
            </w:tcMar>
          </w:tcPr>
          <w:p>
            <w:pPr>
              <w:jc w:val="center"/>
            </w:pPr>
            <w:r>
              <w:rPr>
                <w:rFonts w:ascii="Times New Roman" w:hAnsi="Times New Roman"/>
                <w:sz w:val="16"/>
              </w:rPr>
              <w:t>0.74</w:t>
            </w:r>
          </w:p>
        </w:tc>
        <w:tc>
          <w:tcPr>
            <w:tcW w:type="dxa" w:w="720"/>
            <w:shd w:fill="F8FAFC"/>
            <w:tcMar>
              <w:top w:w="50" w:type="dxa"/>
              <w:bottom w:w="50" w:type="dxa"/>
              <w:left w:w="90" w:type="dxa"/>
              <w:right w:w="90" w:type="dxa"/>
            </w:tcMar>
          </w:tcPr>
          <w:p>
            <w:pPr>
              <w:jc w:val="center"/>
            </w:pPr>
            <w:r>
              <w:rPr>
                <w:rFonts w:ascii="Times New Roman" w:hAnsi="Times New Roman"/>
                <w:sz w:val="16"/>
              </w:rPr>
              <w:t>0.81</w:t>
            </w:r>
          </w:p>
        </w:tc>
        <w:tc>
          <w:tcPr>
            <w:tcW w:type="dxa" w:w="720"/>
            <w:shd w:fill="F8FAFC"/>
            <w:tcMar>
              <w:top w:w="50" w:type="dxa"/>
              <w:bottom w:w="50" w:type="dxa"/>
              <w:left w:w="90" w:type="dxa"/>
              <w:right w:w="90" w:type="dxa"/>
            </w:tcMar>
          </w:tcPr>
          <w:p>
            <w:pPr>
              <w:jc w:val="center"/>
            </w:pPr>
            <w:r>
              <w:rPr>
                <w:rFonts w:ascii="Times New Roman" w:hAnsi="Times New Roman"/>
                <w:sz w:val="16"/>
              </w:rPr>
              <w:t>0.79</w:t>
            </w:r>
          </w:p>
        </w:tc>
        <w:tc>
          <w:tcPr>
            <w:tcW w:type="dxa" w:w="1584"/>
            <w:shd w:fill="F8FAFC"/>
            <w:tcMar>
              <w:top w:w="50" w:type="dxa"/>
              <w:bottom w:w="50" w:type="dxa"/>
              <w:left w:w="90" w:type="dxa"/>
              <w:right w:w="90" w:type="dxa"/>
            </w:tcMar>
          </w:tcPr>
          <w:p>
            <w:pPr>
              <w:jc w:val="left"/>
            </w:pPr>
            <w:r>
              <w:rPr>
                <w:rFonts w:ascii="Times New Roman" w:hAnsi="Times New Roman"/>
                <w:sz w:val="16"/>
              </w:rPr>
              <w:t>87.00% [79.0%, 92.2%]</w:t>
            </w:r>
          </w:p>
        </w:tc>
        <w:tc>
          <w:tcPr>
            <w:tcW w:type="dxa" w:w="1440"/>
            <w:shd w:fill="F8FAFC"/>
            <w:tcMar>
              <w:top w:w="50" w:type="dxa"/>
              <w:bottom w:w="50" w:type="dxa"/>
              <w:left w:w="90" w:type="dxa"/>
              <w:right w:w="90" w:type="dxa"/>
            </w:tcMar>
          </w:tcPr>
          <w:p>
            <w:pPr>
              <w:jc w:val="left"/>
            </w:pPr>
            <w:r>
              <w:rPr>
                <w:rFonts w:ascii="Times New Roman" w:hAnsi="Times New Roman"/>
                <w:sz w:val="16"/>
              </w:rPr>
              <w:t>6.00% [2.8%, 12.5%]</w:t>
            </w:r>
          </w:p>
        </w:tc>
        <w:tc>
          <w:tcPr>
            <w:tcW w:type="dxa" w:w="1584"/>
            <w:shd w:fill="F8FAFC"/>
            <w:tcMar>
              <w:top w:w="50" w:type="dxa"/>
              <w:bottom w:w="50" w:type="dxa"/>
              <w:left w:w="90" w:type="dxa"/>
              <w:right w:w="90" w:type="dxa"/>
            </w:tcMar>
          </w:tcPr>
          <w:p>
            <w:pPr>
              <w:jc w:val="left"/>
            </w:pPr>
            <w:r>
              <w:rPr>
                <w:rFonts w:ascii="Times New Roman" w:hAnsi="Times New Roman"/>
                <w:sz w:val="16"/>
              </w:rPr>
              <w:t>N/A (Internal only)</w:t>
            </w:r>
          </w:p>
        </w:tc>
      </w:tr>
      <w:tr>
        <w:tc>
          <w:tcPr>
            <w:tcW w:type="dxa" w:w="3024"/>
            <w:shd w:fill="F1F5F9"/>
            <w:tcMar>
              <w:top w:w="50" w:type="dxa"/>
              <w:bottom w:w="50" w:type="dxa"/>
              <w:left w:w="90" w:type="dxa"/>
              <w:right w:w="90" w:type="dxa"/>
            </w:tcMar>
          </w:tcPr>
          <w:p>
            <w:pPr>
              <w:jc w:val="left"/>
            </w:pPr>
            <w:r>
              <w:rPr>
                <w:rFonts w:ascii="Times New Roman" w:hAnsi="Times New Roman"/>
                <w:b/>
                <w:sz w:val="16"/>
              </w:rPr>
              <w:t>Arm 5: Proposed Hybrid Fusion + Provenance (Full)</w:t>
            </w:r>
          </w:p>
        </w:tc>
        <w:tc>
          <w:tcPr>
            <w:tcW w:type="dxa" w:w="720"/>
            <w:shd w:fill="F1F5F9"/>
            <w:tcMar>
              <w:top w:w="50" w:type="dxa"/>
              <w:bottom w:w="50" w:type="dxa"/>
              <w:left w:w="90" w:type="dxa"/>
              <w:right w:w="90" w:type="dxa"/>
            </w:tcMar>
          </w:tcPr>
          <w:p>
            <w:pPr>
              <w:jc w:val="center"/>
            </w:pPr>
            <w:r>
              <w:rPr>
                <w:rFonts w:ascii="Times New Roman" w:hAnsi="Times New Roman"/>
                <w:b/>
                <w:sz w:val="16"/>
              </w:rPr>
              <w:t>0.86</w:t>
            </w:r>
          </w:p>
        </w:tc>
        <w:tc>
          <w:tcPr>
            <w:tcW w:type="dxa" w:w="720"/>
            <w:shd w:fill="F1F5F9"/>
            <w:tcMar>
              <w:top w:w="50" w:type="dxa"/>
              <w:bottom w:w="50" w:type="dxa"/>
              <w:left w:w="90" w:type="dxa"/>
              <w:right w:w="90" w:type="dxa"/>
            </w:tcMar>
          </w:tcPr>
          <w:p>
            <w:pPr>
              <w:jc w:val="center"/>
            </w:pPr>
            <w:r>
              <w:rPr>
                <w:rFonts w:ascii="Times New Roman" w:hAnsi="Times New Roman"/>
                <w:b/>
                <w:sz w:val="16"/>
              </w:rPr>
              <w:t>0.92</w:t>
            </w:r>
          </w:p>
        </w:tc>
        <w:tc>
          <w:tcPr>
            <w:tcW w:type="dxa" w:w="720"/>
            <w:shd w:fill="F1F5F9"/>
            <w:tcMar>
              <w:top w:w="50" w:type="dxa"/>
              <w:bottom w:w="50" w:type="dxa"/>
              <w:left w:w="90" w:type="dxa"/>
              <w:right w:w="90" w:type="dxa"/>
            </w:tcMar>
          </w:tcPr>
          <w:p>
            <w:pPr>
              <w:jc w:val="center"/>
            </w:pPr>
            <w:r>
              <w:rPr>
                <w:rFonts w:ascii="Times New Roman" w:hAnsi="Times New Roman"/>
                <w:b/>
                <w:sz w:val="16"/>
              </w:rPr>
              <w:t>0.89</w:t>
            </w:r>
          </w:p>
        </w:tc>
        <w:tc>
          <w:tcPr>
            <w:tcW w:type="dxa" w:w="1584"/>
            <w:shd w:fill="F1F5F9"/>
            <w:tcMar>
              <w:top w:w="50" w:type="dxa"/>
              <w:bottom w:w="50" w:type="dxa"/>
              <w:left w:w="90" w:type="dxa"/>
              <w:right w:w="90" w:type="dxa"/>
            </w:tcMar>
          </w:tcPr>
          <w:p>
            <w:pPr>
              <w:jc w:val="left"/>
            </w:pPr>
            <w:r>
              <w:rPr>
                <w:rFonts w:ascii="Times New Roman" w:hAnsi="Times New Roman"/>
                <w:b/>
                <w:sz w:val="16"/>
              </w:rPr>
              <w:t>95.00% [88.8%, 97.9%]</w:t>
            </w:r>
          </w:p>
        </w:tc>
        <w:tc>
          <w:tcPr>
            <w:tcW w:type="dxa" w:w="1440"/>
            <w:shd w:fill="F1F5F9"/>
            <w:tcMar>
              <w:top w:w="50" w:type="dxa"/>
              <w:bottom w:w="50" w:type="dxa"/>
              <w:left w:w="90" w:type="dxa"/>
              <w:right w:w="90" w:type="dxa"/>
            </w:tcMar>
          </w:tcPr>
          <w:p>
            <w:pPr>
              <w:jc w:val="left"/>
            </w:pPr>
            <w:r>
              <w:rPr>
                <w:rFonts w:ascii="Times New Roman" w:hAnsi="Times New Roman"/>
                <w:b/>
                <w:sz w:val="16"/>
              </w:rPr>
              <w:t>2.00% [0.55%, 7.0%]</w:t>
            </w:r>
          </w:p>
        </w:tc>
        <w:tc>
          <w:tcPr>
            <w:tcW w:type="dxa" w:w="1584"/>
            <w:shd w:fill="F1F5F9"/>
            <w:tcMar>
              <w:top w:w="50" w:type="dxa"/>
              <w:bottom w:w="50" w:type="dxa"/>
              <w:left w:w="90" w:type="dxa"/>
              <w:right w:w="90" w:type="dxa"/>
            </w:tcMar>
          </w:tcPr>
          <w:p>
            <w:pPr>
              <w:jc w:val="left"/>
            </w:pPr>
            <w:r>
              <w:rPr>
                <w:rFonts w:ascii="Times New Roman" w:hAnsi="Times New Roman"/>
                <w:b/>
                <w:sz w:val="16"/>
              </w:rPr>
              <w:t>96.00% [90.2%, 98.4%]</w:t>
            </w:r>
          </w:p>
        </w:tc>
      </w:tr>
    </w:tbl>
    <w:p>
      <w:pPr>
        <w:spacing w:before="0" w:after="120"/>
      </w:pPr>
    </w:p>
    <w:p>
      <w:pPr>
        <w:keepNext/>
        <w:spacing w:before="160" w:after="40"/>
      </w:pPr>
      <w:r>
        <w:rPr>
          <w:b/>
          <w:i/>
          <w:color w:val="1E293B"/>
          <w:sz w:val="20"/>
        </w:rPr>
        <w:t>C. Conversational Telemetry and Multi-Tier Latency (RQ3)</w:t>
      </w:r>
    </w:p>
    <w:p>
      <w:pPr>
        <w:spacing w:before="0" w:after="100" w:line="269" w:lineRule="auto"/>
        <w:jc w:val="both"/>
      </w:pPr>
      <w:r>
        <w:rPr>
          <w:sz w:val="19"/>
        </w:rPr>
        <w:t>Addressing RQ3, conversational telemetry across N = 1,485 dialogue turns recorded in the production audit log (data/chat_telemetry_1485.csv) demonstrated the operational resilience of the four-tier failover cascade (Table VI, Fig. 5). In accordance with the cascading waterfall routing architecture, all 1,485 user queries were initially directed to Tier 1 (Primary Cloud AI: Google Gemini 2.5 Flash). Tier 1 successfully resolved 1,357 queries (91.38% terminal resolution rate; 1,142 via Tier 1a Internal RAG at 980 +- 215 ms, and 215 via Tier 1b Web Grounding at 1,820 +- 380 ms). A total of 128 queries encountered upstream failure in Tier 1 (74 HTTP 429 quota exceptions during burst concurrent traffic, 36 request timeouts exceeding the 15-second threshold under campus WAN saturation, and 18 socket connection drops).</w:t>
        <w:br/>
        <w:br/>
        <w:t>All 128 failed queries were seamlessly escalated to Tier 2 (Perplexity Sonar SSE API). Tier 2 successfully resolved 78 queries (5.25% of total pilot volume; 2,450 +- 480 ms), while 50 queries failed (32 Cloudflare WAF rate limits and 18 gateway timeouts). These 50 escalated turns were routed to Tier 3 (Local/Edge Hugging Face Qwen-2.5 72B), which resolved 32 queries (2.15% of total pilot volume; 2,340 +- 520 ms), while 18 queries failed due to campus WAN link disconnections during local ISP fluctuations. All 18 remaining queries were immediately absorbed by Tier 4 (Deterministic Offline Localhost Rule Templates), executing in 11 +- 3 ms with a 100.0% completion rate. Across all tiers, the platform sustained a weighted grand mean latency of 1,196.4 ms (~1,196 ms), 98.79% primary cloud availability (1,467/1,485 resolved in cloud tiers), and 100.0% platform-level service continuity without a single unhandled dropped query.</w:t>
      </w:r>
    </w:p>
    <w:p>
      <w:pPr>
        <w:keepNext/>
        <w:spacing w:before="120" w:after="60"/>
        <w:jc w:val="center"/>
      </w:pPr>
    </w:p>
    <w:p>
      <w:r>
        <w:drawing>
          <wp:inline xmlns:a="http://schemas.openxmlformats.org/drawingml/2006/main" xmlns:pic="http://schemas.openxmlformats.org/drawingml/2006/picture">
            <wp:extent cx="6035040" cy="3346656"/>
            <wp:docPr id="5" name="Picture 5"/>
            <wp:cNvGraphicFramePr>
              <a:graphicFrameLocks noChangeAspect="1"/>
            </wp:cNvGraphicFramePr>
            <a:graphic>
              <a:graphicData uri="http://schemas.openxmlformats.org/drawingml/2006/picture">
                <pic:pic>
                  <pic:nvPicPr>
                    <pic:cNvPr id="0" name="fig5_provider_latency_telemetry.png"/>
                    <pic:cNvPicPr/>
                  </pic:nvPicPr>
                  <pic:blipFill>
                    <a:blip r:embed="rId13"/>
                    <a:stretch>
                      <a:fillRect/>
                    </a:stretch>
                  </pic:blipFill>
                  <pic:spPr>
                    <a:xfrm>
                      <a:off x="0" y="0"/>
                      <a:ext cx="6035040" cy="3346656"/>
                    </a:xfrm>
                    <a:prstGeom prst="rect"/>
                  </pic:spPr>
                </pic:pic>
              </a:graphicData>
            </a:graphic>
          </wp:inline>
        </w:drawing>
      </w:r>
    </w:p>
    <w:p>
      <w:pPr>
        <w:spacing w:before="40" w:after="160"/>
        <w:jc w:val="center"/>
      </w:pPr>
      <w:r>
        <w:rPr>
          <w:i/>
          <w:color w:val="334155"/>
          <w:sz w:val="17"/>
        </w:rPr>
        <w:t>Fig. 5. Multi-Provider Fallback Telemetry and Latency Distributions During 6-Month Pilot (N = 1,485 Turns).</w:t>
      </w:r>
    </w:p>
    <w:p>
      <w:pPr>
        <w:keepNext/>
        <w:spacing w:before="160" w:after="80"/>
        <w:jc w:val="center"/>
      </w:pPr>
      <w:r>
        <w:rPr>
          <w:rFonts w:ascii="Times New Roman" w:hAnsi="Times New Roman"/>
          <w:b/>
          <w:sz w:val="17"/>
        </w:rPr>
        <w:t>TABLE VI</w:t>
        <w:br/>
        <w:t>CONVERSATIONAL AI PROVIDER INVOCATIONS, EXECUTION SHARE, AND RESPONSE LATENCIES (N = 1,485 TURNS)</w:t>
      </w:r>
    </w:p>
    <w:tbl>
      <w:tblPr>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2592"/>
            <w:shd w:fill="E2E8F0"/>
            <w:tcMar>
              <w:top w:w="80" w:type="dxa"/>
              <w:bottom w:w="80" w:type="dxa"/>
              <w:left w:w="100" w:type="dxa"/>
              <w:right w:w="100" w:type="dxa"/>
            </w:tcMar>
          </w:tcPr>
          <w:p>
            <w:pPr>
              <w:jc w:val="center"/>
            </w:pPr>
            <w:r>
              <w:rPr>
                <w:rFonts w:ascii="Times New Roman" w:hAnsi="Times New Roman"/>
                <w:b/>
                <w:color w:val="0F172A"/>
                <w:sz w:val="16"/>
              </w:rPr>
              <w:t>AI Execution Provider Tier</w:t>
            </w:r>
          </w:p>
        </w:tc>
        <w:tc>
          <w:tcPr>
            <w:tcW w:type="dxa" w:w="1152"/>
            <w:shd w:fill="E2E8F0"/>
            <w:tcMar>
              <w:top w:w="80" w:type="dxa"/>
              <w:bottom w:w="80" w:type="dxa"/>
              <w:left w:w="100" w:type="dxa"/>
              <w:right w:w="100" w:type="dxa"/>
            </w:tcMar>
          </w:tcPr>
          <w:p>
            <w:pPr>
              <w:jc w:val="center"/>
            </w:pPr>
            <w:r>
              <w:rPr>
                <w:rFonts w:ascii="Times New Roman" w:hAnsi="Times New Roman"/>
                <w:b/>
                <w:color w:val="0F172A"/>
                <w:sz w:val="16"/>
              </w:rPr>
              <w:t>Invocations</w:t>
            </w:r>
          </w:p>
        </w:tc>
        <w:tc>
          <w:tcPr>
            <w:tcW w:type="dxa" w:w="1152"/>
            <w:shd w:fill="E2E8F0"/>
            <w:tcMar>
              <w:top w:w="80" w:type="dxa"/>
              <w:bottom w:w="80" w:type="dxa"/>
              <w:left w:w="100" w:type="dxa"/>
              <w:right w:w="100" w:type="dxa"/>
            </w:tcMar>
          </w:tcPr>
          <w:p>
            <w:pPr>
              <w:jc w:val="center"/>
            </w:pPr>
            <w:r>
              <w:rPr>
                <w:rFonts w:ascii="Times New Roman" w:hAnsi="Times New Roman"/>
                <w:b/>
                <w:color w:val="0F172A"/>
                <w:sz w:val="16"/>
              </w:rPr>
              <w:t>Resolutions (%)</w:t>
            </w:r>
          </w:p>
        </w:tc>
        <w:tc>
          <w:tcPr>
            <w:tcW w:type="dxa" w:w="1296"/>
            <w:shd w:fill="E2E8F0"/>
            <w:tcMar>
              <w:top w:w="80" w:type="dxa"/>
              <w:bottom w:w="80" w:type="dxa"/>
              <w:left w:w="100" w:type="dxa"/>
              <w:right w:w="100" w:type="dxa"/>
            </w:tcMar>
          </w:tcPr>
          <w:p>
            <w:pPr>
              <w:jc w:val="center"/>
            </w:pPr>
            <w:r>
              <w:rPr>
                <w:rFonts w:ascii="Times New Roman" w:hAnsi="Times New Roman"/>
                <w:b/>
                <w:color w:val="0F172A"/>
                <w:sz w:val="16"/>
              </w:rPr>
              <w:t>Mean Latency</w:t>
            </w:r>
          </w:p>
        </w:tc>
        <w:tc>
          <w:tcPr>
            <w:tcW w:type="dxa" w:w="1008"/>
            <w:shd w:fill="E2E8F0"/>
            <w:tcMar>
              <w:top w:w="80" w:type="dxa"/>
              <w:bottom w:w="80" w:type="dxa"/>
              <w:left w:w="100" w:type="dxa"/>
              <w:right w:w="100" w:type="dxa"/>
            </w:tcMar>
          </w:tcPr>
          <w:p>
            <w:pPr>
              <w:jc w:val="center"/>
            </w:pPr>
            <w:r>
              <w:rPr>
                <w:rFonts w:ascii="Times New Roman" w:hAnsi="Times New Roman"/>
                <w:b/>
                <w:color w:val="0F172A"/>
                <w:sz w:val="16"/>
              </w:rPr>
              <w:t>Median (p50)</w:t>
            </w:r>
          </w:p>
        </w:tc>
        <w:tc>
          <w:tcPr>
            <w:tcW w:type="dxa" w:w="864"/>
            <w:shd w:fill="E2E8F0"/>
            <w:tcMar>
              <w:top w:w="80" w:type="dxa"/>
              <w:bottom w:w="80" w:type="dxa"/>
              <w:left w:w="100" w:type="dxa"/>
              <w:right w:w="100" w:type="dxa"/>
            </w:tcMar>
          </w:tcPr>
          <w:p>
            <w:pPr>
              <w:jc w:val="center"/>
            </w:pPr>
            <w:r>
              <w:rPr>
                <w:rFonts w:ascii="Times New Roman" w:hAnsi="Times New Roman"/>
                <w:b/>
                <w:color w:val="0F172A"/>
                <w:sz w:val="16"/>
              </w:rPr>
              <w:t>Tail (p95)</w:t>
            </w:r>
          </w:p>
        </w:tc>
        <w:tc>
          <w:tcPr>
            <w:tcW w:type="dxa" w:w="2304"/>
            <w:shd w:fill="E2E8F0"/>
            <w:tcMar>
              <w:top w:w="80" w:type="dxa"/>
              <w:bottom w:w="80" w:type="dxa"/>
              <w:left w:w="100" w:type="dxa"/>
              <w:right w:w="100" w:type="dxa"/>
            </w:tcMar>
          </w:tcPr>
          <w:p>
            <w:pPr>
              <w:jc w:val="center"/>
            </w:pPr>
            <w:r>
              <w:rPr>
                <w:rFonts w:ascii="Times New Roman" w:hAnsi="Times New Roman"/>
                <w:b/>
                <w:color w:val="0F172A"/>
                <w:sz w:val="16"/>
              </w:rPr>
              <w:t>Primary Failure &amp; Escalation Mode</w:t>
            </w:r>
          </w:p>
        </w:tc>
      </w:tr>
      <w:tr>
        <w:tc>
          <w:tcPr>
            <w:tcW w:type="dxa" w:w="2592"/>
            <w:shd w:fill="FFFFFF"/>
            <w:tcMar>
              <w:top w:w="50" w:type="dxa"/>
              <w:bottom w:w="50" w:type="dxa"/>
              <w:left w:w="90" w:type="dxa"/>
              <w:right w:w="90" w:type="dxa"/>
            </w:tcMar>
          </w:tcPr>
          <w:p>
            <w:pPr>
              <w:jc w:val="left"/>
            </w:pPr>
            <w:r>
              <w:rPr>
                <w:rFonts w:ascii="Times New Roman" w:hAnsi="Times New Roman"/>
                <w:sz w:val="16"/>
              </w:rPr>
              <w:t>Tier 1a: Google Gemini (Internal RAG)</w:t>
            </w:r>
          </w:p>
        </w:tc>
        <w:tc>
          <w:tcPr>
            <w:tcW w:type="dxa" w:w="1152"/>
            <w:shd w:fill="FFFFFF"/>
            <w:tcMar>
              <w:top w:w="50" w:type="dxa"/>
              <w:bottom w:w="50" w:type="dxa"/>
              <w:left w:w="90" w:type="dxa"/>
              <w:right w:w="90" w:type="dxa"/>
            </w:tcMar>
          </w:tcPr>
          <w:p>
            <w:pPr>
              <w:jc w:val="center"/>
            </w:pPr>
            <w:r>
              <w:rPr>
                <w:rFonts w:ascii="Times New Roman" w:hAnsi="Times New Roman"/>
                <w:sz w:val="16"/>
              </w:rPr>
              <w:t>1,142 / 1,485</w:t>
            </w:r>
          </w:p>
        </w:tc>
        <w:tc>
          <w:tcPr>
            <w:tcW w:type="dxa" w:w="1152"/>
            <w:shd w:fill="FFFFFF"/>
            <w:tcMar>
              <w:top w:w="50" w:type="dxa"/>
              <w:bottom w:w="50" w:type="dxa"/>
              <w:left w:w="90" w:type="dxa"/>
              <w:right w:w="90" w:type="dxa"/>
            </w:tcMar>
          </w:tcPr>
          <w:p>
            <w:pPr>
              <w:jc w:val="center"/>
            </w:pPr>
            <w:r>
              <w:rPr>
                <w:rFonts w:ascii="Times New Roman" w:hAnsi="Times New Roman"/>
                <w:sz w:val="16"/>
              </w:rPr>
              <w:t>76.90% (1,142)</w:t>
            </w:r>
          </w:p>
        </w:tc>
        <w:tc>
          <w:tcPr>
            <w:tcW w:type="dxa" w:w="1296"/>
            <w:shd w:fill="FFFFFF"/>
            <w:tcMar>
              <w:top w:w="50" w:type="dxa"/>
              <w:bottom w:w="50" w:type="dxa"/>
              <w:left w:w="90" w:type="dxa"/>
              <w:right w:w="90" w:type="dxa"/>
            </w:tcMar>
          </w:tcPr>
          <w:p>
            <w:pPr>
              <w:jc w:val="center"/>
            </w:pPr>
            <w:r>
              <w:rPr>
                <w:rFonts w:ascii="Times New Roman" w:hAnsi="Times New Roman"/>
                <w:sz w:val="16"/>
              </w:rPr>
              <w:t>980 +- 215 ms</w:t>
            </w:r>
          </w:p>
        </w:tc>
        <w:tc>
          <w:tcPr>
            <w:tcW w:type="dxa" w:w="1008"/>
            <w:shd w:fill="FFFFFF"/>
            <w:tcMar>
              <w:top w:w="50" w:type="dxa"/>
              <w:bottom w:w="50" w:type="dxa"/>
              <w:left w:w="90" w:type="dxa"/>
              <w:right w:w="90" w:type="dxa"/>
            </w:tcMar>
          </w:tcPr>
          <w:p>
            <w:pPr>
              <w:jc w:val="center"/>
            </w:pPr>
            <w:r>
              <w:rPr>
                <w:rFonts w:ascii="Times New Roman" w:hAnsi="Times New Roman"/>
                <w:sz w:val="16"/>
              </w:rPr>
              <w:t>940 ms</w:t>
            </w:r>
          </w:p>
        </w:tc>
        <w:tc>
          <w:tcPr>
            <w:tcW w:type="dxa" w:w="864"/>
            <w:shd w:fill="FFFFFF"/>
            <w:tcMar>
              <w:top w:w="50" w:type="dxa"/>
              <w:bottom w:w="50" w:type="dxa"/>
              <w:left w:w="90" w:type="dxa"/>
              <w:right w:w="90" w:type="dxa"/>
            </w:tcMar>
          </w:tcPr>
          <w:p>
            <w:pPr>
              <w:jc w:val="center"/>
            </w:pPr>
            <w:r>
              <w:rPr>
                <w:rFonts w:ascii="Times New Roman" w:hAnsi="Times New Roman"/>
                <w:sz w:val="16"/>
              </w:rPr>
              <w:t>1,320 ms</w:t>
            </w:r>
          </w:p>
        </w:tc>
        <w:tc>
          <w:tcPr>
            <w:tcW w:type="dxa" w:w="2304"/>
            <w:shd w:fill="FFFFFF"/>
            <w:tcMar>
              <w:top w:w="50" w:type="dxa"/>
              <w:bottom w:w="50" w:type="dxa"/>
              <w:left w:w="90" w:type="dxa"/>
              <w:right w:w="90" w:type="dxa"/>
            </w:tcMar>
          </w:tcPr>
          <w:p>
            <w:pPr>
              <w:jc w:val="left"/>
            </w:pPr>
            <w:r>
              <w:rPr>
                <w:rFonts w:ascii="Times New Roman" w:hAnsi="Times New Roman"/>
                <w:sz w:val="16"/>
              </w:rPr>
              <w:t>58 errors (34 quota 429, 16 timeouts, 8 drops)</w:t>
            </w:r>
          </w:p>
        </w:tc>
      </w:tr>
      <w:tr>
        <w:tc>
          <w:tcPr>
            <w:tcW w:type="dxa" w:w="2592"/>
            <w:shd w:fill="F8FAFC"/>
            <w:tcMar>
              <w:top w:w="50" w:type="dxa"/>
              <w:bottom w:w="50" w:type="dxa"/>
              <w:left w:w="90" w:type="dxa"/>
              <w:right w:w="90" w:type="dxa"/>
            </w:tcMar>
          </w:tcPr>
          <w:p>
            <w:pPr>
              <w:jc w:val="left"/>
            </w:pPr>
            <w:r>
              <w:rPr>
                <w:rFonts w:ascii="Times New Roman" w:hAnsi="Times New Roman"/>
                <w:sz w:val="16"/>
              </w:rPr>
              <w:t>Tier 1b: Google Gemini (Web Grounding)</w:t>
            </w:r>
          </w:p>
        </w:tc>
        <w:tc>
          <w:tcPr>
            <w:tcW w:type="dxa" w:w="1152"/>
            <w:shd w:fill="F8FAFC"/>
            <w:tcMar>
              <w:top w:w="50" w:type="dxa"/>
              <w:bottom w:w="50" w:type="dxa"/>
              <w:left w:w="90" w:type="dxa"/>
              <w:right w:w="90" w:type="dxa"/>
            </w:tcMar>
          </w:tcPr>
          <w:p>
            <w:pPr>
              <w:jc w:val="center"/>
            </w:pPr>
            <w:r>
              <w:rPr>
                <w:rFonts w:ascii="Times New Roman" w:hAnsi="Times New Roman"/>
                <w:sz w:val="16"/>
              </w:rPr>
              <w:t>215 / 1,485</w:t>
            </w:r>
          </w:p>
        </w:tc>
        <w:tc>
          <w:tcPr>
            <w:tcW w:type="dxa" w:w="1152"/>
            <w:shd w:fill="F8FAFC"/>
            <w:tcMar>
              <w:top w:w="50" w:type="dxa"/>
              <w:bottom w:w="50" w:type="dxa"/>
              <w:left w:w="90" w:type="dxa"/>
              <w:right w:w="90" w:type="dxa"/>
            </w:tcMar>
          </w:tcPr>
          <w:p>
            <w:pPr>
              <w:jc w:val="center"/>
            </w:pPr>
            <w:r>
              <w:rPr>
                <w:rFonts w:ascii="Times New Roman" w:hAnsi="Times New Roman"/>
                <w:sz w:val="16"/>
              </w:rPr>
              <w:t>14.48% (215)</w:t>
            </w:r>
          </w:p>
        </w:tc>
        <w:tc>
          <w:tcPr>
            <w:tcW w:type="dxa" w:w="1296"/>
            <w:shd w:fill="F8FAFC"/>
            <w:tcMar>
              <w:top w:w="50" w:type="dxa"/>
              <w:bottom w:w="50" w:type="dxa"/>
              <w:left w:w="90" w:type="dxa"/>
              <w:right w:w="90" w:type="dxa"/>
            </w:tcMar>
          </w:tcPr>
          <w:p>
            <w:pPr>
              <w:jc w:val="center"/>
            </w:pPr>
            <w:r>
              <w:rPr>
                <w:rFonts w:ascii="Times New Roman" w:hAnsi="Times New Roman"/>
                <w:sz w:val="16"/>
              </w:rPr>
              <w:t>1,820 +- 380 ms</w:t>
            </w:r>
          </w:p>
        </w:tc>
        <w:tc>
          <w:tcPr>
            <w:tcW w:type="dxa" w:w="1008"/>
            <w:shd w:fill="F8FAFC"/>
            <w:tcMar>
              <w:top w:w="50" w:type="dxa"/>
              <w:bottom w:w="50" w:type="dxa"/>
              <w:left w:w="90" w:type="dxa"/>
              <w:right w:w="90" w:type="dxa"/>
            </w:tcMar>
          </w:tcPr>
          <w:p>
            <w:pPr>
              <w:jc w:val="center"/>
            </w:pPr>
            <w:r>
              <w:rPr>
                <w:rFonts w:ascii="Times New Roman" w:hAnsi="Times New Roman"/>
                <w:sz w:val="16"/>
              </w:rPr>
              <w:t>1,750 ms</w:t>
            </w:r>
          </w:p>
        </w:tc>
        <w:tc>
          <w:tcPr>
            <w:tcW w:type="dxa" w:w="864"/>
            <w:shd w:fill="F8FAFC"/>
            <w:tcMar>
              <w:top w:w="50" w:type="dxa"/>
              <w:bottom w:w="50" w:type="dxa"/>
              <w:left w:w="90" w:type="dxa"/>
              <w:right w:w="90" w:type="dxa"/>
            </w:tcMar>
          </w:tcPr>
          <w:p>
            <w:pPr>
              <w:jc w:val="center"/>
            </w:pPr>
            <w:r>
              <w:rPr>
                <w:rFonts w:ascii="Times New Roman" w:hAnsi="Times New Roman"/>
                <w:sz w:val="16"/>
              </w:rPr>
              <w:t>2,450 ms</w:t>
            </w:r>
          </w:p>
        </w:tc>
        <w:tc>
          <w:tcPr>
            <w:tcW w:type="dxa" w:w="2304"/>
            <w:shd w:fill="F8FAFC"/>
            <w:tcMar>
              <w:top w:w="50" w:type="dxa"/>
              <w:bottom w:w="50" w:type="dxa"/>
              <w:left w:w="90" w:type="dxa"/>
              <w:right w:w="90" w:type="dxa"/>
            </w:tcMar>
          </w:tcPr>
          <w:p>
            <w:pPr>
              <w:jc w:val="left"/>
            </w:pPr>
            <w:r>
              <w:rPr>
                <w:rFonts w:ascii="Times New Roman" w:hAnsi="Times New Roman"/>
                <w:sz w:val="16"/>
              </w:rPr>
              <w:t>70 errors (40 quota 429, 20 timeouts, 10 drops)</w:t>
            </w:r>
          </w:p>
        </w:tc>
      </w:tr>
      <w:tr>
        <w:tc>
          <w:tcPr>
            <w:tcW w:type="dxa" w:w="2592"/>
            <w:shd w:fill="FFFFFF"/>
            <w:tcMar>
              <w:top w:w="50" w:type="dxa"/>
              <w:bottom w:w="50" w:type="dxa"/>
              <w:left w:w="90" w:type="dxa"/>
              <w:right w:w="90" w:type="dxa"/>
            </w:tcMar>
          </w:tcPr>
          <w:p>
            <w:pPr>
              <w:jc w:val="left"/>
            </w:pPr>
            <w:r>
              <w:rPr>
                <w:rFonts w:ascii="Times New Roman" w:hAnsi="Times New Roman"/>
                <w:sz w:val="16"/>
              </w:rPr>
              <w:t>(Combined Tier 1 Primary Cloud)</w:t>
            </w:r>
          </w:p>
        </w:tc>
        <w:tc>
          <w:tcPr>
            <w:tcW w:type="dxa" w:w="1152"/>
            <w:shd w:fill="FFFFFF"/>
            <w:tcMar>
              <w:top w:w="50" w:type="dxa"/>
              <w:bottom w:w="50" w:type="dxa"/>
              <w:left w:w="90" w:type="dxa"/>
              <w:right w:w="90" w:type="dxa"/>
            </w:tcMar>
          </w:tcPr>
          <w:p>
            <w:pPr>
              <w:jc w:val="center"/>
            </w:pPr>
            <w:r>
              <w:rPr>
                <w:rFonts w:ascii="Times New Roman" w:hAnsi="Times New Roman"/>
                <w:sz w:val="16"/>
              </w:rPr>
              <w:t>(1,485 calls)</w:t>
            </w:r>
          </w:p>
        </w:tc>
        <w:tc>
          <w:tcPr>
            <w:tcW w:type="dxa" w:w="1152"/>
            <w:shd w:fill="FFFFFF"/>
            <w:tcMar>
              <w:top w:w="50" w:type="dxa"/>
              <w:bottom w:w="50" w:type="dxa"/>
              <w:left w:w="90" w:type="dxa"/>
              <w:right w:w="90" w:type="dxa"/>
            </w:tcMar>
          </w:tcPr>
          <w:p>
            <w:pPr>
              <w:jc w:val="center"/>
            </w:pPr>
            <w:r>
              <w:rPr>
                <w:rFonts w:ascii="Times New Roman" w:hAnsi="Times New Roman"/>
                <w:sz w:val="16"/>
              </w:rPr>
              <w:t>91.38% (1,357)</w:t>
            </w:r>
          </w:p>
        </w:tc>
        <w:tc>
          <w:tcPr>
            <w:tcW w:type="dxa" w:w="1296"/>
            <w:shd w:fill="FFFFFF"/>
            <w:tcMar>
              <w:top w:w="50" w:type="dxa"/>
              <w:bottom w:w="50" w:type="dxa"/>
              <w:left w:w="90" w:type="dxa"/>
              <w:right w:w="90" w:type="dxa"/>
            </w:tcMar>
          </w:tcPr>
          <w:p>
            <w:pPr>
              <w:jc w:val="center"/>
            </w:pPr>
            <w:r>
              <w:rPr>
                <w:rFonts w:ascii="Times New Roman" w:hAnsi="Times New Roman"/>
                <w:sz w:val="16"/>
              </w:rPr>
              <w:t>1,113.1 ms</w:t>
            </w:r>
          </w:p>
        </w:tc>
        <w:tc>
          <w:tcPr>
            <w:tcW w:type="dxa" w:w="1008"/>
            <w:shd w:fill="FFFFFF"/>
            <w:tcMar>
              <w:top w:w="50" w:type="dxa"/>
              <w:bottom w:w="50" w:type="dxa"/>
              <w:left w:w="90" w:type="dxa"/>
              <w:right w:w="90" w:type="dxa"/>
            </w:tcMar>
          </w:tcPr>
          <w:p>
            <w:pPr>
              <w:jc w:val="center"/>
            </w:pPr>
            <w:r>
              <w:rPr>
                <w:rFonts w:ascii="Times New Roman" w:hAnsi="Times New Roman"/>
                <w:sz w:val="16"/>
              </w:rPr>
              <w:t>960 ms</w:t>
            </w:r>
          </w:p>
        </w:tc>
        <w:tc>
          <w:tcPr>
            <w:tcW w:type="dxa" w:w="864"/>
            <w:shd w:fill="FFFFFF"/>
            <w:tcMar>
              <w:top w:w="50" w:type="dxa"/>
              <w:bottom w:w="50" w:type="dxa"/>
              <w:left w:w="90" w:type="dxa"/>
              <w:right w:w="90" w:type="dxa"/>
            </w:tcMar>
          </w:tcPr>
          <w:p>
            <w:pPr>
              <w:jc w:val="center"/>
            </w:pPr>
            <w:r>
              <w:rPr>
                <w:rFonts w:ascii="Times New Roman" w:hAnsi="Times New Roman"/>
                <w:sz w:val="16"/>
              </w:rPr>
              <w:t>1,580 ms</w:t>
            </w:r>
          </w:p>
        </w:tc>
        <w:tc>
          <w:tcPr>
            <w:tcW w:type="dxa" w:w="2304"/>
            <w:shd w:fill="FFFFFF"/>
            <w:tcMar>
              <w:top w:w="50" w:type="dxa"/>
              <w:bottom w:w="50" w:type="dxa"/>
              <w:left w:w="90" w:type="dxa"/>
              <w:right w:w="90" w:type="dxa"/>
            </w:tcMar>
          </w:tcPr>
          <w:p>
            <w:pPr>
              <w:jc w:val="left"/>
            </w:pPr>
            <w:r>
              <w:rPr>
                <w:rFonts w:ascii="Times New Roman" w:hAnsi="Times New Roman"/>
                <w:sz w:val="16"/>
              </w:rPr>
              <w:t>128 Failures Escalated to Tier 2 (74 quota, 36 timeout, 18 drop)</w:t>
            </w:r>
          </w:p>
        </w:tc>
      </w:tr>
      <w:tr>
        <w:tc>
          <w:tcPr>
            <w:tcW w:type="dxa" w:w="2592"/>
            <w:shd w:fill="F8FAFC"/>
            <w:tcMar>
              <w:top w:w="50" w:type="dxa"/>
              <w:bottom w:w="50" w:type="dxa"/>
              <w:left w:w="90" w:type="dxa"/>
              <w:right w:w="90" w:type="dxa"/>
            </w:tcMar>
          </w:tcPr>
          <w:p>
            <w:pPr>
              <w:jc w:val="left"/>
            </w:pPr>
            <w:r>
              <w:rPr>
                <w:rFonts w:ascii="Times New Roman" w:hAnsi="Times New Roman"/>
                <w:sz w:val="16"/>
              </w:rPr>
              <w:t>Tier 2: Perplexity SSE API (Secondary)</w:t>
            </w:r>
          </w:p>
        </w:tc>
        <w:tc>
          <w:tcPr>
            <w:tcW w:type="dxa" w:w="1152"/>
            <w:shd w:fill="F8FAFC"/>
            <w:tcMar>
              <w:top w:w="50" w:type="dxa"/>
              <w:bottom w:w="50" w:type="dxa"/>
              <w:left w:w="90" w:type="dxa"/>
              <w:right w:w="90" w:type="dxa"/>
            </w:tcMar>
          </w:tcPr>
          <w:p>
            <w:pPr>
              <w:jc w:val="center"/>
            </w:pPr>
            <w:r>
              <w:rPr>
                <w:rFonts w:ascii="Times New Roman" w:hAnsi="Times New Roman"/>
                <w:sz w:val="16"/>
              </w:rPr>
              <w:t>128 / 1,485</w:t>
            </w:r>
          </w:p>
        </w:tc>
        <w:tc>
          <w:tcPr>
            <w:tcW w:type="dxa" w:w="1152"/>
            <w:shd w:fill="F8FAFC"/>
            <w:tcMar>
              <w:top w:w="50" w:type="dxa"/>
              <w:bottom w:w="50" w:type="dxa"/>
              <w:left w:w="90" w:type="dxa"/>
              <w:right w:w="90" w:type="dxa"/>
            </w:tcMar>
          </w:tcPr>
          <w:p>
            <w:pPr>
              <w:jc w:val="center"/>
            </w:pPr>
            <w:r>
              <w:rPr>
                <w:rFonts w:ascii="Times New Roman" w:hAnsi="Times New Roman"/>
                <w:sz w:val="16"/>
              </w:rPr>
              <w:t>5.25% (78)</w:t>
            </w:r>
          </w:p>
        </w:tc>
        <w:tc>
          <w:tcPr>
            <w:tcW w:type="dxa" w:w="1296"/>
            <w:shd w:fill="F8FAFC"/>
            <w:tcMar>
              <w:top w:w="50" w:type="dxa"/>
              <w:bottom w:w="50" w:type="dxa"/>
              <w:left w:w="90" w:type="dxa"/>
              <w:right w:w="90" w:type="dxa"/>
            </w:tcMar>
          </w:tcPr>
          <w:p>
            <w:pPr>
              <w:jc w:val="center"/>
            </w:pPr>
            <w:r>
              <w:rPr>
                <w:rFonts w:ascii="Times New Roman" w:hAnsi="Times New Roman"/>
                <w:sz w:val="16"/>
              </w:rPr>
              <w:t>2,450 +- 480 ms</w:t>
            </w:r>
          </w:p>
        </w:tc>
        <w:tc>
          <w:tcPr>
            <w:tcW w:type="dxa" w:w="1008"/>
            <w:shd w:fill="F8FAFC"/>
            <w:tcMar>
              <w:top w:w="50" w:type="dxa"/>
              <w:bottom w:w="50" w:type="dxa"/>
              <w:left w:w="90" w:type="dxa"/>
              <w:right w:w="90" w:type="dxa"/>
            </w:tcMar>
          </w:tcPr>
          <w:p>
            <w:pPr>
              <w:jc w:val="center"/>
            </w:pPr>
            <w:r>
              <w:rPr>
                <w:rFonts w:ascii="Times New Roman" w:hAnsi="Times New Roman"/>
                <w:sz w:val="16"/>
              </w:rPr>
              <w:t>2,380 ms</w:t>
            </w:r>
          </w:p>
        </w:tc>
        <w:tc>
          <w:tcPr>
            <w:tcW w:type="dxa" w:w="864"/>
            <w:shd w:fill="F8FAFC"/>
            <w:tcMar>
              <w:top w:w="50" w:type="dxa"/>
              <w:bottom w:w="50" w:type="dxa"/>
              <w:left w:w="90" w:type="dxa"/>
              <w:right w:w="90" w:type="dxa"/>
            </w:tcMar>
          </w:tcPr>
          <w:p>
            <w:pPr>
              <w:jc w:val="center"/>
            </w:pPr>
            <w:r>
              <w:rPr>
                <w:rFonts w:ascii="Times New Roman" w:hAnsi="Times New Roman"/>
                <w:sz w:val="16"/>
              </w:rPr>
              <w:t>3,180 ms</w:t>
            </w:r>
          </w:p>
        </w:tc>
        <w:tc>
          <w:tcPr>
            <w:tcW w:type="dxa" w:w="2304"/>
            <w:shd w:fill="F8FAFC"/>
            <w:tcMar>
              <w:top w:w="50" w:type="dxa"/>
              <w:bottom w:w="50" w:type="dxa"/>
              <w:left w:w="90" w:type="dxa"/>
              <w:right w:w="90" w:type="dxa"/>
            </w:tcMar>
          </w:tcPr>
          <w:p>
            <w:pPr>
              <w:jc w:val="left"/>
            </w:pPr>
            <w:r>
              <w:rPr>
                <w:rFonts w:ascii="Times New Roman" w:hAnsi="Times New Roman"/>
                <w:sz w:val="16"/>
              </w:rPr>
              <w:t>50 Failures Escalated to Tier 3 (32 rate limits, 18 timeouts)</w:t>
            </w:r>
          </w:p>
        </w:tc>
      </w:tr>
      <w:tr>
        <w:tc>
          <w:tcPr>
            <w:tcW w:type="dxa" w:w="2592"/>
            <w:shd w:fill="FFFFFF"/>
            <w:tcMar>
              <w:top w:w="50" w:type="dxa"/>
              <w:bottom w:w="50" w:type="dxa"/>
              <w:left w:w="90" w:type="dxa"/>
              <w:right w:w="90" w:type="dxa"/>
            </w:tcMar>
          </w:tcPr>
          <w:p>
            <w:pPr>
              <w:jc w:val="left"/>
            </w:pPr>
            <w:r>
              <w:rPr>
                <w:rFonts w:ascii="Times New Roman" w:hAnsi="Times New Roman"/>
                <w:sz w:val="16"/>
              </w:rPr>
              <w:t>Tier 3: Hugging Face Qwen2.5-72B (Tertiary)</w:t>
            </w:r>
          </w:p>
        </w:tc>
        <w:tc>
          <w:tcPr>
            <w:tcW w:type="dxa" w:w="1152"/>
            <w:shd w:fill="FFFFFF"/>
            <w:tcMar>
              <w:top w:w="50" w:type="dxa"/>
              <w:bottom w:w="50" w:type="dxa"/>
              <w:left w:w="90" w:type="dxa"/>
              <w:right w:w="90" w:type="dxa"/>
            </w:tcMar>
          </w:tcPr>
          <w:p>
            <w:pPr>
              <w:jc w:val="center"/>
            </w:pPr>
            <w:r>
              <w:rPr>
                <w:rFonts w:ascii="Times New Roman" w:hAnsi="Times New Roman"/>
                <w:sz w:val="16"/>
              </w:rPr>
              <w:t>50 / 1,485</w:t>
            </w:r>
          </w:p>
        </w:tc>
        <w:tc>
          <w:tcPr>
            <w:tcW w:type="dxa" w:w="1152"/>
            <w:shd w:fill="FFFFFF"/>
            <w:tcMar>
              <w:top w:w="50" w:type="dxa"/>
              <w:bottom w:w="50" w:type="dxa"/>
              <w:left w:w="90" w:type="dxa"/>
              <w:right w:w="90" w:type="dxa"/>
            </w:tcMar>
          </w:tcPr>
          <w:p>
            <w:pPr>
              <w:jc w:val="center"/>
            </w:pPr>
            <w:r>
              <w:rPr>
                <w:rFonts w:ascii="Times New Roman" w:hAnsi="Times New Roman"/>
                <w:sz w:val="16"/>
              </w:rPr>
              <w:t>2.15% (32)</w:t>
            </w:r>
          </w:p>
        </w:tc>
        <w:tc>
          <w:tcPr>
            <w:tcW w:type="dxa" w:w="1296"/>
            <w:shd w:fill="FFFFFF"/>
            <w:tcMar>
              <w:top w:w="50" w:type="dxa"/>
              <w:bottom w:w="50" w:type="dxa"/>
              <w:left w:w="90" w:type="dxa"/>
              <w:right w:w="90" w:type="dxa"/>
            </w:tcMar>
          </w:tcPr>
          <w:p>
            <w:pPr>
              <w:jc w:val="center"/>
            </w:pPr>
            <w:r>
              <w:rPr>
                <w:rFonts w:ascii="Times New Roman" w:hAnsi="Times New Roman"/>
                <w:sz w:val="16"/>
              </w:rPr>
              <w:t>2,340 +- 520 ms</w:t>
            </w:r>
          </w:p>
        </w:tc>
        <w:tc>
          <w:tcPr>
            <w:tcW w:type="dxa" w:w="1008"/>
            <w:shd w:fill="FFFFFF"/>
            <w:tcMar>
              <w:top w:w="50" w:type="dxa"/>
              <w:bottom w:w="50" w:type="dxa"/>
              <w:left w:w="90" w:type="dxa"/>
              <w:right w:w="90" w:type="dxa"/>
            </w:tcMar>
          </w:tcPr>
          <w:p>
            <w:pPr>
              <w:jc w:val="center"/>
            </w:pPr>
            <w:r>
              <w:rPr>
                <w:rFonts w:ascii="Times New Roman" w:hAnsi="Times New Roman"/>
                <w:sz w:val="16"/>
              </w:rPr>
              <w:t>2,280 ms</w:t>
            </w:r>
          </w:p>
        </w:tc>
        <w:tc>
          <w:tcPr>
            <w:tcW w:type="dxa" w:w="864"/>
            <w:shd w:fill="FFFFFF"/>
            <w:tcMar>
              <w:top w:w="50" w:type="dxa"/>
              <w:bottom w:w="50" w:type="dxa"/>
              <w:left w:w="90" w:type="dxa"/>
              <w:right w:w="90" w:type="dxa"/>
            </w:tcMar>
          </w:tcPr>
          <w:p>
            <w:pPr>
              <w:jc w:val="center"/>
            </w:pPr>
            <w:r>
              <w:rPr>
                <w:rFonts w:ascii="Times New Roman" w:hAnsi="Times New Roman"/>
                <w:sz w:val="16"/>
              </w:rPr>
              <w:t>3,250 ms</w:t>
            </w:r>
          </w:p>
        </w:tc>
        <w:tc>
          <w:tcPr>
            <w:tcW w:type="dxa" w:w="2304"/>
            <w:shd w:fill="FFFFFF"/>
            <w:tcMar>
              <w:top w:w="50" w:type="dxa"/>
              <w:bottom w:w="50" w:type="dxa"/>
              <w:left w:w="90" w:type="dxa"/>
              <w:right w:w="90" w:type="dxa"/>
            </w:tcMar>
          </w:tcPr>
          <w:p>
            <w:pPr>
              <w:jc w:val="left"/>
            </w:pPr>
            <w:r>
              <w:rPr>
                <w:rFonts w:ascii="Times New Roman" w:hAnsi="Times New Roman"/>
                <w:sz w:val="16"/>
              </w:rPr>
              <w:t>18 Failures Escalated to Tier 4 (18 WAN link gateway drops)</w:t>
            </w:r>
          </w:p>
        </w:tc>
      </w:tr>
      <w:tr>
        <w:tc>
          <w:tcPr>
            <w:tcW w:type="dxa" w:w="2592"/>
            <w:shd w:fill="F8FAFC"/>
            <w:tcMar>
              <w:top w:w="50" w:type="dxa"/>
              <w:bottom w:w="50" w:type="dxa"/>
              <w:left w:w="90" w:type="dxa"/>
              <w:right w:w="90" w:type="dxa"/>
            </w:tcMar>
          </w:tcPr>
          <w:p>
            <w:pPr>
              <w:jc w:val="left"/>
            </w:pPr>
            <w:r>
              <w:rPr>
                <w:rFonts w:ascii="Times New Roman" w:hAnsi="Times New Roman"/>
                <w:sz w:val="16"/>
              </w:rPr>
              <w:t>Tier 4: Deterministic Offline Templates</w:t>
            </w:r>
          </w:p>
        </w:tc>
        <w:tc>
          <w:tcPr>
            <w:tcW w:type="dxa" w:w="1152"/>
            <w:shd w:fill="F8FAFC"/>
            <w:tcMar>
              <w:top w:w="50" w:type="dxa"/>
              <w:bottom w:w="50" w:type="dxa"/>
              <w:left w:w="90" w:type="dxa"/>
              <w:right w:w="90" w:type="dxa"/>
            </w:tcMar>
          </w:tcPr>
          <w:p>
            <w:pPr>
              <w:jc w:val="center"/>
            </w:pPr>
            <w:r>
              <w:rPr>
                <w:rFonts w:ascii="Times New Roman" w:hAnsi="Times New Roman"/>
                <w:sz w:val="16"/>
              </w:rPr>
              <w:t>18 / 1,485</w:t>
            </w:r>
          </w:p>
        </w:tc>
        <w:tc>
          <w:tcPr>
            <w:tcW w:type="dxa" w:w="1152"/>
            <w:shd w:fill="F8FAFC"/>
            <w:tcMar>
              <w:top w:w="50" w:type="dxa"/>
              <w:bottom w:w="50" w:type="dxa"/>
              <w:left w:w="90" w:type="dxa"/>
              <w:right w:w="90" w:type="dxa"/>
            </w:tcMar>
          </w:tcPr>
          <w:p>
            <w:pPr>
              <w:jc w:val="center"/>
            </w:pPr>
            <w:r>
              <w:rPr>
                <w:rFonts w:ascii="Times New Roman" w:hAnsi="Times New Roman"/>
                <w:sz w:val="16"/>
              </w:rPr>
              <w:t>1.21% (18)</w:t>
            </w:r>
          </w:p>
        </w:tc>
        <w:tc>
          <w:tcPr>
            <w:tcW w:type="dxa" w:w="1296"/>
            <w:shd w:fill="F8FAFC"/>
            <w:tcMar>
              <w:top w:w="50" w:type="dxa"/>
              <w:bottom w:w="50" w:type="dxa"/>
              <w:left w:w="90" w:type="dxa"/>
              <w:right w:w="90" w:type="dxa"/>
            </w:tcMar>
          </w:tcPr>
          <w:p>
            <w:pPr>
              <w:jc w:val="center"/>
            </w:pPr>
            <w:r>
              <w:rPr>
                <w:rFonts w:ascii="Times New Roman" w:hAnsi="Times New Roman"/>
                <w:sz w:val="16"/>
              </w:rPr>
              <w:t>11 +- 3 ms</w:t>
            </w:r>
          </w:p>
        </w:tc>
        <w:tc>
          <w:tcPr>
            <w:tcW w:type="dxa" w:w="1008"/>
            <w:shd w:fill="F8FAFC"/>
            <w:tcMar>
              <w:top w:w="50" w:type="dxa"/>
              <w:bottom w:w="50" w:type="dxa"/>
              <w:left w:w="90" w:type="dxa"/>
              <w:right w:w="90" w:type="dxa"/>
            </w:tcMar>
          </w:tcPr>
          <w:p>
            <w:pPr>
              <w:jc w:val="center"/>
            </w:pPr>
            <w:r>
              <w:rPr>
                <w:rFonts w:ascii="Times New Roman" w:hAnsi="Times New Roman"/>
                <w:sz w:val="16"/>
              </w:rPr>
              <w:t>10 ms</w:t>
            </w:r>
          </w:p>
        </w:tc>
        <w:tc>
          <w:tcPr>
            <w:tcW w:type="dxa" w:w="864"/>
            <w:shd w:fill="F8FAFC"/>
            <w:tcMar>
              <w:top w:w="50" w:type="dxa"/>
              <w:bottom w:w="50" w:type="dxa"/>
              <w:left w:w="90" w:type="dxa"/>
              <w:right w:w="90" w:type="dxa"/>
            </w:tcMar>
          </w:tcPr>
          <w:p>
            <w:pPr>
              <w:jc w:val="center"/>
            </w:pPr>
            <w:r>
              <w:rPr>
                <w:rFonts w:ascii="Times New Roman" w:hAnsi="Times New Roman"/>
                <w:sz w:val="16"/>
              </w:rPr>
              <w:t>13 ms</w:t>
            </w:r>
          </w:p>
        </w:tc>
        <w:tc>
          <w:tcPr>
            <w:tcW w:type="dxa" w:w="2304"/>
            <w:shd w:fill="F8FAFC"/>
            <w:tcMar>
              <w:top w:w="50" w:type="dxa"/>
              <w:bottom w:w="50" w:type="dxa"/>
              <w:left w:w="90" w:type="dxa"/>
              <w:right w:w="90" w:type="dxa"/>
            </w:tcMar>
          </w:tcPr>
          <w:p>
            <w:pPr>
              <w:jc w:val="left"/>
            </w:pPr>
            <w:r>
              <w:rPr>
                <w:rFonts w:ascii="Times New Roman" w:hAnsi="Times New Roman"/>
                <w:sz w:val="16"/>
              </w:rPr>
              <w:t>None (100% Localhost Rule Template Execution)</w:t>
            </w:r>
          </w:p>
        </w:tc>
      </w:tr>
      <w:tr>
        <w:tc>
          <w:tcPr>
            <w:tcW w:type="dxa" w:w="2592"/>
            <w:shd w:fill="F1F5F9"/>
            <w:tcMar>
              <w:top w:w="50" w:type="dxa"/>
              <w:bottom w:w="50" w:type="dxa"/>
              <w:left w:w="90" w:type="dxa"/>
              <w:right w:w="90" w:type="dxa"/>
            </w:tcMar>
          </w:tcPr>
          <w:p>
            <w:pPr>
              <w:jc w:val="left"/>
            </w:pPr>
            <w:r>
              <w:rPr>
                <w:rFonts w:ascii="Times New Roman" w:hAnsi="Times New Roman"/>
                <w:b/>
                <w:sz w:val="16"/>
              </w:rPr>
              <w:t>Total Conversational Telemetry</w:t>
            </w:r>
          </w:p>
        </w:tc>
        <w:tc>
          <w:tcPr>
            <w:tcW w:type="dxa" w:w="1152"/>
            <w:shd w:fill="F1F5F9"/>
            <w:tcMar>
              <w:top w:w="50" w:type="dxa"/>
              <w:bottom w:w="50" w:type="dxa"/>
              <w:left w:w="90" w:type="dxa"/>
              <w:right w:w="90" w:type="dxa"/>
            </w:tcMar>
          </w:tcPr>
          <w:p>
            <w:pPr>
              <w:jc w:val="center"/>
            </w:pPr>
            <w:r>
              <w:rPr>
                <w:rFonts w:ascii="Times New Roman" w:hAnsi="Times New Roman"/>
                <w:b/>
                <w:sz w:val="16"/>
              </w:rPr>
              <w:t>1,485</w:t>
            </w:r>
          </w:p>
        </w:tc>
        <w:tc>
          <w:tcPr>
            <w:tcW w:type="dxa" w:w="1152"/>
            <w:shd w:fill="F1F5F9"/>
            <w:tcMar>
              <w:top w:w="50" w:type="dxa"/>
              <w:bottom w:w="50" w:type="dxa"/>
              <w:left w:w="90" w:type="dxa"/>
              <w:right w:w="90" w:type="dxa"/>
            </w:tcMar>
          </w:tcPr>
          <w:p>
            <w:pPr>
              <w:jc w:val="center"/>
            </w:pPr>
            <w:r>
              <w:rPr>
                <w:rFonts w:ascii="Times New Roman" w:hAnsi="Times New Roman"/>
                <w:b/>
                <w:sz w:val="16"/>
              </w:rPr>
              <w:t>100.0% (1,485)</w:t>
            </w:r>
          </w:p>
        </w:tc>
        <w:tc>
          <w:tcPr>
            <w:tcW w:type="dxa" w:w="1296"/>
            <w:shd w:fill="F1F5F9"/>
            <w:tcMar>
              <w:top w:w="50" w:type="dxa"/>
              <w:bottom w:w="50" w:type="dxa"/>
              <w:left w:w="90" w:type="dxa"/>
              <w:right w:w="90" w:type="dxa"/>
            </w:tcMar>
          </w:tcPr>
          <w:p>
            <w:pPr>
              <w:jc w:val="center"/>
            </w:pPr>
            <w:r>
              <w:rPr>
                <w:rFonts w:ascii="Times New Roman" w:hAnsi="Times New Roman"/>
                <w:b/>
                <w:sz w:val="16"/>
              </w:rPr>
              <w:t>1,196.4 ms</w:t>
            </w:r>
          </w:p>
        </w:tc>
        <w:tc>
          <w:tcPr>
            <w:tcW w:type="dxa" w:w="1008"/>
            <w:shd w:fill="F1F5F9"/>
            <w:tcMar>
              <w:top w:w="50" w:type="dxa"/>
              <w:bottom w:w="50" w:type="dxa"/>
              <w:left w:w="90" w:type="dxa"/>
              <w:right w:w="90" w:type="dxa"/>
            </w:tcMar>
          </w:tcPr>
          <w:p>
            <w:pPr>
              <w:jc w:val="center"/>
            </w:pPr>
            <w:r>
              <w:rPr>
                <w:rFonts w:ascii="Times New Roman" w:hAnsi="Times New Roman"/>
                <w:b/>
                <w:sz w:val="16"/>
              </w:rPr>
              <w:t>980 ms</w:t>
            </w:r>
          </w:p>
        </w:tc>
        <w:tc>
          <w:tcPr>
            <w:tcW w:type="dxa" w:w="864"/>
            <w:shd w:fill="F1F5F9"/>
            <w:tcMar>
              <w:top w:w="50" w:type="dxa"/>
              <w:bottom w:w="50" w:type="dxa"/>
              <w:left w:w="90" w:type="dxa"/>
              <w:right w:w="90" w:type="dxa"/>
            </w:tcMar>
          </w:tcPr>
          <w:p>
            <w:pPr>
              <w:jc w:val="center"/>
            </w:pPr>
            <w:r>
              <w:rPr>
                <w:rFonts w:ascii="Times New Roman" w:hAnsi="Times New Roman"/>
                <w:b/>
                <w:sz w:val="16"/>
              </w:rPr>
              <w:t>2,150 ms</w:t>
            </w:r>
          </w:p>
        </w:tc>
        <w:tc>
          <w:tcPr>
            <w:tcW w:type="dxa" w:w="2304"/>
            <w:shd w:fill="F1F5F9"/>
            <w:tcMar>
              <w:top w:w="50" w:type="dxa"/>
              <w:bottom w:w="50" w:type="dxa"/>
              <w:left w:w="90" w:type="dxa"/>
              <w:right w:w="90" w:type="dxa"/>
            </w:tcMar>
          </w:tcPr>
          <w:p>
            <w:pPr>
              <w:jc w:val="left"/>
            </w:pPr>
            <w:r>
              <w:rPr>
                <w:rFonts w:ascii="Times New Roman" w:hAnsi="Times New Roman"/>
                <w:b/>
                <w:sz w:val="16"/>
              </w:rPr>
              <w:t>Cloud Avail: 98.79%; Platform Continuity: 100.0%</w:t>
            </w:r>
          </w:p>
        </w:tc>
      </w:tr>
    </w:tbl>
    <w:p>
      <w:pPr>
        <w:spacing w:before="0" w:after="120"/>
      </w:pPr>
    </w:p>
    <w:p>
      <w:pPr>
        <w:keepNext/>
        <w:spacing w:before="160" w:after="40"/>
      </w:pPr>
      <w:r>
        <w:rPr>
          <w:b/>
          <w:i/>
          <w:color w:val="1E293B"/>
          <w:sz w:val="20"/>
        </w:rPr>
        <w:t>D. Software Quality (McCall) and Usability Benchmarks (PSSUQ)</w:t>
      </w:r>
    </w:p>
    <w:p>
      <w:pPr>
        <w:spacing w:before="0" w:after="100" w:line="269" w:lineRule="auto"/>
        <w:jc w:val="both"/>
      </w:pPr>
      <w:r>
        <w:rPr>
          <w:sz w:val="19"/>
        </w:rPr>
        <w:t>All three McCall quality perspective means were &gt;= 4.60 (Operation: 4.68, Revision: 4.60, Transition: 4.60), yielding an overall software quality score of 4.65 +- 0.21, demonstrating architectural correctness, security integrity (RA 10173 PII scrubbing), and modular maintainability. The composite standard deviation (0.21) is smaller than individual sub-dimension standard deviations (0.28-0.35) because composite ratings aggregate mean scores across the 11 software quality dimensions per evaluator, naturally reducing sampling variance in accordance with standard multi-item psychometric measurement theory. The composite standard deviation (0.21) is smaller than individual sub-dimension standard deviations (0.28-0.35) because composite ratings aggregate mean scores across the 11 software quality dimensions per evaluator, naturally reducing sampling variance in accordance with standard multi-item psychometric measurement theory. The overall PSSUQ usability rating was 1.71 +- 0.41, statistically surpassing the published 2.82 industry norm across all subscales (t(11) = -9.38, p &lt; 0.001) and reflecting strong institutional adoption across administrative and technical personnel (Table VII).</w:t>
      </w:r>
    </w:p>
    <w:p>
      <w:pPr>
        <w:keepNext/>
        <w:spacing w:before="160" w:after="80"/>
        <w:jc w:val="center"/>
      </w:pPr>
      <w:r>
        <w:rPr>
          <w:rFonts w:ascii="Times New Roman" w:hAnsi="Times New Roman"/>
          <w:b/>
          <w:sz w:val="17"/>
        </w:rPr>
        <w:t>TABLE VII</w:t>
        <w:br/>
        <w:t>EXPERT SOFTWARE QUALITY (MCCALL) AND USABILITY BENCHMARKS (PSSUQ V3)</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3024"/>
            <w:shd w:fill="E2E8F0"/>
            <w:tcMar>
              <w:top w:w="80" w:type="dxa"/>
              <w:bottom w:w="80" w:type="dxa"/>
              <w:left w:w="100" w:type="dxa"/>
              <w:right w:w="100" w:type="dxa"/>
            </w:tcMar>
          </w:tcPr>
          <w:p>
            <w:pPr>
              <w:jc w:val="center"/>
            </w:pPr>
            <w:r>
              <w:rPr>
                <w:rFonts w:ascii="Times New Roman" w:hAnsi="Times New Roman"/>
                <w:b/>
                <w:color w:val="0F172A"/>
                <w:sz w:val="16"/>
              </w:rPr>
              <w:t>Quality Framework / Subscale Dimension</w:t>
            </w:r>
          </w:p>
        </w:tc>
        <w:tc>
          <w:tcPr>
            <w:tcW w:type="dxa" w:w="1584"/>
            <w:shd w:fill="E2E8F0"/>
            <w:tcMar>
              <w:top w:w="80" w:type="dxa"/>
              <w:bottom w:w="80" w:type="dxa"/>
              <w:left w:w="100" w:type="dxa"/>
              <w:right w:w="100" w:type="dxa"/>
            </w:tcMar>
          </w:tcPr>
          <w:p>
            <w:pPr>
              <w:jc w:val="center"/>
            </w:pPr>
            <w:r>
              <w:rPr>
                <w:rFonts w:ascii="Times New Roman" w:hAnsi="Times New Roman"/>
                <w:b/>
                <w:color w:val="0F172A"/>
                <w:sz w:val="16"/>
              </w:rPr>
              <w:t>Cohort &amp; Scale</w:t>
            </w:r>
          </w:p>
        </w:tc>
        <w:tc>
          <w:tcPr>
            <w:tcW w:type="dxa" w:w="1296"/>
            <w:shd w:fill="E2E8F0"/>
            <w:tcMar>
              <w:top w:w="80" w:type="dxa"/>
              <w:bottom w:w="80" w:type="dxa"/>
              <w:left w:w="100" w:type="dxa"/>
              <w:right w:w="100" w:type="dxa"/>
            </w:tcMar>
          </w:tcPr>
          <w:p>
            <w:pPr>
              <w:jc w:val="center"/>
            </w:pPr>
            <w:r>
              <w:rPr>
                <w:rFonts w:ascii="Times New Roman" w:hAnsi="Times New Roman"/>
                <w:b/>
                <w:color w:val="0F172A"/>
                <w:sz w:val="16"/>
              </w:rPr>
              <w:t>Mean +- SD</w:t>
            </w:r>
          </w:p>
        </w:tc>
        <w:tc>
          <w:tcPr>
            <w:tcW w:type="dxa" w:w="1296"/>
            <w:shd w:fill="E2E8F0"/>
            <w:tcMar>
              <w:top w:w="80" w:type="dxa"/>
              <w:bottom w:w="80" w:type="dxa"/>
              <w:left w:w="100" w:type="dxa"/>
              <w:right w:w="100" w:type="dxa"/>
            </w:tcMar>
          </w:tcPr>
          <w:p>
            <w:pPr>
              <w:jc w:val="center"/>
            </w:pPr>
            <w:r>
              <w:rPr>
                <w:rFonts w:ascii="Times New Roman" w:hAnsi="Times New Roman"/>
                <w:b/>
                <w:color w:val="0F172A"/>
                <w:sz w:val="16"/>
              </w:rPr>
              <w:t>Median (IQR)</w:t>
            </w:r>
          </w:p>
        </w:tc>
        <w:tc>
          <w:tcPr>
            <w:tcW w:type="dxa" w:w="1152"/>
            <w:shd w:fill="E2E8F0"/>
            <w:tcMar>
              <w:top w:w="80" w:type="dxa"/>
              <w:bottom w:w="80" w:type="dxa"/>
              <w:left w:w="100" w:type="dxa"/>
              <w:right w:w="100" w:type="dxa"/>
            </w:tcMar>
          </w:tcPr>
          <w:p>
            <w:pPr>
              <w:jc w:val="center"/>
            </w:pPr>
            <w:r>
              <w:rPr>
                <w:rFonts w:ascii="Times New Roman" w:hAnsi="Times New Roman"/>
                <w:b/>
                <w:color w:val="0F172A"/>
                <w:sz w:val="16"/>
              </w:rPr>
              <w:t>Published Norm</w:t>
            </w:r>
          </w:p>
        </w:tc>
        <w:tc>
          <w:tcPr>
            <w:tcW w:type="dxa" w:w="1440"/>
            <w:shd w:fill="E2E8F0"/>
            <w:tcMar>
              <w:top w:w="80" w:type="dxa"/>
              <w:bottom w:w="80" w:type="dxa"/>
              <w:left w:w="100" w:type="dxa"/>
              <w:right w:w="100" w:type="dxa"/>
            </w:tcMar>
          </w:tcPr>
          <w:p>
            <w:pPr>
              <w:jc w:val="center"/>
            </w:pPr>
            <w:r>
              <w:rPr>
                <w:rFonts w:ascii="Times New Roman" w:hAnsi="Times New Roman"/>
                <w:b/>
                <w:color w:val="0F172A"/>
                <w:sz w:val="16"/>
              </w:rPr>
              <w:t>Verbal Interpretation</w:t>
            </w:r>
          </w:p>
        </w:tc>
      </w:tr>
      <w:tr>
        <w:tc>
          <w:tcPr>
            <w:tcW w:type="dxa" w:w="3024"/>
            <w:shd w:fill="FFFFFF"/>
            <w:tcMar>
              <w:top w:w="50" w:type="dxa"/>
              <w:bottom w:w="50" w:type="dxa"/>
              <w:left w:w="90" w:type="dxa"/>
              <w:right w:w="90" w:type="dxa"/>
            </w:tcMar>
          </w:tcPr>
          <w:p>
            <w:pPr>
              <w:jc w:val="left"/>
            </w:pPr>
            <w:r>
              <w:rPr>
                <w:rFonts w:ascii="Times New Roman" w:hAnsi="Times New Roman"/>
                <w:sz w:val="16"/>
              </w:rPr>
              <w:t>McCall Product Operation (5 Factors)</w:t>
            </w:r>
          </w:p>
        </w:tc>
        <w:tc>
          <w:tcPr>
            <w:tcW w:type="dxa" w:w="1584"/>
            <w:shd w:fill="FFFFFF"/>
            <w:tcMar>
              <w:top w:w="50" w:type="dxa"/>
              <w:bottom w:w="50" w:type="dxa"/>
              <w:left w:w="90" w:type="dxa"/>
              <w:right w:w="90" w:type="dxa"/>
            </w:tcMar>
          </w:tcPr>
          <w:p>
            <w:pPr>
              <w:jc w:val="left"/>
            </w:pPr>
            <w:r>
              <w:rPr>
                <w:rFonts w:ascii="Times New Roman" w:hAnsi="Times New Roman"/>
                <w:sz w:val="16"/>
              </w:rPr>
              <w:t>n = 5 Experts (1-5)</w:t>
            </w:r>
          </w:p>
        </w:tc>
        <w:tc>
          <w:tcPr>
            <w:tcW w:type="dxa" w:w="1296"/>
            <w:shd w:fill="FFFFFF"/>
            <w:tcMar>
              <w:top w:w="50" w:type="dxa"/>
              <w:bottom w:w="50" w:type="dxa"/>
              <w:left w:w="90" w:type="dxa"/>
              <w:right w:w="90" w:type="dxa"/>
            </w:tcMar>
          </w:tcPr>
          <w:p>
            <w:pPr>
              <w:jc w:val="center"/>
            </w:pPr>
            <w:r>
              <w:rPr>
                <w:rFonts w:ascii="Times New Roman" w:hAnsi="Times New Roman"/>
                <w:sz w:val="16"/>
              </w:rPr>
              <w:t>4.68 +- 0.29</w:t>
            </w:r>
          </w:p>
        </w:tc>
        <w:tc>
          <w:tcPr>
            <w:tcW w:type="dxa" w:w="1296"/>
            <w:shd w:fill="FFFFFF"/>
            <w:tcMar>
              <w:top w:w="50" w:type="dxa"/>
              <w:bottom w:w="50" w:type="dxa"/>
              <w:left w:w="90" w:type="dxa"/>
              <w:right w:w="90" w:type="dxa"/>
            </w:tcMar>
          </w:tcPr>
          <w:p>
            <w:pPr>
              <w:jc w:val="center"/>
            </w:pPr>
            <w:r>
              <w:rPr>
                <w:rFonts w:ascii="Times New Roman" w:hAnsi="Times New Roman"/>
                <w:sz w:val="16"/>
              </w:rPr>
              <w:t>4.70 (0.30)</w:t>
            </w:r>
          </w:p>
        </w:tc>
        <w:tc>
          <w:tcPr>
            <w:tcW w:type="dxa" w:w="1152"/>
            <w:shd w:fill="FFFFFF"/>
            <w:tcMar>
              <w:top w:w="50" w:type="dxa"/>
              <w:bottom w:w="50" w:type="dxa"/>
              <w:left w:w="90" w:type="dxa"/>
              <w:right w:w="90" w:type="dxa"/>
            </w:tcMar>
          </w:tcPr>
          <w:p>
            <w:pPr>
              <w:jc w:val="center"/>
            </w:pPr>
            <w:r>
              <w:rPr>
                <w:rFonts w:ascii="Times New Roman" w:hAnsi="Times New Roman"/>
                <w:sz w:val="16"/>
              </w:rPr>
              <w:t>N/A</w:t>
            </w:r>
          </w:p>
        </w:tc>
        <w:tc>
          <w:tcPr>
            <w:tcW w:type="dxa" w:w="1440"/>
            <w:shd w:fill="FFFFFF"/>
            <w:tcMar>
              <w:top w:w="50" w:type="dxa"/>
              <w:bottom w:w="50" w:type="dxa"/>
              <w:left w:w="90" w:type="dxa"/>
              <w:right w:w="90" w:type="dxa"/>
            </w:tcMar>
          </w:tcPr>
          <w:p>
            <w:pPr>
              <w:jc w:val="center"/>
            </w:pPr>
            <w:r>
              <w:rPr>
                <w:rFonts w:ascii="Times New Roman" w:hAnsi="Times New Roman"/>
                <w:sz w:val="16"/>
              </w:rPr>
              <w:t>Excellent</w:t>
            </w:r>
          </w:p>
        </w:tc>
      </w:tr>
      <w:tr>
        <w:tc>
          <w:tcPr>
            <w:tcW w:type="dxa" w:w="3024"/>
            <w:shd w:fill="F8FAFC"/>
            <w:tcMar>
              <w:top w:w="50" w:type="dxa"/>
              <w:bottom w:w="50" w:type="dxa"/>
              <w:left w:w="90" w:type="dxa"/>
              <w:right w:w="90" w:type="dxa"/>
            </w:tcMar>
          </w:tcPr>
          <w:p>
            <w:pPr>
              <w:jc w:val="left"/>
            </w:pPr>
            <w:r>
              <w:rPr>
                <w:rFonts w:ascii="Times New Roman" w:hAnsi="Times New Roman"/>
                <w:sz w:val="16"/>
              </w:rPr>
              <w:t>McCall Product Revision (3 Factors)</w:t>
            </w:r>
          </w:p>
        </w:tc>
        <w:tc>
          <w:tcPr>
            <w:tcW w:type="dxa" w:w="1584"/>
            <w:shd w:fill="F8FAFC"/>
            <w:tcMar>
              <w:top w:w="50" w:type="dxa"/>
              <w:bottom w:w="50" w:type="dxa"/>
              <w:left w:w="90" w:type="dxa"/>
              <w:right w:w="90" w:type="dxa"/>
            </w:tcMar>
          </w:tcPr>
          <w:p>
            <w:pPr>
              <w:jc w:val="left"/>
            </w:pPr>
            <w:r>
              <w:rPr>
                <w:rFonts w:ascii="Times New Roman" w:hAnsi="Times New Roman"/>
                <w:sz w:val="16"/>
              </w:rPr>
              <w:t>n = 5 Experts (1-5)</w:t>
            </w:r>
          </w:p>
        </w:tc>
        <w:tc>
          <w:tcPr>
            <w:tcW w:type="dxa" w:w="1296"/>
            <w:shd w:fill="F8FAFC"/>
            <w:tcMar>
              <w:top w:w="50" w:type="dxa"/>
              <w:bottom w:w="50" w:type="dxa"/>
              <w:left w:w="90" w:type="dxa"/>
              <w:right w:w="90" w:type="dxa"/>
            </w:tcMar>
          </w:tcPr>
          <w:p>
            <w:pPr>
              <w:jc w:val="center"/>
            </w:pPr>
            <w:r>
              <w:rPr>
                <w:rFonts w:ascii="Times New Roman" w:hAnsi="Times New Roman"/>
                <w:sz w:val="16"/>
              </w:rPr>
              <w:t>4.60 +- 0.35</w:t>
            </w:r>
          </w:p>
        </w:tc>
        <w:tc>
          <w:tcPr>
            <w:tcW w:type="dxa" w:w="1296"/>
            <w:shd w:fill="F8FAFC"/>
            <w:tcMar>
              <w:top w:w="50" w:type="dxa"/>
              <w:bottom w:w="50" w:type="dxa"/>
              <w:left w:w="90" w:type="dxa"/>
              <w:right w:w="90" w:type="dxa"/>
            </w:tcMar>
          </w:tcPr>
          <w:p>
            <w:pPr>
              <w:jc w:val="center"/>
            </w:pPr>
            <w:r>
              <w:rPr>
                <w:rFonts w:ascii="Times New Roman" w:hAnsi="Times New Roman"/>
                <w:sz w:val="16"/>
              </w:rPr>
              <w:t>4.60 (0.30)</w:t>
            </w:r>
          </w:p>
        </w:tc>
        <w:tc>
          <w:tcPr>
            <w:tcW w:type="dxa" w:w="1152"/>
            <w:shd w:fill="F8FAFC"/>
            <w:tcMar>
              <w:top w:w="50" w:type="dxa"/>
              <w:bottom w:w="50" w:type="dxa"/>
              <w:left w:w="90" w:type="dxa"/>
              <w:right w:w="90" w:type="dxa"/>
            </w:tcMar>
          </w:tcPr>
          <w:p>
            <w:pPr>
              <w:jc w:val="center"/>
            </w:pPr>
            <w:r>
              <w:rPr>
                <w:rFonts w:ascii="Times New Roman" w:hAnsi="Times New Roman"/>
                <w:sz w:val="16"/>
              </w:rPr>
              <w:t>N/A</w:t>
            </w:r>
          </w:p>
        </w:tc>
        <w:tc>
          <w:tcPr>
            <w:tcW w:type="dxa" w:w="1440"/>
            <w:shd w:fill="F8FAFC"/>
            <w:tcMar>
              <w:top w:w="50" w:type="dxa"/>
              <w:bottom w:w="50" w:type="dxa"/>
              <w:left w:w="90" w:type="dxa"/>
              <w:right w:w="90" w:type="dxa"/>
            </w:tcMar>
          </w:tcPr>
          <w:p>
            <w:pPr>
              <w:jc w:val="center"/>
            </w:pPr>
            <w:r>
              <w:rPr>
                <w:rFonts w:ascii="Times New Roman" w:hAnsi="Times New Roman"/>
                <w:sz w:val="16"/>
              </w:rPr>
              <w:t>Excellent</w:t>
            </w:r>
          </w:p>
        </w:tc>
      </w:tr>
      <w:tr>
        <w:tc>
          <w:tcPr>
            <w:tcW w:type="dxa" w:w="3024"/>
            <w:shd w:fill="FFFFFF"/>
            <w:tcMar>
              <w:top w:w="50" w:type="dxa"/>
              <w:bottom w:w="50" w:type="dxa"/>
              <w:left w:w="90" w:type="dxa"/>
              <w:right w:w="90" w:type="dxa"/>
            </w:tcMar>
          </w:tcPr>
          <w:p>
            <w:pPr>
              <w:jc w:val="left"/>
            </w:pPr>
            <w:r>
              <w:rPr>
                <w:rFonts w:ascii="Times New Roman" w:hAnsi="Times New Roman"/>
                <w:sz w:val="16"/>
              </w:rPr>
              <w:t>McCall Product Transition (3 Factors)</w:t>
            </w:r>
          </w:p>
        </w:tc>
        <w:tc>
          <w:tcPr>
            <w:tcW w:type="dxa" w:w="1584"/>
            <w:shd w:fill="FFFFFF"/>
            <w:tcMar>
              <w:top w:w="50" w:type="dxa"/>
              <w:bottom w:w="50" w:type="dxa"/>
              <w:left w:w="90" w:type="dxa"/>
              <w:right w:w="90" w:type="dxa"/>
            </w:tcMar>
          </w:tcPr>
          <w:p>
            <w:pPr>
              <w:jc w:val="left"/>
            </w:pPr>
            <w:r>
              <w:rPr>
                <w:rFonts w:ascii="Times New Roman" w:hAnsi="Times New Roman"/>
                <w:sz w:val="16"/>
              </w:rPr>
              <w:t>n = 5 Experts (1-5)</w:t>
            </w:r>
          </w:p>
        </w:tc>
        <w:tc>
          <w:tcPr>
            <w:tcW w:type="dxa" w:w="1296"/>
            <w:shd w:fill="FFFFFF"/>
            <w:tcMar>
              <w:top w:w="50" w:type="dxa"/>
              <w:bottom w:w="50" w:type="dxa"/>
              <w:left w:w="90" w:type="dxa"/>
              <w:right w:w="90" w:type="dxa"/>
            </w:tcMar>
          </w:tcPr>
          <w:p>
            <w:pPr>
              <w:jc w:val="center"/>
            </w:pPr>
            <w:r>
              <w:rPr>
                <w:rFonts w:ascii="Times New Roman" w:hAnsi="Times New Roman"/>
                <w:sz w:val="16"/>
              </w:rPr>
              <w:t>4.60 +- 0.35</w:t>
            </w:r>
          </w:p>
        </w:tc>
        <w:tc>
          <w:tcPr>
            <w:tcW w:type="dxa" w:w="1296"/>
            <w:shd w:fill="FFFFFF"/>
            <w:tcMar>
              <w:top w:w="50" w:type="dxa"/>
              <w:bottom w:w="50" w:type="dxa"/>
              <w:left w:w="90" w:type="dxa"/>
              <w:right w:w="90" w:type="dxa"/>
            </w:tcMar>
          </w:tcPr>
          <w:p>
            <w:pPr>
              <w:jc w:val="center"/>
            </w:pPr>
            <w:r>
              <w:rPr>
                <w:rFonts w:ascii="Times New Roman" w:hAnsi="Times New Roman"/>
                <w:sz w:val="16"/>
              </w:rPr>
              <w:t>4.60 (0.30)</w:t>
            </w:r>
          </w:p>
        </w:tc>
        <w:tc>
          <w:tcPr>
            <w:tcW w:type="dxa" w:w="1152"/>
            <w:shd w:fill="FFFFFF"/>
            <w:tcMar>
              <w:top w:w="50" w:type="dxa"/>
              <w:bottom w:w="50" w:type="dxa"/>
              <w:left w:w="90" w:type="dxa"/>
              <w:right w:w="90" w:type="dxa"/>
            </w:tcMar>
          </w:tcPr>
          <w:p>
            <w:pPr>
              <w:jc w:val="center"/>
            </w:pPr>
            <w:r>
              <w:rPr>
                <w:rFonts w:ascii="Times New Roman" w:hAnsi="Times New Roman"/>
                <w:sz w:val="16"/>
              </w:rPr>
              <w:t>N/A</w:t>
            </w:r>
          </w:p>
        </w:tc>
        <w:tc>
          <w:tcPr>
            <w:tcW w:type="dxa" w:w="1440"/>
            <w:shd w:fill="FFFFFF"/>
            <w:tcMar>
              <w:top w:w="50" w:type="dxa"/>
              <w:bottom w:w="50" w:type="dxa"/>
              <w:left w:w="90" w:type="dxa"/>
              <w:right w:w="90" w:type="dxa"/>
            </w:tcMar>
          </w:tcPr>
          <w:p>
            <w:pPr>
              <w:jc w:val="center"/>
            </w:pPr>
            <w:r>
              <w:rPr>
                <w:rFonts w:ascii="Times New Roman" w:hAnsi="Times New Roman"/>
                <w:sz w:val="16"/>
              </w:rPr>
              <w:t>Excellent</w:t>
            </w:r>
          </w:p>
        </w:tc>
      </w:tr>
      <w:tr>
        <w:tc>
          <w:tcPr>
            <w:tcW w:type="dxa" w:w="3024"/>
            <w:shd w:fill="F8FAFC"/>
            <w:tcMar>
              <w:top w:w="50" w:type="dxa"/>
              <w:bottom w:w="50" w:type="dxa"/>
              <w:left w:w="90" w:type="dxa"/>
              <w:right w:w="90" w:type="dxa"/>
            </w:tcMar>
          </w:tcPr>
          <w:p>
            <w:pPr>
              <w:jc w:val="left"/>
            </w:pPr>
            <w:r>
              <w:rPr>
                <w:rFonts w:ascii="Times New Roman" w:hAnsi="Times New Roman"/>
                <w:sz w:val="16"/>
              </w:rPr>
              <w:t>Overall McCall Composite (11 Factors)</w:t>
            </w:r>
          </w:p>
        </w:tc>
        <w:tc>
          <w:tcPr>
            <w:tcW w:type="dxa" w:w="1584"/>
            <w:shd w:fill="F8FAFC"/>
            <w:tcMar>
              <w:top w:w="50" w:type="dxa"/>
              <w:bottom w:w="50" w:type="dxa"/>
              <w:left w:w="90" w:type="dxa"/>
              <w:right w:w="90" w:type="dxa"/>
            </w:tcMar>
          </w:tcPr>
          <w:p>
            <w:pPr>
              <w:jc w:val="left"/>
            </w:pPr>
            <w:r>
              <w:rPr>
                <w:rFonts w:ascii="Times New Roman" w:hAnsi="Times New Roman"/>
                <w:sz w:val="16"/>
              </w:rPr>
              <w:t>n = 5 Experts (1-5)</w:t>
            </w:r>
          </w:p>
        </w:tc>
        <w:tc>
          <w:tcPr>
            <w:tcW w:type="dxa" w:w="1296"/>
            <w:shd w:fill="F8FAFC"/>
            <w:tcMar>
              <w:top w:w="50" w:type="dxa"/>
              <w:bottom w:w="50" w:type="dxa"/>
              <w:left w:w="90" w:type="dxa"/>
              <w:right w:w="90" w:type="dxa"/>
            </w:tcMar>
          </w:tcPr>
          <w:p>
            <w:pPr>
              <w:jc w:val="center"/>
            </w:pPr>
            <w:r>
              <w:rPr>
                <w:rFonts w:ascii="Times New Roman" w:hAnsi="Times New Roman"/>
                <w:sz w:val="16"/>
              </w:rPr>
              <w:t>4.65 +- 0.21</w:t>
            </w:r>
          </w:p>
        </w:tc>
        <w:tc>
          <w:tcPr>
            <w:tcW w:type="dxa" w:w="1296"/>
            <w:shd w:fill="F8FAFC"/>
            <w:tcMar>
              <w:top w:w="50" w:type="dxa"/>
              <w:bottom w:w="50" w:type="dxa"/>
              <w:left w:w="90" w:type="dxa"/>
              <w:right w:w="90" w:type="dxa"/>
            </w:tcMar>
          </w:tcPr>
          <w:p>
            <w:pPr>
              <w:jc w:val="center"/>
            </w:pPr>
            <w:r>
              <w:rPr>
                <w:rFonts w:ascii="Times New Roman" w:hAnsi="Times New Roman"/>
                <w:sz w:val="16"/>
              </w:rPr>
              <w:t>4.65 (0.25)</w:t>
            </w:r>
          </w:p>
        </w:tc>
        <w:tc>
          <w:tcPr>
            <w:tcW w:type="dxa" w:w="1152"/>
            <w:shd w:fill="F8FAFC"/>
            <w:tcMar>
              <w:top w:w="50" w:type="dxa"/>
              <w:bottom w:w="50" w:type="dxa"/>
              <w:left w:w="90" w:type="dxa"/>
              <w:right w:w="90" w:type="dxa"/>
            </w:tcMar>
          </w:tcPr>
          <w:p>
            <w:pPr>
              <w:jc w:val="center"/>
            </w:pPr>
            <w:r>
              <w:rPr>
                <w:rFonts w:ascii="Times New Roman" w:hAnsi="Times New Roman"/>
                <w:sz w:val="16"/>
              </w:rPr>
              <w:t>N/A</w:t>
            </w:r>
          </w:p>
        </w:tc>
        <w:tc>
          <w:tcPr>
            <w:tcW w:type="dxa" w:w="1440"/>
            <w:shd w:fill="F8FAFC"/>
            <w:tcMar>
              <w:top w:w="50" w:type="dxa"/>
              <w:bottom w:w="50" w:type="dxa"/>
              <w:left w:w="90" w:type="dxa"/>
              <w:right w:w="90" w:type="dxa"/>
            </w:tcMar>
          </w:tcPr>
          <w:p>
            <w:pPr>
              <w:jc w:val="center"/>
            </w:pPr>
            <w:r>
              <w:rPr>
                <w:rFonts w:ascii="Times New Roman" w:hAnsi="Times New Roman"/>
                <w:sz w:val="16"/>
              </w:rPr>
              <w:t>Excellent Rigor</w:t>
            </w:r>
          </w:p>
        </w:tc>
      </w:tr>
      <w:tr>
        <w:tc>
          <w:tcPr>
            <w:tcW w:type="dxa" w:w="3024"/>
            <w:shd w:fill="FFFFFF"/>
            <w:tcMar>
              <w:top w:w="50" w:type="dxa"/>
              <w:bottom w:w="50" w:type="dxa"/>
              <w:left w:w="90" w:type="dxa"/>
              <w:right w:w="90" w:type="dxa"/>
            </w:tcMar>
          </w:tcPr>
          <w:p>
            <w:pPr>
              <w:jc w:val="left"/>
            </w:pPr>
            <w:r>
              <w:rPr>
                <w:rFonts w:ascii="Times New Roman" w:hAnsi="Times New Roman"/>
                <w:sz w:val="16"/>
              </w:rPr>
              <w:t>PSSUQ System Usefulness (SYSUSE)</w:t>
            </w:r>
          </w:p>
        </w:tc>
        <w:tc>
          <w:tcPr>
            <w:tcW w:type="dxa" w:w="1584"/>
            <w:shd w:fill="FFFFFF"/>
            <w:tcMar>
              <w:top w:w="50" w:type="dxa"/>
              <w:bottom w:w="50" w:type="dxa"/>
              <w:left w:w="90" w:type="dxa"/>
              <w:right w:w="90" w:type="dxa"/>
            </w:tcMar>
          </w:tcPr>
          <w:p>
            <w:pPr>
              <w:jc w:val="left"/>
            </w:pPr>
            <w:r>
              <w:rPr>
                <w:rFonts w:ascii="Times New Roman" w:hAnsi="Times New Roman"/>
                <w:sz w:val="16"/>
              </w:rPr>
              <w:t>n = 12 Users (1-7)</w:t>
            </w:r>
          </w:p>
        </w:tc>
        <w:tc>
          <w:tcPr>
            <w:tcW w:type="dxa" w:w="1296"/>
            <w:shd w:fill="FFFFFF"/>
            <w:tcMar>
              <w:top w:w="50" w:type="dxa"/>
              <w:bottom w:w="50" w:type="dxa"/>
              <w:left w:w="90" w:type="dxa"/>
              <w:right w:w="90" w:type="dxa"/>
            </w:tcMar>
          </w:tcPr>
          <w:p>
            <w:pPr>
              <w:jc w:val="center"/>
            </w:pPr>
            <w:r>
              <w:rPr>
                <w:rFonts w:ascii="Times New Roman" w:hAnsi="Times New Roman"/>
                <w:sz w:val="16"/>
              </w:rPr>
              <w:t>1.68 +- 0.36</w:t>
            </w:r>
          </w:p>
        </w:tc>
        <w:tc>
          <w:tcPr>
            <w:tcW w:type="dxa" w:w="1296"/>
            <w:shd w:fill="FFFFFF"/>
            <w:tcMar>
              <w:top w:w="50" w:type="dxa"/>
              <w:bottom w:w="50" w:type="dxa"/>
              <w:left w:w="90" w:type="dxa"/>
              <w:right w:w="90" w:type="dxa"/>
            </w:tcMar>
          </w:tcPr>
          <w:p>
            <w:pPr>
              <w:jc w:val="center"/>
            </w:pPr>
            <w:r>
              <w:rPr>
                <w:rFonts w:ascii="Times New Roman" w:hAnsi="Times New Roman"/>
                <w:sz w:val="16"/>
              </w:rPr>
              <w:t>1.67 (0.50)</w:t>
            </w:r>
          </w:p>
        </w:tc>
        <w:tc>
          <w:tcPr>
            <w:tcW w:type="dxa" w:w="1152"/>
            <w:shd w:fill="FFFFFF"/>
            <w:tcMar>
              <w:top w:w="50" w:type="dxa"/>
              <w:bottom w:w="50" w:type="dxa"/>
              <w:left w:w="90" w:type="dxa"/>
              <w:right w:w="90" w:type="dxa"/>
            </w:tcMar>
          </w:tcPr>
          <w:p>
            <w:pPr>
              <w:jc w:val="center"/>
            </w:pPr>
            <w:r>
              <w:rPr>
                <w:rFonts w:ascii="Times New Roman" w:hAnsi="Times New Roman"/>
                <w:sz w:val="16"/>
              </w:rPr>
              <w:t>2.80</w:t>
            </w:r>
          </w:p>
        </w:tc>
        <w:tc>
          <w:tcPr>
            <w:tcW w:type="dxa" w:w="1440"/>
            <w:shd w:fill="FFFFFF"/>
            <w:tcMar>
              <w:top w:w="50" w:type="dxa"/>
              <w:bottom w:w="50" w:type="dxa"/>
              <w:left w:w="90" w:type="dxa"/>
              <w:right w:w="90" w:type="dxa"/>
            </w:tcMar>
          </w:tcPr>
          <w:p>
            <w:pPr>
              <w:jc w:val="left"/>
            </w:pPr>
            <w:r>
              <w:rPr>
                <w:rFonts w:ascii="Times New Roman" w:hAnsi="Times New Roman"/>
                <w:sz w:val="16"/>
              </w:rPr>
              <w:t>Statistically Superior (p &lt; 0.001)</w:t>
            </w:r>
          </w:p>
        </w:tc>
      </w:tr>
      <w:tr>
        <w:tc>
          <w:tcPr>
            <w:tcW w:type="dxa" w:w="3024"/>
            <w:shd w:fill="F8FAFC"/>
            <w:tcMar>
              <w:top w:w="50" w:type="dxa"/>
              <w:bottom w:w="50" w:type="dxa"/>
              <w:left w:w="90" w:type="dxa"/>
              <w:right w:w="90" w:type="dxa"/>
            </w:tcMar>
          </w:tcPr>
          <w:p>
            <w:pPr>
              <w:jc w:val="left"/>
            </w:pPr>
            <w:r>
              <w:rPr>
                <w:rFonts w:ascii="Times New Roman" w:hAnsi="Times New Roman"/>
                <w:sz w:val="16"/>
              </w:rPr>
              <w:t>PSSUQ Information Quality (INFOQUAL)</w:t>
            </w:r>
          </w:p>
        </w:tc>
        <w:tc>
          <w:tcPr>
            <w:tcW w:type="dxa" w:w="1584"/>
            <w:shd w:fill="F8FAFC"/>
            <w:tcMar>
              <w:top w:w="50" w:type="dxa"/>
              <w:bottom w:w="50" w:type="dxa"/>
              <w:left w:w="90" w:type="dxa"/>
              <w:right w:w="90" w:type="dxa"/>
            </w:tcMar>
          </w:tcPr>
          <w:p>
            <w:pPr>
              <w:jc w:val="left"/>
            </w:pPr>
            <w:r>
              <w:rPr>
                <w:rFonts w:ascii="Times New Roman" w:hAnsi="Times New Roman"/>
                <w:sz w:val="16"/>
              </w:rPr>
              <w:t>n = 12 Users (1-7)</w:t>
            </w:r>
          </w:p>
        </w:tc>
        <w:tc>
          <w:tcPr>
            <w:tcW w:type="dxa" w:w="1296"/>
            <w:shd w:fill="F8FAFC"/>
            <w:tcMar>
              <w:top w:w="50" w:type="dxa"/>
              <w:bottom w:w="50" w:type="dxa"/>
              <w:left w:w="90" w:type="dxa"/>
              <w:right w:w="90" w:type="dxa"/>
            </w:tcMar>
          </w:tcPr>
          <w:p>
            <w:pPr>
              <w:jc w:val="center"/>
            </w:pPr>
            <w:r>
              <w:rPr>
                <w:rFonts w:ascii="Times New Roman" w:hAnsi="Times New Roman"/>
                <w:sz w:val="16"/>
              </w:rPr>
              <w:t>1.82 +- 0.41</w:t>
            </w:r>
          </w:p>
        </w:tc>
        <w:tc>
          <w:tcPr>
            <w:tcW w:type="dxa" w:w="1296"/>
            <w:shd w:fill="F8FAFC"/>
            <w:tcMar>
              <w:top w:w="50" w:type="dxa"/>
              <w:bottom w:w="50" w:type="dxa"/>
              <w:left w:w="90" w:type="dxa"/>
              <w:right w:w="90" w:type="dxa"/>
            </w:tcMar>
          </w:tcPr>
          <w:p>
            <w:pPr>
              <w:jc w:val="center"/>
            </w:pPr>
            <w:r>
              <w:rPr>
                <w:rFonts w:ascii="Times New Roman" w:hAnsi="Times New Roman"/>
                <w:sz w:val="16"/>
              </w:rPr>
              <w:t>1.75 (0.50)</w:t>
            </w:r>
          </w:p>
        </w:tc>
        <w:tc>
          <w:tcPr>
            <w:tcW w:type="dxa" w:w="1152"/>
            <w:shd w:fill="F8FAFC"/>
            <w:tcMar>
              <w:top w:w="50" w:type="dxa"/>
              <w:bottom w:w="50" w:type="dxa"/>
              <w:left w:w="90" w:type="dxa"/>
              <w:right w:w="90" w:type="dxa"/>
            </w:tcMar>
          </w:tcPr>
          <w:p>
            <w:pPr>
              <w:jc w:val="center"/>
            </w:pPr>
            <w:r>
              <w:rPr>
                <w:rFonts w:ascii="Times New Roman" w:hAnsi="Times New Roman"/>
                <w:sz w:val="16"/>
              </w:rPr>
              <w:t>3.02</w:t>
            </w:r>
          </w:p>
        </w:tc>
        <w:tc>
          <w:tcPr>
            <w:tcW w:type="dxa" w:w="1440"/>
            <w:shd w:fill="F8FAFC"/>
            <w:tcMar>
              <w:top w:w="50" w:type="dxa"/>
              <w:bottom w:w="50" w:type="dxa"/>
              <w:left w:w="90" w:type="dxa"/>
              <w:right w:w="90" w:type="dxa"/>
            </w:tcMar>
          </w:tcPr>
          <w:p>
            <w:pPr>
              <w:jc w:val="left"/>
            </w:pPr>
            <w:r>
              <w:rPr>
                <w:rFonts w:ascii="Times New Roman" w:hAnsi="Times New Roman"/>
                <w:sz w:val="16"/>
              </w:rPr>
              <w:t>Statistically Superior (p &lt; 0.001)</w:t>
            </w:r>
          </w:p>
        </w:tc>
      </w:tr>
      <w:tr>
        <w:tc>
          <w:tcPr>
            <w:tcW w:type="dxa" w:w="3024"/>
            <w:shd w:fill="FFFFFF"/>
            <w:tcMar>
              <w:top w:w="50" w:type="dxa"/>
              <w:bottom w:w="50" w:type="dxa"/>
              <w:left w:w="90" w:type="dxa"/>
              <w:right w:w="90" w:type="dxa"/>
            </w:tcMar>
          </w:tcPr>
          <w:p>
            <w:pPr>
              <w:jc w:val="left"/>
            </w:pPr>
            <w:r>
              <w:rPr>
                <w:rFonts w:ascii="Times New Roman" w:hAnsi="Times New Roman"/>
                <w:sz w:val="16"/>
              </w:rPr>
              <w:t>PSSUQ Interface Quality (INTQUAL)</w:t>
            </w:r>
          </w:p>
        </w:tc>
        <w:tc>
          <w:tcPr>
            <w:tcW w:type="dxa" w:w="1584"/>
            <w:shd w:fill="FFFFFF"/>
            <w:tcMar>
              <w:top w:w="50" w:type="dxa"/>
              <w:bottom w:w="50" w:type="dxa"/>
              <w:left w:w="90" w:type="dxa"/>
              <w:right w:w="90" w:type="dxa"/>
            </w:tcMar>
          </w:tcPr>
          <w:p>
            <w:pPr>
              <w:jc w:val="left"/>
            </w:pPr>
            <w:r>
              <w:rPr>
                <w:rFonts w:ascii="Times New Roman" w:hAnsi="Times New Roman"/>
                <w:sz w:val="16"/>
              </w:rPr>
              <w:t>n = 12 Users (1-7)</w:t>
            </w:r>
          </w:p>
        </w:tc>
        <w:tc>
          <w:tcPr>
            <w:tcW w:type="dxa" w:w="1296"/>
            <w:shd w:fill="FFFFFF"/>
            <w:tcMar>
              <w:top w:w="50" w:type="dxa"/>
              <w:bottom w:w="50" w:type="dxa"/>
              <w:left w:w="90" w:type="dxa"/>
              <w:right w:w="90" w:type="dxa"/>
            </w:tcMar>
          </w:tcPr>
          <w:p>
            <w:pPr>
              <w:jc w:val="center"/>
            </w:pPr>
            <w:r>
              <w:rPr>
                <w:rFonts w:ascii="Times New Roman" w:hAnsi="Times New Roman"/>
                <w:sz w:val="16"/>
              </w:rPr>
              <w:t>1.58 +- 0.34</w:t>
            </w:r>
          </w:p>
        </w:tc>
        <w:tc>
          <w:tcPr>
            <w:tcW w:type="dxa" w:w="1296"/>
            <w:shd w:fill="FFFFFF"/>
            <w:tcMar>
              <w:top w:w="50" w:type="dxa"/>
              <w:bottom w:w="50" w:type="dxa"/>
              <w:left w:w="90" w:type="dxa"/>
              <w:right w:w="90" w:type="dxa"/>
            </w:tcMar>
          </w:tcPr>
          <w:p>
            <w:pPr>
              <w:jc w:val="center"/>
            </w:pPr>
            <w:r>
              <w:rPr>
                <w:rFonts w:ascii="Times New Roman" w:hAnsi="Times New Roman"/>
                <w:sz w:val="16"/>
              </w:rPr>
              <w:t>1.67 (0.33)</w:t>
            </w:r>
          </w:p>
        </w:tc>
        <w:tc>
          <w:tcPr>
            <w:tcW w:type="dxa" w:w="1152"/>
            <w:shd w:fill="FFFFFF"/>
            <w:tcMar>
              <w:top w:w="50" w:type="dxa"/>
              <w:bottom w:w="50" w:type="dxa"/>
              <w:left w:w="90" w:type="dxa"/>
              <w:right w:w="90" w:type="dxa"/>
            </w:tcMar>
          </w:tcPr>
          <w:p>
            <w:pPr>
              <w:jc w:val="center"/>
            </w:pPr>
            <w:r>
              <w:rPr>
                <w:rFonts w:ascii="Times New Roman" w:hAnsi="Times New Roman"/>
                <w:sz w:val="16"/>
              </w:rPr>
              <w:t>2.49</w:t>
            </w:r>
          </w:p>
        </w:tc>
        <w:tc>
          <w:tcPr>
            <w:tcW w:type="dxa" w:w="1440"/>
            <w:shd w:fill="FFFFFF"/>
            <w:tcMar>
              <w:top w:w="50" w:type="dxa"/>
              <w:bottom w:w="50" w:type="dxa"/>
              <w:left w:w="90" w:type="dxa"/>
              <w:right w:w="90" w:type="dxa"/>
            </w:tcMar>
          </w:tcPr>
          <w:p>
            <w:pPr>
              <w:jc w:val="left"/>
            </w:pPr>
            <w:r>
              <w:rPr>
                <w:rFonts w:ascii="Times New Roman" w:hAnsi="Times New Roman"/>
                <w:sz w:val="16"/>
              </w:rPr>
              <w:t>Statistically Superior (p &lt; 0.001)</w:t>
            </w:r>
          </w:p>
        </w:tc>
      </w:tr>
      <w:tr>
        <w:tc>
          <w:tcPr>
            <w:tcW w:type="dxa" w:w="3024"/>
            <w:shd w:fill="F1F5F9"/>
            <w:tcMar>
              <w:top w:w="50" w:type="dxa"/>
              <w:bottom w:w="50" w:type="dxa"/>
              <w:left w:w="90" w:type="dxa"/>
              <w:right w:w="90" w:type="dxa"/>
            </w:tcMar>
          </w:tcPr>
          <w:p>
            <w:pPr>
              <w:jc w:val="left"/>
            </w:pPr>
            <w:r>
              <w:rPr>
                <w:rFonts w:ascii="Times New Roman" w:hAnsi="Times New Roman"/>
                <w:b/>
                <w:sz w:val="16"/>
              </w:rPr>
              <w:t>Overall PSSUQ Usability Composite</w:t>
            </w:r>
          </w:p>
        </w:tc>
        <w:tc>
          <w:tcPr>
            <w:tcW w:type="dxa" w:w="1584"/>
            <w:shd w:fill="F1F5F9"/>
            <w:tcMar>
              <w:top w:w="50" w:type="dxa"/>
              <w:bottom w:w="50" w:type="dxa"/>
              <w:left w:w="90" w:type="dxa"/>
              <w:right w:w="90" w:type="dxa"/>
            </w:tcMar>
          </w:tcPr>
          <w:p>
            <w:pPr>
              <w:jc w:val="left"/>
            </w:pPr>
            <w:r>
              <w:rPr>
                <w:rFonts w:ascii="Times New Roman" w:hAnsi="Times New Roman"/>
                <w:b/>
                <w:sz w:val="16"/>
              </w:rPr>
              <w:t>n = 12 Users (1-7)</w:t>
            </w:r>
          </w:p>
        </w:tc>
        <w:tc>
          <w:tcPr>
            <w:tcW w:type="dxa" w:w="1296"/>
            <w:shd w:fill="F1F5F9"/>
            <w:tcMar>
              <w:top w:w="50" w:type="dxa"/>
              <w:bottom w:w="50" w:type="dxa"/>
              <w:left w:w="90" w:type="dxa"/>
              <w:right w:w="90" w:type="dxa"/>
            </w:tcMar>
          </w:tcPr>
          <w:p>
            <w:pPr>
              <w:jc w:val="center"/>
            </w:pPr>
            <w:r>
              <w:rPr>
                <w:rFonts w:ascii="Times New Roman" w:hAnsi="Times New Roman"/>
                <w:b/>
                <w:sz w:val="16"/>
              </w:rPr>
              <w:t>1.71 +- 0.41</w:t>
            </w:r>
          </w:p>
        </w:tc>
        <w:tc>
          <w:tcPr>
            <w:tcW w:type="dxa" w:w="1296"/>
            <w:shd w:fill="F1F5F9"/>
            <w:tcMar>
              <w:top w:w="50" w:type="dxa"/>
              <w:bottom w:w="50" w:type="dxa"/>
              <w:left w:w="90" w:type="dxa"/>
              <w:right w:w="90" w:type="dxa"/>
            </w:tcMar>
          </w:tcPr>
          <w:p>
            <w:pPr>
              <w:jc w:val="center"/>
            </w:pPr>
            <w:r>
              <w:rPr>
                <w:rFonts w:ascii="Times New Roman" w:hAnsi="Times New Roman"/>
                <w:b/>
                <w:sz w:val="16"/>
              </w:rPr>
              <w:t>1.69 (0.38)</w:t>
            </w:r>
          </w:p>
        </w:tc>
        <w:tc>
          <w:tcPr>
            <w:tcW w:type="dxa" w:w="1152"/>
            <w:shd w:fill="F1F5F9"/>
            <w:tcMar>
              <w:top w:w="50" w:type="dxa"/>
              <w:bottom w:w="50" w:type="dxa"/>
              <w:left w:w="90" w:type="dxa"/>
              <w:right w:w="90" w:type="dxa"/>
            </w:tcMar>
          </w:tcPr>
          <w:p>
            <w:pPr>
              <w:jc w:val="center"/>
            </w:pPr>
            <w:r>
              <w:rPr>
                <w:rFonts w:ascii="Times New Roman" w:hAnsi="Times New Roman"/>
                <w:b/>
                <w:sz w:val="16"/>
              </w:rPr>
              <w:t>2.82</w:t>
            </w:r>
          </w:p>
        </w:tc>
        <w:tc>
          <w:tcPr>
            <w:tcW w:type="dxa" w:w="1440"/>
            <w:shd w:fill="F1F5F9"/>
            <w:tcMar>
              <w:top w:w="50" w:type="dxa"/>
              <w:bottom w:w="50" w:type="dxa"/>
              <w:left w:w="90" w:type="dxa"/>
              <w:right w:w="90" w:type="dxa"/>
            </w:tcMar>
          </w:tcPr>
          <w:p>
            <w:pPr>
              <w:jc w:val="left"/>
            </w:pPr>
            <w:r>
              <w:rPr>
                <w:rFonts w:ascii="Times New Roman" w:hAnsi="Times New Roman"/>
                <w:b/>
                <w:sz w:val="16"/>
              </w:rPr>
              <w:t>Statistically Superior (p &lt; 0.001)</w:t>
            </w:r>
          </w:p>
        </w:tc>
      </w:tr>
    </w:tbl>
    <w:p>
      <w:pPr>
        <w:spacing w:before="0" w:after="120"/>
      </w:pPr>
    </w:p>
    <w:p>
      <w:pPr>
        <w:keepNext/>
        <w:spacing w:before="160" w:after="40"/>
      </w:pPr>
      <w:r>
        <w:rPr>
          <w:b/>
          <w:i/>
          <w:color w:val="1E293B"/>
          <w:sz w:val="20"/>
        </w:rPr>
        <w:t>E. Operational Turnaround, SLA Compliance, and Statutory ARTA Gating</w:t>
      </w:r>
    </w:p>
    <w:p>
      <w:pPr>
        <w:spacing w:before="0" w:after="100" w:line="269" w:lineRule="auto"/>
        <w:jc w:val="both"/>
      </w:pPr>
      <w:r>
        <w:rPr>
          <w:sz w:val="19"/>
        </w:rPr>
        <w:t>Addressing RQ1, transition to the governed platform decreased overall turnaround from 39.36 +- 18.75 h (Med: 37.50) to 19.79 +- 22.07 h (Med: 15.90), representing a -49.71% net improvement (Cohen's d = 0.95, large effect size). When examined by division, MIS software turnaround dropped from 48.83 +- 20.54 h (Med: 46.30) to 19.32 +- 19.48 h (Med: 16.30, -60.43%, d = 1.47), while ITS hardware turnaround decreased from 33.04 +- 14.37 h (Med: 33.00) to 20.11 +- 23.70 h (Med: 15.50, -39.13%, d = 0.66). Under an unpaused continuous gross clock, pilot turnaround was 22.84 +- 22.47 h, representing a -41.97% reduction against baseline (d = 0.80). Statutory SLA compliance rose from 73.44% (235/320) to 92.84% (311/335, OR = 4.69, p &lt; 0.001).</w:t>
        <w:br/>
        <w:br/>
        <w:t>Across historical baseline requests, turnaround did not vary meaningfully across priority tiers (Critical: 43.80 h, SD 22.10; High: 41.90 h, SD 18.90; Medium: 39.10 h, SD 17.10; Low: 35.40 h, SD 21.10; Kruskal-Wallis H = 5.62, p = 0.13). Because priority tiers were assigned retroactively during archival audit and the manual paper logbook lacked algorithmic triage, urgent requests were processed at the same cadence as routine maintenance. Consequently, zero Critical requests met the statutory 4-hour SLA (0/25, 0.0%) and only 19.7% of High-priority requests complied with their 24-hour target (13/66), whereas Medium (161/168, 95.83%) and Low requests (61/61, 100.0%) exhibited high on-time compliance purely because their multi-day allowance (72 h and 168 h) exceeded the unmanaged operational average. In contrast, under the platform's triage engine and background SLA daemon, turnaround strictly adhered to urgency: Critical requests averaged 2.36 h (SD 0.63, 100% on-time, 28/28), High averaged 11.59 h (SD 6.12, 91.86% on-time, 79/86), Medium averaged 22.63 h (SD 16.84, 92.02% on-time, 150/163), and Low averaged 32.40 h (SD 39.39, 93.10% on-time, 54/58). The background daemon caught and escalated 24 overdue tickets (7.16%), with 12 escalating to Tier 2 director notification before full resolution. At the study cutoff date, exactly 4 tickets remained active (IN_PROGRESS) undergoing physical hardware component testing; zero tickets were cancelled or rejected.</w:t>
        <w:br/>
        <w:br/>
        <w:t>By programmatically gating ticket closure upon digital ARTA CSM submission, the platform resolved the statutory compliance bottleneck, securing a 97.01% survey completion rate among resolved tickets (325 closed out of 335 resolved, Odds Ratio = 104.34, p &lt; 0.001; 95.87% across all 339 pilot tickets, Odds Ratio = 74.53, p &lt; 0.001), yielding an overall Citizen Satisfaction Index of 98.26% (Mean 4.81/5.00), substantially surpassing ARTA's 90.0% statutory excellence threshold (Table VIII &amp; IX).</w:t>
      </w:r>
    </w:p>
    <w:p>
      <w:pPr>
        <w:keepNext/>
        <w:spacing w:before="160" w:after="80"/>
        <w:jc w:val="center"/>
      </w:pPr>
      <w:r>
        <w:rPr>
          <w:rFonts w:ascii="Times New Roman" w:hAnsi="Times New Roman"/>
          <w:b/>
          <w:sz w:val="17"/>
        </w:rPr>
        <w:t>TABLE VIII</w:t>
        <w:br/>
        <w:t>COMPARATIVE TURNAROUND AND SLA COMPLIANCE (ARCHIVAL BASELINE VS. DIGITAL PILOT)</w:t>
      </w:r>
    </w:p>
    <w:tbl>
      <w:tblPr>
        <w:tblW w:type="auto" w:w="0"/>
        <w:jc w:val="center"/>
        <w:tblLook w:firstColumn="1" w:firstRow="1" w:lastColumn="0" w:lastRow="0" w:noHBand="0" w:noVBand="1" w:val="04A0"/>
      </w:tblPr>
      <w:tblGrid>
        <w:gridCol w:w="2016"/>
        <w:gridCol w:w="2016"/>
        <w:gridCol w:w="2016"/>
        <w:gridCol w:w="2016"/>
        <w:gridCol w:w="2016"/>
      </w:tblGrid>
      <w:tr>
        <w:tc>
          <w:tcPr>
            <w:tcW w:type="dxa" w:w="2592"/>
            <w:shd w:fill="E2E8F0"/>
            <w:tcMar>
              <w:top w:w="80" w:type="dxa"/>
              <w:bottom w:w="80" w:type="dxa"/>
              <w:left w:w="100" w:type="dxa"/>
              <w:right w:w="100" w:type="dxa"/>
            </w:tcMar>
          </w:tcPr>
          <w:p>
            <w:pPr>
              <w:jc w:val="center"/>
            </w:pPr>
            <w:r>
              <w:rPr>
                <w:rFonts w:ascii="Times New Roman" w:hAnsi="Times New Roman"/>
                <w:b/>
                <w:color w:val="0F172A"/>
                <w:sz w:val="16"/>
              </w:rPr>
              <w:t>Service Dimension / Metric</w:t>
            </w:r>
          </w:p>
        </w:tc>
        <w:tc>
          <w:tcPr>
            <w:tcW w:type="dxa" w:w="2160"/>
            <w:shd w:fill="E2E8F0"/>
            <w:tcMar>
              <w:top w:w="80" w:type="dxa"/>
              <w:bottom w:w="80" w:type="dxa"/>
              <w:left w:w="100" w:type="dxa"/>
              <w:right w:w="100" w:type="dxa"/>
            </w:tcMar>
          </w:tcPr>
          <w:p>
            <w:pPr>
              <w:jc w:val="center"/>
            </w:pPr>
            <w:r>
              <w:rPr>
                <w:rFonts w:ascii="Times New Roman" w:hAnsi="Times New Roman"/>
                <w:b/>
                <w:color w:val="0F172A"/>
                <w:sz w:val="16"/>
              </w:rPr>
              <w:t>Paper Baseline (N = 320)</w:t>
            </w:r>
          </w:p>
        </w:tc>
        <w:tc>
          <w:tcPr>
            <w:tcW w:type="dxa" w:w="2160"/>
            <w:shd w:fill="E2E8F0"/>
            <w:tcMar>
              <w:top w:w="80" w:type="dxa"/>
              <w:bottom w:w="80" w:type="dxa"/>
              <w:left w:w="100" w:type="dxa"/>
              <w:right w:w="100" w:type="dxa"/>
            </w:tcMar>
          </w:tcPr>
          <w:p>
            <w:pPr>
              <w:jc w:val="center"/>
            </w:pPr>
            <w:r>
              <w:rPr>
                <w:rFonts w:ascii="Times New Roman" w:hAnsi="Times New Roman"/>
                <w:b/>
                <w:color w:val="0F172A"/>
                <w:sz w:val="16"/>
              </w:rPr>
              <w:t>Digital Pilot (n = 335 Resolved)</w:t>
            </w:r>
          </w:p>
        </w:tc>
        <w:tc>
          <w:tcPr>
            <w:tcW w:type="dxa" w:w="1440"/>
            <w:shd w:fill="E2E8F0"/>
            <w:tcMar>
              <w:top w:w="80" w:type="dxa"/>
              <w:bottom w:w="80" w:type="dxa"/>
              <w:left w:w="100" w:type="dxa"/>
              <w:right w:w="100" w:type="dxa"/>
            </w:tcMar>
          </w:tcPr>
          <w:p>
            <w:pPr>
              <w:jc w:val="center"/>
            </w:pPr>
            <w:r>
              <w:rPr>
                <w:rFonts w:ascii="Times New Roman" w:hAnsi="Times New Roman"/>
                <w:b/>
                <w:color w:val="0F172A"/>
                <w:sz w:val="16"/>
              </w:rPr>
              <w:t>Relative Change</w:t>
            </w:r>
          </w:p>
        </w:tc>
        <w:tc>
          <w:tcPr>
            <w:tcW w:type="dxa" w:w="1440"/>
            <w:shd w:fill="E2E8F0"/>
            <w:tcMar>
              <w:top w:w="80" w:type="dxa"/>
              <w:bottom w:w="80" w:type="dxa"/>
              <w:left w:w="100" w:type="dxa"/>
              <w:right w:w="100" w:type="dxa"/>
            </w:tcMar>
          </w:tcPr>
          <w:p>
            <w:pPr>
              <w:jc w:val="center"/>
            </w:pPr>
            <w:r>
              <w:rPr>
                <w:rFonts w:ascii="Times New Roman" w:hAnsi="Times New Roman"/>
                <w:b/>
                <w:color w:val="0F172A"/>
                <w:sz w:val="16"/>
              </w:rPr>
              <w:t>Effect Size / Odds Ratio</w:t>
            </w:r>
          </w:p>
        </w:tc>
      </w:tr>
      <w:tr>
        <w:tc>
          <w:tcPr>
            <w:tcW w:type="dxa" w:w="2592"/>
            <w:shd w:fill="FFFFFF"/>
            <w:tcMar>
              <w:top w:w="50" w:type="dxa"/>
              <w:bottom w:w="50" w:type="dxa"/>
              <w:left w:w="90" w:type="dxa"/>
              <w:right w:w="90" w:type="dxa"/>
            </w:tcMar>
          </w:tcPr>
          <w:p>
            <w:pPr>
              <w:jc w:val="left"/>
            </w:pPr>
            <w:r>
              <w:rPr>
                <w:rFonts w:ascii="Times New Roman" w:hAnsi="Times New Roman"/>
                <w:sz w:val="16"/>
              </w:rPr>
              <w:t>MIS Turnaround (Software / Web)</w:t>
            </w:r>
          </w:p>
        </w:tc>
        <w:tc>
          <w:tcPr>
            <w:tcW w:type="dxa" w:w="2160"/>
            <w:shd w:fill="FFFFFF"/>
            <w:tcMar>
              <w:top w:w="50" w:type="dxa"/>
              <w:bottom w:w="50" w:type="dxa"/>
              <w:left w:w="90" w:type="dxa"/>
              <w:right w:w="90" w:type="dxa"/>
            </w:tcMar>
          </w:tcPr>
          <w:p>
            <w:pPr>
              <w:jc w:val="left"/>
            </w:pPr>
            <w:r>
              <w:rPr>
                <w:rFonts w:ascii="Times New Roman" w:hAnsi="Times New Roman"/>
                <w:sz w:val="16"/>
              </w:rPr>
              <w:t>48.83 +- 20.54 h (Med: 46.30)</w:t>
            </w:r>
          </w:p>
        </w:tc>
        <w:tc>
          <w:tcPr>
            <w:tcW w:type="dxa" w:w="2160"/>
            <w:shd w:fill="FFFFFF"/>
            <w:tcMar>
              <w:top w:w="50" w:type="dxa"/>
              <w:bottom w:w="50" w:type="dxa"/>
              <w:left w:w="90" w:type="dxa"/>
              <w:right w:w="90" w:type="dxa"/>
            </w:tcMar>
          </w:tcPr>
          <w:p>
            <w:pPr>
              <w:jc w:val="left"/>
            </w:pPr>
            <w:r>
              <w:rPr>
                <w:rFonts w:ascii="Times New Roman" w:hAnsi="Times New Roman"/>
                <w:sz w:val="16"/>
              </w:rPr>
              <w:t>19.32 +- 19.48 h (Med: 16.30)</w:t>
            </w:r>
          </w:p>
        </w:tc>
        <w:tc>
          <w:tcPr>
            <w:tcW w:type="dxa" w:w="1440"/>
            <w:shd w:fill="FFFFFF"/>
            <w:tcMar>
              <w:top w:w="50" w:type="dxa"/>
              <w:bottom w:w="50" w:type="dxa"/>
              <w:left w:w="90" w:type="dxa"/>
              <w:right w:w="90" w:type="dxa"/>
            </w:tcMar>
          </w:tcPr>
          <w:p>
            <w:pPr>
              <w:jc w:val="left"/>
            </w:pPr>
            <w:r>
              <w:rPr>
                <w:rFonts w:ascii="Times New Roman" w:hAnsi="Times New Roman"/>
                <w:sz w:val="16"/>
              </w:rPr>
              <w:t>-60.43% (-29.51 h)</w:t>
            </w:r>
          </w:p>
        </w:tc>
        <w:tc>
          <w:tcPr>
            <w:tcW w:type="dxa" w:w="1440"/>
            <w:shd w:fill="FFFFFF"/>
            <w:tcMar>
              <w:top w:w="50" w:type="dxa"/>
              <w:bottom w:w="50" w:type="dxa"/>
              <w:left w:w="90" w:type="dxa"/>
              <w:right w:w="90" w:type="dxa"/>
            </w:tcMar>
          </w:tcPr>
          <w:p>
            <w:pPr>
              <w:jc w:val="center"/>
            </w:pPr>
            <w:r>
              <w:rPr>
                <w:rFonts w:ascii="Times New Roman" w:hAnsi="Times New Roman"/>
                <w:sz w:val="16"/>
              </w:rPr>
              <w:t>d = 1.47 [Large]</w:t>
            </w:r>
          </w:p>
        </w:tc>
      </w:tr>
      <w:tr>
        <w:tc>
          <w:tcPr>
            <w:tcW w:type="dxa" w:w="2592"/>
            <w:shd w:fill="F8FAFC"/>
            <w:tcMar>
              <w:top w:w="50" w:type="dxa"/>
              <w:bottom w:w="50" w:type="dxa"/>
              <w:left w:w="90" w:type="dxa"/>
              <w:right w:w="90" w:type="dxa"/>
            </w:tcMar>
          </w:tcPr>
          <w:p>
            <w:pPr>
              <w:jc w:val="left"/>
            </w:pPr>
            <w:r>
              <w:rPr>
                <w:rFonts w:ascii="Times New Roman" w:hAnsi="Times New Roman"/>
                <w:sz w:val="16"/>
              </w:rPr>
              <w:t>ITS Turnaround (Hardware / Net)</w:t>
            </w:r>
          </w:p>
        </w:tc>
        <w:tc>
          <w:tcPr>
            <w:tcW w:type="dxa" w:w="2160"/>
            <w:shd w:fill="F8FAFC"/>
            <w:tcMar>
              <w:top w:w="50" w:type="dxa"/>
              <w:bottom w:w="50" w:type="dxa"/>
              <w:left w:w="90" w:type="dxa"/>
              <w:right w:w="90" w:type="dxa"/>
            </w:tcMar>
          </w:tcPr>
          <w:p>
            <w:pPr>
              <w:jc w:val="left"/>
            </w:pPr>
            <w:r>
              <w:rPr>
                <w:rFonts w:ascii="Times New Roman" w:hAnsi="Times New Roman"/>
                <w:sz w:val="16"/>
              </w:rPr>
              <w:t>33.04 +- 14.37 h (Med: 33.00)</w:t>
            </w:r>
          </w:p>
        </w:tc>
        <w:tc>
          <w:tcPr>
            <w:tcW w:type="dxa" w:w="2160"/>
            <w:shd w:fill="F8FAFC"/>
            <w:tcMar>
              <w:top w:w="50" w:type="dxa"/>
              <w:bottom w:w="50" w:type="dxa"/>
              <w:left w:w="90" w:type="dxa"/>
              <w:right w:w="90" w:type="dxa"/>
            </w:tcMar>
          </w:tcPr>
          <w:p>
            <w:pPr>
              <w:jc w:val="left"/>
            </w:pPr>
            <w:r>
              <w:rPr>
                <w:rFonts w:ascii="Times New Roman" w:hAnsi="Times New Roman"/>
                <w:sz w:val="16"/>
              </w:rPr>
              <w:t>20.11 +- 23.70 h (Med: 15.50)</w:t>
            </w:r>
          </w:p>
        </w:tc>
        <w:tc>
          <w:tcPr>
            <w:tcW w:type="dxa" w:w="1440"/>
            <w:shd w:fill="F8FAFC"/>
            <w:tcMar>
              <w:top w:w="50" w:type="dxa"/>
              <w:bottom w:w="50" w:type="dxa"/>
              <w:left w:w="90" w:type="dxa"/>
              <w:right w:w="90" w:type="dxa"/>
            </w:tcMar>
          </w:tcPr>
          <w:p>
            <w:pPr>
              <w:jc w:val="left"/>
            </w:pPr>
            <w:r>
              <w:rPr>
                <w:rFonts w:ascii="Times New Roman" w:hAnsi="Times New Roman"/>
                <w:sz w:val="16"/>
              </w:rPr>
              <w:t>-39.13% (-12.93 h)</w:t>
            </w:r>
          </w:p>
        </w:tc>
        <w:tc>
          <w:tcPr>
            <w:tcW w:type="dxa" w:w="1440"/>
            <w:shd w:fill="F8FAFC"/>
            <w:tcMar>
              <w:top w:w="50" w:type="dxa"/>
              <w:bottom w:w="50" w:type="dxa"/>
              <w:left w:w="90" w:type="dxa"/>
              <w:right w:w="90" w:type="dxa"/>
            </w:tcMar>
          </w:tcPr>
          <w:p>
            <w:pPr>
              <w:jc w:val="left"/>
            </w:pPr>
            <w:r>
              <w:rPr>
                <w:rFonts w:ascii="Times New Roman" w:hAnsi="Times New Roman"/>
                <w:sz w:val="16"/>
              </w:rPr>
              <w:t>d = 0.66 [Moderate-Large]</w:t>
            </w:r>
          </w:p>
        </w:tc>
      </w:tr>
      <w:tr>
        <w:tc>
          <w:tcPr>
            <w:tcW w:type="dxa" w:w="2592"/>
            <w:shd w:fill="FFFFFF"/>
            <w:tcMar>
              <w:top w:w="50" w:type="dxa"/>
              <w:bottom w:w="50" w:type="dxa"/>
              <w:left w:w="90" w:type="dxa"/>
              <w:right w:w="90" w:type="dxa"/>
            </w:tcMar>
          </w:tcPr>
          <w:p>
            <w:pPr>
              <w:jc w:val="left"/>
            </w:pPr>
            <w:r>
              <w:rPr>
                <w:rFonts w:ascii="Times New Roman" w:hAnsi="Times New Roman"/>
                <w:sz w:val="16"/>
              </w:rPr>
              <w:t>Overall Operational MTTR (Net)</w:t>
            </w:r>
          </w:p>
        </w:tc>
        <w:tc>
          <w:tcPr>
            <w:tcW w:type="dxa" w:w="2160"/>
            <w:shd w:fill="FFFFFF"/>
            <w:tcMar>
              <w:top w:w="50" w:type="dxa"/>
              <w:bottom w:w="50" w:type="dxa"/>
              <w:left w:w="90" w:type="dxa"/>
              <w:right w:w="90" w:type="dxa"/>
            </w:tcMar>
          </w:tcPr>
          <w:p>
            <w:pPr>
              <w:jc w:val="left"/>
            </w:pPr>
            <w:r>
              <w:rPr>
                <w:rFonts w:ascii="Times New Roman" w:hAnsi="Times New Roman"/>
                <w:sz w:val="16"/>
              </w:rPr>
              <w:t>39.36 +- 18.75 h (Med: 37.50)</w:t>
            </w:r>
          </w:p>
        </w:tc>
        <w:tc>
          <w:tcPr>
            <w:tcW w:type="dxa" w:w="2160"/>
            <w:shd w:fill="FFFFFF"/>
            <w:tcMar>
              <w:top w:w="50" w:type="dxa"/>
              <w:bottom w:w="50" w:type="dxa"/>
              <w:left w:w="90" w:type="dxa"/>
              <w:right w:w="90" w:type="dxa"/>
            </w:tcMar>
          </w:tcPr>
          <w:p>
            <w:pPr>
              <w:jc w:val="left"/>
            </w:pPr>
            <w:r>
              <w:rPr>
                <w:rFonts w:ascii="Times New Roman" w:hAnsi="Times New Roman"/>
                <w:sz w:val="16"/>
              </w:rPr>
              <w:t>19.79 +- 22.07 h (Med: 15.90)</w:t>
            </w:r>
          </w:p>
        </w:tc>
        <w:tc>
          <w:tcPr>
            <w:tcW w:type="dxa" w:w="1440"/>
            <w:shd w:fill="FFFFFF"/>
            <w:tcMar>
              <w:top w:w="50" w:type="dxa"/>
              <w:bottom w:w="50" w:type="dxa"/>
              <w:left w:w="90" w:type="dxa"/>
              <w:right w:w="90" w:type="dxa"/>
            </w:tcMar>
          </w:tcPr>
          <w:p>
            <w:pPr>
              <w:jc w:val="left"/>
            </w:pPr>
            <w:r>
              <w:rPr>
                <w:rFonts w:ascii="Times New Roman" w:hAnsi="Times New Roman"/>
                <w:sz w:val="16"/>
              </w:rPr>
              <w:t>-49.71% (-19.56 h)</w:t>
            </w:r>
          </w:p>
        </w:tc>
        <w:tc>
          <w:tcPr>
            <w:tcW w:type="dxa" w:w="1440"/>
            <w:shd w:fill="FFFFFF"/>
            <w:tcMar>
              <w:top w:w="50" w:type="dxa"/>
              <w:bottom w:w="50" w:type="dxa"/>
              <w:left w:w="90" w:type="dxa"/>
              <w:right w:w="90" w:type="dxa"/>
            </w:tcMar>
          </w:tcPr>
          <w:p>
            <w:pPr>
              <w:jc w:val="center"/>
            </w:pPr>
            <w:r>
              <w:rPr>
                <w:rFonts w:ascii="Times New Roman" w:hAnsi="Times New Roman"/>
                <w:b/>
                <w:sz w:val="16"/>
              </w:rPr>
              <w:t>d = 0.95 [Large]</w:t>
            </w:r>
          </w:p>
        </w:tc>
      </w:tr>
      <w:tr>
        <w:tc>
          <w:tcPr>
            <w:tcW w:type="dxa" w:w="2592"/>
            <w:shd w:fill="F8FAFC"/>
            <w:tcMar>
              <w:top w:w="50" w:type="dxa"/>
              <w:bottom w:w="50" w:type="dxa"/>
              <w:left w:w="90" w:type="dxa"/>
              <w:right w:w="90" w:type="dxa"/>
            </w:tcMar>
          </w:tcPr>
          <w:p>
            <w:pPr>
              <w:jc w:val="left"/>
            </w:pPr>
            <w:r>
              <w:rPr>
                <w:rFonts w:ascii="Times New Roman" w:hAnsi="Times New Roman"/>
                <w:sz w:val="16"/>
              </w:rPr>
              <w:t>Gross Pilot MTTR (Unpaused Clock)</w:t>
            </w:r>
          </w:p>
        </w:tc>
        <w:tc>
          <w:tcPr>
            <w:tcW w:type="dxa" w:w="2160"/>
            <w:shd w:fill="F8FAFC"/>
            <w:tcMar>
              <w:top w:w="50" w:type="dxa"/>
              <w:bottom w:w="50" w:type="dxa"/>
              <w:left w:w="90" w:type="dxa"/>
              <w:right w:w="90" w:type="dxa"/>
            </w:tcMar>
          </w:tcPr>
          <w:p>
            <w:pPr>
              <w:jc w:val="left"/>
            </w:pPr>
            <w:r>
              <w:rPr>
                <w:rFonts w:ascii="Times New Roman" w:hAnsi="Times New Roman"/>
                <w:sz w:val="16"/>
              </w:rPr>
              <w:t>39.36 +- 18.75 h (N = 320)</w:t>
            </w:r>
          </w:p>
        </w:tc>
        <w:tc>
          <w:tcPr>
            <w:tcW w:type="dxa" w:w="2160"/>
            <w:shd w:fill="F8FAFC"/>
            <w:tcMar>
              <w:top w:w="50" w:type="dxa"/>
              <w:bottom w:w="50" w:type="dxa"/>
              <w:left w:w="90" w:type="dxa"/>
              <w:right w:w="90" w:type="dxa"/>
            </w:tcMar>
          </w:tcPr>
          <w:p>
            <w:pPr>
              <w:jc w:val="left"/>
            </w:pPr>
            <w:r>
              <w:rPr>
                <w:rFonts w:ascii="Times New Roman" w:hAnsi="Times New Roman"/>
                <w:sz w:val="16"/>
              </w:rPr>
              <w:t>22.84 +- 22.47 h (n = 335)</w:t>
            </w:r>
          </w:p>
        </w:tc>
        <w:tc>
          <w:tcPr>
            <w:tcW w:type="dxa" w:w="1440"/>
            <w:shd w:fill="F8FAFC"/>
            <w:tcMar>
              <w:top w:w="50" w:type="dxa"/>
              <w:bottom w:w="50" w:type="dxa"/>
              <w:left w:w="90" w:type="dxa"/>
              <w:right w:w="90" w:type="dxa"/>
            </w:tcMar>
          </w:tcPr>
          <w:p>
            <w:pPr>
              <w:jc w:val="left"/>
            </w:pPr>
            <w:r>
              <w:rPr>
                <w:rFonts w:ascii="Times New Roman" w:hAnsi="Times New Roman"/>
                <w:sz w:val="16"/>
              </w:rPr>
              <w:t>-41.97% (-16.52 h)</w:t>
            </w:r>
          </w:p>
        </w:tc>
        <w:tc>
          <w:tcPr>
            <w:tcW w:type="dxa" w:w="1440"/>
            <w:shd w:fill="F8FAFC"/>
            <w:tcMar>
              <w:top w:w="50" w:type="dxa"/>
              <w:bottom w:w="50" w:type="dxa"/>
              <w:left w:w="90" w:type="dxa"/>
              <w:right w:w="90" w:type="dxa"/>
            </w:tcMar>
          </w:tcPr>
          <w:p>
            <w:pPr>
              <w:jc w:val="center"/>
            </w:pPr>
            <w:r>
              <w:rPr>
                <w:rFonts w:ascii="Times New Roman" w:hAnsi="Times New Roman"/>
                <w:sz w:val="16"/>
              </w:rPr>
              <w:t>d = 0.80 [Large]</w:t>
            </w:r>
          </w:p>
        </w:tc>
      </w:tr>
      <w:tr>
        <w:tc>
          <w:tcPr>
            <w:tcW w:type="dxa" w:w="2592"/>
            <w:shd w:fill="FFFFFF"/>
            <w:tcMar>
              <w:top w:w="50" w:type="dxa"/>
              <w:bottom w:w="50" w:type="dxa"/>
              <w:left w:w="90" w:type="dxa"/>
              <w:right w:w="90" w:type="dxa"/>
            </w:tcMar>
          </w:tcPr>
          <w:p>
            <w:pPr>
              <w:jc w:val="left"/>
            </w:pPr>
            <w:r>
              <w:rPr>
                <w:rFonts w:ascii="Times New Roman" w:hAnsi="Times New Roman"/>
                <w:sz w:val="16"/>
              </w:rPr>
              <w:t>• Critical Priority (4h SLA)</w:t>
            </w:r>
          </w:p>
        </w:tc>
        <w:tc>
          <w:tcPr>
            <w:tcW w:type="dxa" w:w="2160"/>
            <w:shd w:fill="FFFFFF"/>
            <w:tcMar>
              <w:top w:w="50" w:type="dxa"/>
              <w:bottom w:w="50" w:type="dxa"/>
              <w:left w:w="90" w:type="dxa"/>
              <w:right w:w="90" w:type="dxa"/>
            </w:tcMar>
          </w:tcPr>
          <w:p>
            <w:pPr>
              <w:jc w:val="left"/>
            </w:pPr>
            <w:r>
              <w:rPr>
                <w:rFonts w:ascii="Times New Roman" w:hAnsi="Times New Roman"/>
                <w:sz w:val="16"/>
              </w:rPr>
              <w:t>43.80 +- 22.10 h (n = 25, 0.0% on-time, 0/25)</w:t>
            </w:r>
          </w:p>
        </w:tc>
        <w:tc>
          <w:tcPr>
            <w:tcW w:type="dxa" w:w="2160"/>
            <w:shd w:fill="FFFFFF"/>
            <w:tcMar>
              <w:top w:w="50" w:type="dxa"/>
              <w:bottom w:w="50" w:type="dxa"/>
              <w:left w:w="90" w:type="dxa"/>
              <w:right w:w="90" w:type="dxa"/>
            </w:tcMar>
          </w:tcPr>
          <w:p>
            <w:pPr>
              <w:jc w:val="left"/>
            </w:pPr>
            <w:r>
              <w:rPr>
                <w:rFonts w:ascii="Times New Roman" w:hAnsi="Times New Roman"/>
                <w:b/>
                <w:sz w:val="16"/>
              </w:rPr>
              <w:t>2.36 +- 0.63 h (n = 28, 100.0% on-time, 28/28)</w:t>
            </w:r>
          </w:p>
        </w:tc>
        <w:tc>
          <w:tcPr>
            <w:tcW w:type="dxa" w:w="1440"/>
            <w:shd w:fill="FFFFFF"/>
            <w:tcMar>
              <w:top w:w="50" w:type="dxa"/>
              <w:bottom w:w="50" w:type="dxa"/>
              <w:left w:w="90" w:type="dxa"/>
              <w:right w:w="90" w:type="dxa"/>
            </w:tcMar>
          </w:tcPr>
          <w:p>
            <w:pPr>
              <w:jc w:val="left"/>
            </w:pPr>
            <w:r>
              <w:rPr>
                <w:rFonts w:ascii="Times New Roman" w:hAnsi="Times New Roman"/>
                <w:sz w:val="16"/>
              </w:rPr>
              <w:t>-94.61% (-41.44 h)</w:t>
            </w:r>
          </w:p>
        </w:tc>
        <w:tc>
          <w:tcPr>
            <w:tcW w:type="dxa" w:w="1440"/>
            <w:shd w:fill="FFFFFF"/>
            <w:tcMar>
              <w:top w:w="50" w:type="dxa"/>
              <w:bottom w:w="50" w:type="dxa"/>
              <w:left w:w="90" w:type="dxa"/>
              <w:right w:w="90" w:type="dxa"/>
            </w:tcMar>
          </w:tcPr>
          <w:p>
            <w:pPr>
              <w:jc w:val="left"/>
            </w:pPr>
            <w:r>
              <w:rPr>
                <w:rFonts w:ascii="Times New Roman" w:hAnsi="Times New Roman"/>
                <w:b/>
                <w:sz w:val="16"/>
              </w:rPr>
              <w:t>100.0% Met SLA (28/28)</w:t>
            </w:r>
          </w:p>
        </w:tc>
      </w:tr>
      <w:tr>
        <w:tc>
          <w:tcPr>
            <w:tcW w:type="dxa" w:w="2592"/>
            <w:shd w:fill="F8FAFC"/>
            <w:tcMar>
              <w:top w:w="50" w:type="dxa"/>
              <w:bottom w:w="50" w:type="dxa"/>
              <w:left w:w="90" w:type="dxa"/>
              <w:right w:w="90" w:type="dxa"/>
            </w:tcMar>
          </w:tcPr>
          <w:p>
            <w:pPr>
              <w:jc w:val="left"/>
            </w:pPr>
            <w:r>
              <w:rPr>
                <w:rFonts w:ascii="Times New Roman" w:hAnsi="Times New Roman"/>
                <w:sz w:val="16"/>
              </w:rPr>
              <w:t>• High Priority (24h SLA)</w:t>
            </w:r>
          </w:p>
        </w:tc>
        <w:tc>
          <w:tcPr>
            <w:tcW w:type="dxa" w:w="2160"/>
            <w:shd w:fill="F8FAFC"/>
            <w:tcMar>
              <w:top w:w="50" w:type="dxa"/>
              <w:bottom w:w="50" w:type="dxa"/>
              <w:left w:w="90" w:type="dxa"/>
              <w:right w:w="90" w:type="dxa"/>
            </w:tcMar>
          </w:tcPr>
          <w:p>
            <w:pPr>
              <w:jc w:val="left"/>
            </w:pPr>
            <w:r>
              <w:rPr>
                <w:rFonts w:ascii="Times New Roman" w:hAnsi="Times New Roman"/>
                <w:sz w:val="16"/>
              </w:rPr>
              <w:t>41.90 +- 18.90 h (n = 66, 19.7% on-time, 13/66)</w:t>
            </w:r>
          </w:p>
        </w:tc>
        <w:tc>
          <w:tcPr>
            <w:tcW w:type="dxa" w:w="2160"/>
            <w:shd w:fill="F8FAFC"/>
            <w:tcMar>
              <w:top w:w="50" w:type="dxa"/>
              <w:bottom w:w="50" w:type="dxa"/>
              <w:left w:w="90" w:type="dxa"/>
              <w:right w:w="90" w:type="dxa"/>
            </w:tcMar>
          </w:tcPr>
          <w:p>
            <w:pPr>
              <w:jc w:val="left"/>
            </w:pPr>
            <w:r>
              <w:rPr>
                <w:rFonts w:ascii="Times New Roman" w:hAnsi="Times New Roman"/>
                <w:sz w:val="16"/>
              </w:rPr>
              <w:t>11.59 +- 6.12 h (n = 86, 91.86% on-time, 79/86)</w:t>
            </w:r>
          </w:p>
        </w:tc>
        <w:tc>
          <w:tcPr>
            <w:tcW w:type="dxa" w:w="1440"/>
            <w:shd w:fill="F8FAFC"/>
            <w:tcMar>
              <w:top w:w="50" w:type="dxa"/>
              <w:bottom w:w="50" w:type="dxa"/>
              <w:left w:w="90" w:type="dxa"/>
              <w:right w:w="90" w:type="dxa"/>
            </w:tcMar>
          </w:tcPr>
          <w:p>
            <w:pPr>
              <w:jc w:val="left"/>
            </w:pPr>
            <w:r>
              <w:rPr>
                <w:rFonts w:ascii="Times New Roman" w:hAnsi="Times New Roman"/>
                <w:sz w:val="16"/>
              </w:rPr>
              <w:t>-72.34% (-30.31 h)</w:t>
            </w:r>
          </w:p>
        </w:tc>
        <w:tc>
          <w:tcPr>
            <w:tcW w:type="dxa" w:w="1440"/>
            <w:shd w:fill="F8FAFC"/>
            <w:tcMar>
              <w:top w:w="50" w:type="dxa"/>
              <w:bottom w:w="50" w:type="dxa"/>
              <w:left w:w="90" w:type="dxa"/>
              <w:right w:w="90" w:type="dxa"/>
            </w:tcMar>
          </w:tcPr>
          <w:p>
            <w:pPr>
              <w:jc w:val="left"/>
            </w:pPr>
            <w:r>
              <w:rPr>
                <w:rFonts w:ascii="Times New Roman" w:hAnsi="Times New Roman"/>
                <w:sz w:val="16"/>
              </w:rPr>
              <w:t>91.86% Met SLA (79/86)</w:t>
            </w:r>
          </w:p>
        </w:tc>
      </w:tr>
      <w:tr>
        <w:tc>
          <w:tcPr>
            <w:tcW w:type="dxa" w:w="2592"/>
            <w:shd w:fill="FFFFFF"/>
            <w:tcMar>
              <w:top w:w="50" w:type="dxa"/>
              <w:bottom w:w="50" w:type="dxa"/>
              <w:left w:w="90" w:type="dxa"/>
              <w:right w:w="90" w:type="dxa"/>
            </w:tcMar>
          </w:tcPr>
          <w:p>
            <w:pPr>
              <w:jc w:val="left"/>
            </w:pPr>
            <w:r>
              <w:rPr>
                <w:rFonts w:ascii="Times New Roman" w:hAnsi="Times New Roman"/>
                <w:sz w:val="16"/>
              </w:rPr>
              <w:t>• Medium Priority (72h SLA)</w:t>
            </w:r>
          </w:p>
        </w:tc>
        <w:tc>
          <w:tcPr>
            <w:tcW w:type="dxa" w:w="2160"/>
            <w:shd w:fill="FFFFFF"/>
            <w:tcMar>
              <w:top w:w="50" w:type="dxa"/>
              <w:bottom w:w="50" w:type="dxa"/>
              <w:left w:w="90" w:type="dxa"/>
              <w:right w:w="90" w:type="dxa"/>
            </w:tcMar>
          </w:tcPr>
          <w:p>
            <w:pPr>
              <w:jc w:val="left"/>
            </w:pPr>
            <w:r>
              <w:rPr>
                <w:rFonts w:ascii="Times New Roman" w:hAnsi="Times New Roman"/>
                <w:sz w:val="16"/>
              </w:rPr>
              <w:t>39.10 +- 17.10 h (n = 168, 95.83% on-time, 161/168)</w:t>
            </w:r>
          </w:p>
        </w:tc>
        <w:tc>
          <w:tcPr>
            <w:tcW w:type="dxa" w:w="2160"/>
            <w:shd w:fill="FFFFFF"/>
            <w:tcMar>
              <w:top w:w="50" w:type="dxa"/>
              <w:bottom w:w="50" w:type="dxa"/>
              <w:left w:w="90" w:type="dxa"/>
              <w:right w:w="90" w:type="dxa"/>
            </w:tcMar>
          </w:tcPr>
          <w:p>
            <w:pPr>
              <w:jc w:val="left"/>
            </w:pPr>
            <w:r>
              <w:rPr>
                <w:rFonts w:ascii="Times New Roman" w:hAnsi="Times New Roman"/>
                <w:sz w:val="16"/>
              </w:rPr>
              <w:t>22.63 +- 16.84 h (n = 163, 92.02% on-time, 150/163)</w:t>
            </w:r>
          </w:p>
        </w:tc>
        <w:tc>
          <w:tcPr>
            <w:tcW w:type="dxa" w:w="1440"/>
            <w:shd w:fill="FFFFFF"/>
            <w:tcMar>
              <w:top w:w="50" w:type="dxa"/>
              <w:bottom w:w="50" w:type="dxa"/>
              <w:left w:w="90" w:type="dxa"/>
              <w:right w:w="90" w:type="dxa"/>
            </w:tcMar>
          </w:tcPr>
          <w:p>
            <w:pPr>
              <w:jc w:val="left"/>
            </w:pPr>
            <w:r>
              <w:rPr>
                <w:rFonts w:ascii="Times New Roman" w:hAnsi="Times New Roman"/>
                <w:sz w:val="16"/>
              </w:rPr>
              <w:t>-42.12% (-16.47 h)</w:t>
            </w:r>
          </w:p>
        </w:tc>
        <w:tc>
          <w:tcPr>
            <w:tcW w:type="dxa" w:w="1440"/>
            <w:shd w:fill="FFFFFF"/>
            <w:tcMar>
              <w:top w:w="50" w:type="dxa"/>
              <w:bottom w:w="50" w:type="dxa"/>
              <w:left w:w="90" w:type="dxa"/>
              <w:right w:w="90" w:type="dxa"/>
            </w:tcMar>
          </w:tcPr>
          <w:p>
            <w:pPr>
              <w:jc w:val="left"/>
            </w:pPr>
            <w:r>
              <w:rPr>
                <w:rFonts w:ascii="Times New Roman" w:hAnsi="Times New Roman"/>
                <w:sz w:val="16"/>
              </w:rPr>
              <w:t>92.02% Met SLA (150/163)</w:t>
            </w:r>
          </w:p>
        </w:tc>
      </w:tr>
      <w:tr>
        <w:tc>
          <w:tcPr>
            <w:tcW w:type="dxa" w:w="2592"/>
            <w:shd w:fill="F8FAFC"/>
            <w:tcMar>
              <w:top w:w="50" w:type="dxa"/>
              <w:bottom w:w="50" w:type="dxa"/>
              <w:left w:w="90" w:type="dxa"/>
              <w:right w:w="90" w:type="dxa"/>
            </w:tcMar>
          </w:tcPr>
          <w:p>
            <w:pPr>
              <w:jc w:val="left"/>
            </w:pPr>
            <w:r>
              <w:rPr>
                <w:rFonts w:ascii="Times New Roman" w:hAnsi="Times New Roman"/>
                <w:sz w:val="16"/>
              </w:rPr>
              <w:t>• Low Priority (168h SLA)</w:t>
            </w:r>
          </w:p>
        </w:tc>
        <w:tc>
          <w:tcPr>
            <w:tcW w:type="dxa" w:w="2160"/>
            <w:shd w:fill="F8FAFC"/>
            <w:tcMar>
              <w:top w:w="50" w:type="dxa"/>
              <w:bottom w:w="50" w:type="dxa"/>
              <w:left w:w="90" w:type="dxa"/>
              <w:right w:w="90" w:type="dxa"/>
            </w:tcMar>
          </w:tcPr>
          <w:p>
            <w:pPr>
              <w:jc w:val="left"/>
            </w:pPr>
            <w:r>
              <w:rPr>
                <w:rFonts w:ascii="Times New Roman" w:hAnsi="Times New Roman"/>
                <w:b/>
                <w:sz w:val="16"/>
              </w:rPr>
              <w:t>35.40 +- 21.10 h (n = 61, 100.0% on-time, 61/61)</w:t>
            </w:r>
          </w:p>
        </w:tc>
        <w:tc>
          <w:tcPr>
            <w:tcW w:type="dxa" w:w="2160"/>
            <w:shd w:fill="F8FAFC"/>
            <w:tcMar>
              <w:top w:w="50" w:type="dxa"/>
              <w:bottom w:w="50" w:type="dxa"/>
              <w:left w:w="90" w:type="dxa"/>
              <w:right w:w="90" w:type="dxa"/>
            </w:tcMar>
          </w:tcPr>
          <w:p>
            <w:pPr>
              <w:jc w:val="left"/>
            </w:pPr>
            <w:r>
              <w:rPr>
                <w:rFonts w:ascii="Times New Roman" w:hAnsi="Times New Roman"/>
                <w:sz w:val="16"/>
              </w:rPr>
              <w:t>32.40 +- 39.39 h (n = 58, 93.10% on-time, 54/58)</w:t>
            </w:r>
          </w:p>
        </w:tc>
        <w:tc>
          <w:tcPr>
            <w:tcW w:type="dxa" w:w="1440"/>
            <w:shd w:fill="F8FAFC"/>
            <w:tcMar>
              <w:top w:w="50" w:type="dxa"/>
              <w:bottom w:w="50" w:type="dxa"/>
              <w:left w:w="90" w:type="dxa"/>
              <w:right w:w="90" w:type="dxa"/>
            </w:tcMar>
          </w:tcPr>
          <w:p>
            <w:pPr>
              <w:jc w:val="center"/>
            </w:pPr>
            <w:r>
              <w:rPr>
                <w:rFonts w:ascii="Times New Roman" w:hAnsi="Times New Roman"/>
                <w:sz w:val="16"/>
              </w:rPr>
              <w:t>-8.47% (-3.00 h)</w:t>
            </w:r>
          </w:p>
        </w:tc>
        <w:tc>
          <w:tcPr>
            <w:tcW w:type="dxa" w:w="1440"/>
            <w:shd w:fill="F8FAFC"/>
            <w:tcMar>
              <w:top w:w="50" w:type="dxa"/>
              <w:bottom w:w="50" w:type="dxa"/>
              <w:left w:w="90" w:type="dxa"/>
              <w:right w:w="90" w:type="dxa"/>
            </w:tcMar>
          </w:tcPr>
          <w:p>
            <w:pPr>
              <w:jc w:val="left"/>
            </w:pPr>
            <w:r>
              <w:rPr>
                <w:rFonts w:ascii="Times New Roman" w:hAnsi="Times New Roman"/>
                <w:sz w:val="16"/>
              </w:rPr>
              <w:t>93.10% Met SLA (54/58)</w:t>
            </w:r>
          </w:p>
        </w:tc>
      </w:tr>
      <w:tr>
        <w:tc>
          <w:tcPr>
            <w:tcW w:type="dxa" w:w="2592"/>
            <w:shd w:fill="FFFFFF"/>
            <w:tcMar>
              <w:top w:w="50" w:type="dxa"/>
              <w:bottom w:w="50" w:type="dxa"/>
              <w:left w:w="90" w:type="dxa"/>
              <w:right w:w="90" w:type="dxa"/>
            </w:tcMar>
          </w:tcPr>
          <w:p>
            <w:pPr>
              <w:jc w:val="left"/>
            </w:pPr>
            <w:r>
              <w:rPr>
                <w:rFonts w:ascii="Times New Roman" w:hAnsi="Times New Roman"/>
                <w:sz w:val="16"/>
              </w:rPr>
              <w:t>Statutory SLA Compliance Rate</w:t>
            </w:r>
          </w:p>
        </w:tc>
        <w:tc>
          <w:tcPr>
            <w:tcW w:type="dxa" w:w="2160"/>
            <w:shd w:fill="FFFFFF"/>
            <w:tcMar>
              <w:top w:w="50" w:type="dxa"/>
              <w:bottom w:w="50" w:type="dxa"/>
              <w:left w:w="90" w:type="dxa"/>
              <w:right w:w="90" w:type="dxa"/>
            </w:tcMar>
          </w:tcPr>
          <w:p>
            <w:pPr>
              <w:jc w:val="left"/>
            </w:pPr>
            <w:r>
              <w:rPr>
                <w:rFonts w:ascii="Times New Roman" w:hAnsi="Times New Roman"/>
                <w:sz w:val="16"/>
              </w:rPr>
              <w:t>73.44% (235/320) [68.3%, 78.0%]</w:t>
            </w:r>
          </w:p>
        </w:tc>
        <w:tc>
          <w:tcPr>
            <w:tcW w:type="dxa" w:w="2160"/>
            <w:shd w:fill="FFFFFF"/>
            <w:tcMar>
              <w:top w:w="50" w:type="dxa"/>
              <w:bottom w:w="50" w:type="dxa"/>
              <w:left w:w="90" w:type="dxa"/>
              <w:right w:w="90" w:type="dxa"/>
            </w:tcMar>
          </w:tcPr>
          <w:p>
            <w:pPr>
              <w:jc w:val="left"/>
            </w:pPr>
            <w:r>
              <w:rPr>
                <w:rFonts w:ascii="Times New Roman" w:hAnsi="Times New Roman"/>
                <w:sz w:val="16"/>
              </w:rPr>
              <w:t>92.84% (311/335) [89.6%, 95.1%]</w:t>
            </w:r>
          </w:p>
        </w:tc>
        <w:tc>
          <w:tcPr>
            <w:tcW w:type="dxa" w:w="1440"/>
            <w:shd w:fill="FFFFFF"/>
            <w:tcMar>
              <w:top w:w="50" w:type="dxa"/>
              <w:bottom w:w="50" w:type="dxa"/>
              <w:left w:w="90" w:type="dxa"/>
              <w:right w:w="90" w:type="dxa"/>
            </w:tcMar>
          </w:tcPr>
          <w:p>
            <w:pPr>
              <w:jc w:val="center"/>
            </w:pPr>
            <w:r>
              <w:rPr>
                <w:rFonts w:ascii="Times New Roman" w:hAnsi="Times New Roman"/>
                <w:sz w:val="16"/>
              </w:rPr>
              <w:t>+19.40 pts</w:t>
            </w:r>
          </w:p>
        </w:tc>
        <w:tc>
          <w:tcPr>
            <w:tcW w:type="dxa" w:w="1440"/>
            <w:shd w:fill="FFFFFF"/>
            <w:tcMar>
              <w:top w:w="50" w:type="dxa"/>
              <w:bottom w:w="50" w:type="dxa"/>
              <w:left w:w="90" w:type="dxa"/>
              <w:right w:w="90" w:type="dxa"/>
            </w:tcMar>
          </w:tcPr>
          <w:p>
            <w:pPr>
              <w:jc w:val="left"/>
            </w:pPr>
            <w:r>
              <w:rPr>
                <w:rFonts w:ascii="Times New Roman" w:hAnsi="Times New Roman"/>
                <w:sz w:val="16"/>
              </w:rPr>
              <w:t>OR = 4.69, p &lt; 0.001</w:t>
            </w:r>
          </w:p>
        </w:tc>
      </w:tr>
      <w:tr>
        <w:tc>
          <w:tcPr>
            <w:tcW w:type="dxa" w:w="2592"/>
            <w:shd w:fill="F8FAFC"/>
            <w:tcMar>
              <w:top w:w="50" w:type="dxa"/>
              <w:bottom w:w="50" w:type="dxa"/>
              <w:left w:w="90" w:type="dxa"/>
              <w:right w:w="90" w:type="dxa"/>
            </w:tcMar>
          </w:tcPr>
          <w:p>
            <w:pPr>
              <w:jc w:val="left"/>
            </w:pPr>
            <w:r>
              <w:rPr>
                <w:rFonts w:ascii="Times New Roman" w:hAnsi="Times New Roman"/>
                <w:sz w:val="16"/>
              </w:rPr>
              <w:t>ARTA CSM Completion Rate</w:t>
            </w:r>
          </w:p>
        </w:tc>
        <w:tc>
          <w:tcPr>
            <w:tcW w:type="dxa" w:w="2160"/>
            <w:shd w:fill="F8FAFC"/>
            <w:tcMar>
              <w:top w:w="50" w:type="dxa"/>
              <w:bottom w:w="50" w:type="dxa"/>
              <w:left w:w="90" w:type="dxa"/>
              <w:right w:w="90" w:type="dxa"/>
            </w:tcMar>
          </w:tcPr>
          <w:p>
            <w:pPr>
              <w:jc w:val="left"/>
            </w:pPr>
            <w:r>
              <w:rPr>
                <w:rFonts w:ascii="Times New Roman" w:hAnsi="Times New Roman"/>
                <w:sz w:val="16"/>
              </w:rPr>
              <w:t>23.75% (76/320) [19.4%, 28.7%]</w:t>
            </w:r>
          </w:p>
        </w:tc>
        <w:tc>
          <w:tcPr>
            <w:tcW w:type="dxa" w:w="2160"/>
            <w:shd w:fill="F8FAFC"/>
            <w:tcMar>
              <w:top w:w="50" w:type="dxa"/>
              <w:bottom w:w="50" w:type="dxa"/>
              <w:left w:w="90" w:type="dxa"/>
              <w:right w:w="90" w:type="dxa"/>
            </w:tcMar>
          </w:tcPr>
          <w:p>
            <w:pPr>
              <w:jc w:val="left"/>
            </w:pPr>
            <w:r>
              <w:rPr>
                <w:rFonts w:ascii="Times New Roman" w:hAnsi="Times New Roman"/>
                <w:sz w:val="16"/>
              </w:rPr>
              <w:t>97.01% (325/335) [94.6%, 98.4%]</w:t>
            </w:r>
          </w:p>
        </w:tc>
        <w:tc>
          <w:tcPr>
            <w:tcW w:type="dxa" w:w="1440"/>
            <w:shd w:fill="F8FAFC"/>
            <w:tcMar>
              <w:top w:w="50" w:type="dxa"/>
              <w:bottom w:w="50" w:type="dxa"/>
              <w:left w:w="90" w:type="dxa"/>
              <w:right w:w="90" w:type="dxa"/>
            </w:tcMar>
          </w:tcPr>
          <w:p>
            <w:pPr>
              <w:jc w:val="center"/>
            </w:pPr>
            <w:r>
              <w:rPr>
                <w:rFonts w:ascii="Times New Roman" w:hAnsi="Times New Roman"/>
                <w:sz w:val="16"/>
              </w:rPr>
              <w:t>+73.26 pts</w:t>
            </w:r>
          </w:p>
        </w:tc>
        <w:tc>
          <w:tcPr>
            <w:tcW w:type="dxa" w:w="1440"/>
            <w:shd w:fill="F8FAFC"/>
            <w:tcMar>
              <w:top w:w="50" w:type="dxa"/>
              <w:bottom w:w="50" w:type="dxa"/>
              <w:left w:w="90" w:type="dxa"/>
              <w:right w:w="90" w:type="dxa"/>
            </w:tcMar>
          </w:tcPr>
          <w:p>
            <w:pPr>
              <w:jc w:val="left"/>
            </w:pPr>
            <w:r>
              <w:rPr>
                <w:rFonts w:ascii="Times New Roman" w:hAnsi="Times New Roman"/>
                <w:sz w:val="16"/>
              </w:rPr>
              <w:t>OR = 104.34 (resolved) / 74.53 (total), p &lt; 0.001</w:t>
            </w:r>
          </w:p>
        </w:tc>
      </w:tr>
      <w:tr>
        <w:tc>
          <w:tcPr>
            <w:tcW w:type="dxa" w:w="2592"/>
            <w:shd w:fill="F1F5F9"/>
            <w:tcMar>
              <w:top w:w="50" w:type="dxa"/>
              <w:bottom w:w="50" w:type="dxa"/>
              <w:left w:w="90" w:type="dxa"/>
              <w:right w:w="90" w:type="dxa"/>
            </w:tcMar>
          </w:tcPr>
          <w:p>
            <w:pPr>
              <w:jc w:val="left"/>
            </w:pPr>
            <w:r>
              <w:rPr>
                <w:rFonts w:ascii="Times New Roman" w:hAnsi="Times New Roman"/>
                <w:b/>
                <w:sz w:val="16"/>
              </w:rPr>
              <w:t>Two-Tier SLA Escalations</w:t>
            </w:r>
          </w:p>
        </w:tc>
        <w:tc>
          <w:tcPr>
            <w:tcW w:type="dxa" w:w="2160"/>
            <w:shd w:fill="F1F5F9"/>
            <w:tcMar>
              <w:top w:w="50" w:type="dxa"/>
              <w:bottom w:w="50" w:type="dxa"/>
              <w:left w:w="90" w:type="dxa"/>
              <w:right w:w="90" w:type="dxa"/>
            </w:tcMar>
          </w:tcPr>
          <w:p>
            <w:pPr>
              <w:jc w:val="center"/>
            </w:pPr>
            <w:r>
              <w:rPr>
                <w:rFonts w:ascii="Times New Roman" w:hAnsi="Times New Roman"/>
                <w:b/>
                <w:sz w:val="16"/>
              </w:rPr>
              <w:t>0% (Manual paper)</w:t>
            </w:r>
          </w:p>
        </w:tc>
        <w:tc>
          <w:tcPr>
            <w:tcW w:type="dxa" w:w="2160"/>
            <w:shd w:fill="F1F5F9"/>
            <w:tcMar>
              <w:top w:w="50" w:type="dxa"/>
              <w:bottom w:w="50" w:type="dxa"/>
              <w:left w:w="90" w:type="dxa"/>
              <w:right w:w="90" w:type="dxa"/>
            </w:tcMar>
          </w:tcPr>
          <w:p>
            <w:pPr>
              <w:jc w:val="left"/>
            </w:pPr>
            <w:r>
              <w:rPr>
                <w:rFonts w:ascii="Times New Roman" w:hAnsi="Times New Roman"/>
                <w:b/>
                <w:sz w:val="16"/>
              </w:rPr>
              <w:t>Tier 1: 7.16% (24); Tier 2: 3.58% (12)</w:t>
            </w:r>
          </w:p>
        </w:tc>
        <w:tc>
          <w:tcPr>
            <w:tcW w:type="dxa" w:w="1440"/>
            <w:shd w:fill="F1F5F9"/>
            <w:tcMar>
              <w:top w:w="50" w:type="dxa"/>
              <w:bottom w:w="50" w:type="dxa"/>
              <w:left w:w="90" w:type="dxa"/>
              <w:right w:w="90" w:type="dxa"/>
            </w:tcMar>
          </w:tcPr>
          <w:p>
            <w:pPr>
              <w:jc w:val="center"/>
            </w:pPr>
            <w:r>
              <w:rPr>
                <w:rFonts w:ascii="Times New Roman" w:hAnsi="Times New Roman"/>
                <w:b/>
                <w:sz w:val="16"/>
              </w:rPr>
              <w:t>Automated Daemon</w:t>
            </w:r>
          </w:p>
        </w:tc>
        <w:tc>
          <w:tcPr>
            <w:tcW w:type="dxa" w:w="1440"/>
            <w:shd w:fill="F1F5F9"/>
            <w:tcMar>
              <w:top w:w="50" w:type="dxa"/>
              <w:bottom w:w="50" w:type="dxa"/>
              <w:left w:w="90" w:type="dxa"/>
              <w:right w:w="90" w:type="dxa"/>
            </w:tcMar>
          </w:tcPr>
          <w:p>
            <w:pPr>
              <w:jc w:val="left"/>
            </w:pPr>
            <w:r>
              <w:rPr>
                <w:rFonts w:ascii="Times New Roman" w:hAnsi="Times New Roman"/>
                <w:b/>
                <w:sz w:val="16"/>
              </w:rPr>
              <w:t>100% Resolved Post-Alert</w:t>
            </w:r>
          </w:p>
        </w:tc>
      </w:tr>
    </w:tbl>
    <w:p>
      <w:pPr>
        <w:spacing w:before="0" w:after="120"/>
      </w:pPr>
    </w:p>
    <w:p>
      <w:pPr>
        <w:keepNext/>
        <w:spacing w:before="160" w:after="80"/>
        <w:jc w:val="center"/>
      </w:pPr>
      <w:r>
        <w:rPr>
          <w:rFonts w:ascii="Times New Roman" w:hAnsi="Times New Roman"/>
          <w:b/>
          <w:sz w:val="17"/>
        </w:rPr>
        <w:t>TABLE IX</w:t>
        <w:br/>
        <w:t>STATUTORY ARTA CLIENT SATISFACTION MEASUREMENT (CSM) EVALUATION (N = 325 CLOSED)</w:t>
      </w:r>
    </w:p>
    <w:tbl>
      <w:tblPr>
        <w:tblW w:type="auto" w:w="0"/>
        <w:jc w:val="center"/>
        <w:tblLook w:firstColumn="1" w:firstRow="1" w:lastColumn="0" w:lastRow="0" w:noHBand="0" w:noVBand="1" w:val="04A0"/>
      </w:tblPr>
      <w:tblGrid>
        <w:gridCol w:w="2016"/>
        <w:gridCol w:w="2016"/>
        <w:gridCol w:w="2016"/>
        <w:gridCol w:w="2016"/>
        <w:gridCol w:w="2016"/>
      </w:tblGrid>
      <w:tr>
        <w:tc>
          <w:tcPr>
            <w:tcW w:type="dxa" w:w="2448"/>
            <w:shd w:fill="E2E8F0"/>
            <w:tcMar>
              <w:top w:w="80" w:type="dxa"/>
              <w:bottom w:w="80" w:type="dxa"/>
              <w:left w:w="100" w:type="dxa"/>
              <w:right w:w="100" w:type="dxa"/>
            </w:tcMar>
          </w:tcPr>
          <w:p>
            <w:pPr>
              <w:jc w:val="center"/>
            </w:pPr>
            <w:r>
              <w:rPr>
                <w:rFonts w:ascii="Times New Roman" w:hAnsi="Times New Roman"/>
                <w:b/>
                <w:color w:val="0F172A"/>
                <w:sz w:val="16"/>
              </w:rPr>
              <w:t>Statutory Survey Dimension / Item</w:t>
            </w:r>
          </w:p>
        </w:tc>
        <w:tc>
          <w:tcPr>
            <w:tcW w:type="dxa" w:w="2160"/>
            <w:shd w:fill="E2E8F0"/>
            <w:tcMar>
              <w:top w:w="80" w:type="dxa"/>
              <w:bottom w:w="80" w:type="dxa"/>
              <w:left w:w="100" w:type="dxa"/>
              <w:right w:w="100" w:type="dxa"/>
            </w:tcMar>
          </w:tcPr>
          <w:p>
            <w:pPr>
              <w:jc w:val="center"/>
            </w:pPr>
            <w:r>
              <w:rPr>
                <w:rFonts w:ascii="Times New Roman" w:hAnsi="Times New Roman"/>
                <w:b/>
                <w:color w:val="0F172A"/>
                <w:sz w:val="16"/>
              </w:rPr>
              <w:t>Official ARTA Construct Anchor</w:t>
            </w:r>
          </w:p>
        </w:tc>
        <w:tc>
          <w:tcPr>
            <w:tcW w:type="dxa" w:w="1152"/>
            <w:shd w:fill="E2E8F0"/>
            <w:tcMar>
              <w:top w:w="80" w:type="dxa"/>
              <w:bottom w:w="80" w:type="dxa"/>
              <w:left w:w="100" w:type="dxa"/>
              <w:right w:w="100" w:type="dxa"/>
            </w:tcMar>
          </w:tcPr>
          <w:p>
            <w:pPr>
              <w:jc w:val="center"/>
            </w:pPr>
            <w:r>
              <w:rPr>
                <w:rFonts w:ascii="Times New Roman" w:hAnsi="Times New Roman"/>
                <w:b/>
                <w:color w:val="0F172A"/>
                <w:sz w:val="16"/>
              </w:rPr>
              <w:t>Mean +- SD</w:t>
            </w:r>
          </w:p>
        </w:tc>
        <w:tc>
          <w:tcPr>
            <w:tcW w:type="dxa" w:w="2592"/>
            <w:shd w:fill="E2E8F0"/>
            <w:tcMar>
              <w:top w:w="80" w:type="dxa"/>
              <w:bottom w:w="80" w:type="dxa"/>
              <w:left w:w="100" w:type="dxa"/>
              <w:right w:w="100" w:type="dxa"/>
            </w:tcMar>
          </w:tcPr>
          <w:p>
            <w:pPr>
              <w:jc w:val="center"/>
            </w:pPr>
            <w:r>
              <w:rPr>
                <w:rFonts w:ascii="Times New Roman" w:hAnsi="Times New Roman"/>
                <w:b/>
                <w:color w:val="0F172A"/>
                <w:sz w:val="16"/>
              </w:rPr>
              <w:t>Positive Rating (%) [95% CI]</w:t>
            </w:r>
          </w:p>
        </w:tc>
        <w:tc>
          <w:tcPr>
            <w:tcW w:type="dxa" w:w="1440"/>
            <w:shd w:fill="E2E8F0"/>
            <w:tcMar>
              <w:top w:w="80" w:type="dxa"/>
              <w:bottom w:w="80" w:type="dxa"/>
              <w:left w:w="100" w:type="dxa"/>
              <w:right w:w="100" w:type="dxa"/>
            </w:tcMar>
          </w:tcPr>
          <w:p>
            <w:pPr>
              <w:jc w:val="center"/>
            </w:pPr>
            <w:r>
              <w:rPr>
                <w:rFonts w:ascii="Times New Roman" w:hAnsi="Times New Roman"/>
                <w:b/>
                <w:color w:val="0F172A"/>
                <w:sz w:val="16"/>
              </w:rPr>
              <w:t>ARTA Target</w:t>
            </w:r>
          </w:p>
        </w:tc>
      </w:tr>
      <w:tr>
        <w:tc>
          <w:tcPr>
            <w:tcW w:type="dxa" w:w="2448"/>
            <w:shd w:fill="FFFFFF"/>
            <w:tcMar>
              <w:top w:w="50" w:type="dxa"/>
              <w:bottom w:w="50" w:type="dxa"/>
              <w:left w:w="90" w:type="dxa"/>
              <w:right w:w="90" w:type="dxa"/>
            </w:tcMar>
          </w:tcPr>
          <w:p>
            <w:pPr>
              <w:jc w:val="left"/>
            </w:pPr>
            <w:r>
              <w:rPr>
                <w:rFonts w:ascii="Times New Roman" w:hAnsi="Times New Roman"/>
                <w:sz w:val="16"/>
              </w:rPr>
              <w:t>CC1: Citizen's Charter Awareness</w:t>
            </w:r>
          </w:p>
        </w:tc>
        <w:tc>
          <w:tcPr>
            <w:tcW w:type="dxa" w:w="2160"/>
            <w:shd w:fill="FFFFFF"/>
            <w:tcMar>
              <w:top w:w="50" w:type="dxa"/>
              <w:bottom w:w="50" w:type="dxa"/>
              <w:left w:w="90" w:type="dxa"/>
              <w:right w:w="90" w:type="dxa"/>
            </w:tcMar>
          </w:tcPr>
          <w:p>
            <w:pPr>
              <w:jc w:val="left"/>
            </w:pPr>
            <w:r>
              <w:rPr>
                <w:rFonts w:ascii="Times New Roman" w:hAnsi="Times New Roman"/>
                <w:sz w:val="16"/>
              </w:rPr>
              <w:t>Knowledge of Citizen's Charter</w:t>
            </w:r>
          </w:p>
        </w:tc>
        <w:tc>
          <w:tcPr>
            <w:tcW w:type="dxa" w:w="1152"/>
            <w:shd w:fill="FFFFFF"/>
            <w:tcMar>
              <w:top w:w="50" w:type="dxa"/>
              <w:bottom w:w="50" w:type="dxa"/>
              <w:left w:w="90" w:type="dxa"/>
              <w:right w:w="90" w:type="dxa"/>
            </w:tcMar>
          </w:tcPr>
          <w:p>
            <w:pPr>
              <w:jc w:val="center"/>
            </w:pPr>
            <w:r>
              <w:rPr>
                <w:rFonts w:ascii="Times New Roman" w:hAnsi="Times New Roman"/>
                <w:sz w:val="16"/>
              </w:rPr>
              <w:t>N/A</w:t>
            </w:r>
          </w:p>
        </w:tc>
        <w:tc>
          <w:tcPr>
            <w:tcW w:type="dxa" w:w="2592"/>
            <w:shd w:fill="FFFFFF"/>
            <w:tcMar>
              <w:top w:w="50" w:type="dxa"/>
              <w:bottom w:w="50" w:type="dxa"/>
              <w:left w:w="90" w:type="dxa"/>
              <w:right w:w="90" w:type="dxa"/>
            </w:tcMar>
          </w:tcPr>
          <w:p>
            <w:pPr>
              <w:jc w:val="left"/>
            </w:pPr>
            <w:r>
              <w:rPr>
                <w:rFonts w:ascii="Times New Roman" w:hAnsi="Times New Roman"/>
                <w:sz w:val="16"/>
              </w:rPr>
              <w:t>95.08% (309/325) [92.1%, 97.0%]</w:t>
            </w:r>
          </w:p>
        </w:tc>
        <w:tc>
          <w:tcPr>
            <w:tcW w:type="dxa" w:w="1440"/>
            <w:shd w:fill="FFFFFF"/>
            <w:tcMar>
              <w:top w:w="50" w:type="dxa"/>
              <w:bottom w:w="50" w:type="dxa"/>
              <w:left w:w="90" w:type="dxa"/>
              <w:right w:w="90" w:type="dxa"/>
            </w:tcMar>
          </w:tcPr>
          <w:p>
            <w:pPr>
              <w:jc w:val="center"/>
            </w:pPr>
            <w:r>
              <w:rPr>
                <w:rFonts w:ascii="Times New Roman" w:hAnsi="Times New Roman"/>
                <w:sz w:val="16"/>
              </w:rPr>
              <w:t>&gt;= 80.0%</w:t>
            </w:r>
          </w:p>
        </w:tc>
      </w:tr>
      <w:tr>
        <w:tc>
          <w:tcPr>
            <w:tcW w:type="dxa" w:w="2448"/>
            <w:shd w:fill="F8FAFC"/>
            <w:tcMar>
              <w:top w:w="50" w:type="dxa"/>
              <w:bottom w:w="50" w:type="dxa"/>
              <w:left w:w="90" w:type="dxa"/>
              <w:right w:w="90" w:type="dxa"/>
            </w:tcMar>
          </w:tcPr>
          <w:p>
            <w:pPr>
              <w:jc w:val="left"/>
            </w:pPr>
            <w:r>
              <w:rPr>
                <w:rFonts w:ascii="Times New Roman" w:hAnsi="Times New Roman"/>
                <w:sz w:val="16"/>
              </w:rPr>
              <w:t>CC2: Citizen's Charter Visibility</w:t>
            </w:r>
          </w:p>
        </w:tc>
        <w:tc>
          <w:tcPr>
            <w:tcW w:type="dxa" w:w="2160"/>
            <w:shd w:fill="F8FAFC"/>
            <w:tcMar>
              <w:top w:w="50" w:type="dxa"/>
              <w:bottom w:w="50" w:type="dxa"/>
              <w:left w:w="90" w:type="dxa"/>
              <w:right w:w="90" w:type="dxa"/>
            </w:tcMar>
          </w:tcPr>
          <w:p>
            <w:pPr>
              <w:jc w:val="left"/>
            </w:pPr>
            <w:r>
              <w:rPr>
                <w:rFonts w:ascii="Times New Roman" w:hAnsi="Times New Roman"/>
                <w:sz w:val="16"/>
              </w:rPr>
              <w:t>Visual access on portal &amp; campus</w:t>
            </w:r>
          </w:p>
        </w:tc>
        <w:tc>
          <w:tcPr>
            <w:tcW w:type="dxa" w:w="1152"/>
            <w:shd w:fill="F8FAFC"/>
            <w:tcMar>
              <w:top w:w="50" w:type="dxa"/>
              <w:bottom w:w="50" w:type="dxa"/>
              <w:left w:w="90" w:type="dxa"/>
              <w:right w:w="90" w:type="dxa"/>
            </w:tcMar>
          </w:tcPr>
          <w:p>
            <w:pPr>
              <w:jc w:val="center"/>
            </w:pPr>
            <w:r>
              <w:rPr>
                <w:rFonts w:ascii="Times New Roman" w:hAnsi="Times New Roman"/>
                <w:sz w:val="16"/>
              </w:rPr>
              <w:t>N/A</w:t>
            </w:r>
          </w:p>
        </w:tc>
        <w:tc>
          <w:tcPr>
            <w:tcW w:type="dxa" w:w="2592"/>
            <w:shd w:fill="F8FAFC"/>
            <w:tcMar>
              <w:top w:w="50" w:type="dxa"/>
              <w:bottom w:w="50" w:type="dxa"/>
              <w:left w:w="90" w:type="dxa"/>
              <w:right w:w="90" w:type="dxa"/>
            </w:tcMar>
          </w:tcPr>
          <w:p>
            <w:pPr>
              <w:jc w:val="left"/>
            </w:pPr>
            <w:r>
              <w:rPr>
                <w:rFonts w:ascii="Times New Roman" w:hAnsi="Times New Roman"/>
                <w:sz w:val="16"/>
              </w:rPr>
              <w:t>92.62% (301/325) [89.2%, 95.1%]</w:t>
            </w:r>
          </w:p>
        </w:tc>
        <w:tc>
          <w:tcPr>
            <w:tcW w:type="dxa" w:w="1440"/>
            <w:shd w:fill="F8FAFC"/>
            <w:tcMar>
              <w:top w:w="50" w:type="dxa"/>
              <w:bottom w:w="50" w:type="dxa"/>
              <w:left w:w="90" w:type="dxa"/>
              <w:right w:w="90" w:type="dxa"/>
            </w:tcMar>
          </w:tcPr>
          <w:p>
            <w:pPr>
              <w:jc w:val="center"/>
            </w:pPr>
            <w:r>
              <w:rPr>
                <w:rFonts w:ascii="Times New Roman" w:hAnsi="Times New Roman"/>
                <w:sz w:val="16"/>
              </w:rPr>
              <w:t>&gt;= 80.0%</w:t>
            </w:r>
          </w:p>
        </w:tc>
      </w:tr>
      <w:tr>
        <w:tc>
          <w:tcPr>
            <w:tcW w:type="dxa" w:w="2448"/>
            <w:shd w:fill="FFFFFF"/>
            <w:tcMar>
              <w:top w:w="50" w:type="dxa"/>
              <w:bottom w:w="50" w:type="dxa"/>
              <w:left w:w="90" w:type="dxa"/>
              <w:right w:w="90" w:type="dxa"/>
            </w:tcMar>
          </w:tcPr>
          <w:p>
            <w:pPr>
              <w:jc w:val="left"/>
            </w:pPr>
            <w:r>
              <w:rPr>
                <w:rFonts w:ascii="Times New Roman" w:hAnsi="Times New Roman"/>
                <w:sz w:val="16"/>
              </w:rPr>
              <w:t>CC3: Citizen's Charter Helpfulness</w:t>
            </w:r>
          </w:p>
        </w:tc>
        <w:tc>
          <w:tcPr>
            <w:tcW w:type="dxa" w:w="2160"/>
            <w:shd w:fill="FFFFFF"/>
            <w:tcMar>
              <w:top w:w="50" w:type="dxa"/>
              <w:bottom w:w="50" w:type="dxa"/>
              <w:left w:w="90" w:type="dxa"/>
              <w:right w:w="90" w:type="dxa"/>
            </w:tcMar>
          </w:tcPr>
          <w:p>
            <w:pPr>
              <w:jc w:val="left"/>
            </w:pPr>
            <w:r>
              <w:rPr>
                <w:rFonts w:ascii="Times New Roman" w:hAnsi="Times New Roman"/>
                <w:sz w:val="16"/>
              </w:rPr>
              <w:t>Utility in completing transaction</w:t>
            </w:r>
          </w:p>
        </w:tc>
        <w:tc>
          <w:tcPr>
            <w:tcW w:type="dxa" w:w="1152"/>
            <w:shd w:fill="FFFFFF"/>
            <w:tcMar>
              <w:top w:w="50" w:type="dxa"/>
              <w:bottom w:w="50" w:type="dxa"/>
              <w:left w:w="90" w:type="dxa"/>
              <w:right w:w="90" w:type="dxa"/>
            </w:tcMar>
          </w:tcPr>
          <w:p>
            <w:pPr>
              <w:jc w:val="center"/>
            </w:pPr>
            <w:r>
              <w:rPr>
                <w:rFonts w:ascii="Times New Roman" w:hAnsi="Times New Roman"/>
                <w:sz w:val="16"/>
              </w:rPr>
              <w:t>N/A</w:t>
            </w:r>
          </w:p>
        </w:tc>
        <w:tc>
          <w:tcPr>
            <w:tcW w:type="dxa" w:w="2592"/>
            <w:shd w:fill="FFFFFF"/>
            <w:tcMar>
              <w:top w:w="50" w:type="dxa"/>
              <w:bottom w:w="50" w:type="dxa"/>
              <w:left w:w="90" w:type="dxa"/>
              <w:right w:w="90" w:type="dxa"/>
            </w:tcMar>
          </w:tcPr>
          <w:p>
            <w:pPr>
              <w:jc w:val="left"/>
            </w:pPr>
            <w:r>
              <w:rPr>
                <w:rFonts w:ascii="Times New Roman" w:hAnsi="Times New Roman"/>
                <w:sz w:val="16"/>
              </w:rPr>
              <w:t>94.46% (307/325) [91.4%, 96.5%]</w:t>
            </w:r>
          </w:p>
        </w:tc>
        <w:tc>
          <w:tcPr>
            <w:tcW w:type="dxa" w:w="1440"/>
            <w:shd w:fill="FFFFFF"/>
            <w:tcMar>
              <w:top w:w="50" w:type="dxa"/>
              <w:bottom w:w="50" w:type="dxa"/>
              <w:left w:w="90" w:type="dxa"/>
              <w:right w:w="90" w:type="dxa"/>
            </w:tcMar>
          </w:tcPr>
          <w:p>
            <w:pPr>
              <w:jc w:val="center"/>
            </w:pPr>
            <w:r>
              <w:rPr>
                <w:rFonts w:ascii="Times New Roman" w:hAnsi="Times New Roman"/>
                <w:sz w:val="16"/>
              </w:rPr>
              <w:t>&gt;= 80.0%</w:t>
            </w:r>
          </w:p>
        </w:tc>
      </w:tr>
      <w:tr>
        <w:tc>
          <w:tcPr>
            <w:tcW w:type="dxa" w:w="2448"/>
            <w:shd w:fill="F8FAFC"/>
            <w:tcMar>
              <w:top w:w="50" w:type="dxa"/>
              <w:bottom w:w="50" w:type="dxa"/>
              <w:left w:w="90" w:type="dxa"/>
              <w:right w:w="90" w:type="dxa"/>
            </w:tcMar>
          </w:tcPr>
          <w:p>
            <w:pPr>
              <w:jc w:val="left"/>
            </w:pPr>
            <w:r>
              <w:rPr>
                <w:rFonts w:ascii="Times New Roman" w:hAnsi="Times New Roman"/>
                <w:sz w:val="16"/>
              </w:rPr>
              <w:t>SQD0: Overall Service Satisfaction</w:t>
            </w:r>
          </w:p>
        </w:tc>
        <w:tc>
          <w:tcPr>
            <w:tcW w:type="dxa" w:w="2160"/>
            <w:shd w:fill="F8FAFC"/>
            <w:tcMar>
              <w:top w:w="50" w:type="dxa"/>
              <w:bottom w:w="50" w:type="dxa"/>
              <w:left w:w="90" w:type="dxa"/>
              <w:right w:w="90" w:type="dxa"/>
            </w:tcMar>
          </w:tcPr>
          <w:p>
            <w:pPr>
              <w:jc w:val="left"/>
            </w:pPr>
            <w:r>
              <w:rPr>
                <w:rFonts w:ascii="Times New Roman" w:hAnsi="Times New Roman"/>
                <w:sz w:val="16"/>
              </w:rPr>
              <w:t>Overall satisfaction with service</w:t>
            </w:r>
          </w:p>
        </w:tc>
        <w:tc>
          <w:tcPr>
            <w:tcW w:type="dxa" w:w="1152"/>
            <w:shd w:fill="F8FAFC"/>
            <w:tcMar>
              <w:top w:w="50" w:type="dxa"/>
              <w:bottom w:w="50" w:type="dxa"/>
              <w:left w:w="90" w:type="dxa"/>
              <w:right w:w="90" w:type="dxa"/>
            </w:tcMar>
          </w:tcPr>
          <w:p>
            <w:pPr>
              <w:jc w:val="center"/>
            </w:pPr>
            <w:r>
              <w:rPr>
                <w:rFonts w:ascii="Times New Roman" w:hAnsi="Times New Roman"/>
                <w:sz w:val="16"/>
              </w:rPr>
              <w:t>4.82 +- 0.38</w:t>
            </w:r>
          </w:p>
        </w:tc>
        <w:tc>
          <w:tcPr>
            <w:tcW w:type="dxa" w:w="2592"/>
            <w:shd w:fill="F8FAFC"/>
            <w:tcMar>
              <w:top w:w="50" w:type="dxa"/>
              <w:bottom w:w="50" w:type="dxa"/>
              <w:left w:w="90" w:type="dxa"/>
              <w:right w:w="90" w:type="dxa"/>
            </w:tcMar>
          </w:tcPr>
          <w:p>
            <w:pPr>
              <w:jc w:val="left"/>
            </w:pPr>
            <w:r>
              <w:rPr>
                <w:rFonts w:ascii="Times New Roman" w:hAnsi="Times New Roman"/>
                <w:sz w:val="16"/>
              </w:rPr>
              <w:t>98.46% (320/325) [96.4%, 99.4%]</w:t>
            </w:r>
          </w:p>
        </w:tc>
        <w:tc>
          <w:tcPr>
            <w:tcW w:type="dxa" w:w="1440"/>
            <w:shd w:fill="F8FAFC"/>
            <w:tcMar>
              <w:top w:w="50" w:type="dxa"/>
              <w:bottom w:w="50" w:type="dxa"/>
              <w:left w:w="90" w:type="dxa"/>
              <w:right w:w="90" w:type="dxa"/>
            </w:tcMar>
          </w:tcPr>
          <w:p>
            <w:pPr>
              <w:jc w:val="center"/>
            </w:pPr>
            <w:r>
              <w:rPr>
                <w:rFonts w:ascii="Times New Roman" w:hAnsi="Times New Roman"/>
                <w:sz w:val="16"/>
              </w:rPr>
              <w:t>&gt;= 90.0%</w:t>
            </w:r>
          </w:p>
        </w:tc>
      </w:tr>
      <w:tr>
        <w:tc>
          <w:tcPr>
            <w:tcW w:type="dxa" w:w="2448"/>
            <w:shd w:fill="FFFFFF"/>
            <w:tcMar>
              <w:top w:w="50" w:type="dxa"/>
              <w:bottom w:w="50" w:type="dxa"/>
              <w:left w:w="90" w:type="dxa"/>
              <w:right w:w="90" w:type="dxa"/>
            </w:tcMar>
          </w:tcPr>
          <w:p>
            <w:pPr>
              <w:jc w:val="left"/>
            </w:pPr>
            <w:r>
              <w:rPr>
                <w:rFonts w:ascii="Times New Roman" w:hAnsi="Times New Roman"/>
                <w:sz w:val="16"/>
              </w:rPr>
              <w:t>SQD1: Responsiveness / Turnaround</w:t>
            </w:r>
          </w:p>
        </w:tc>
        <w:tc>
          <w:tcPr>
            <w:tcW w:type="dxa" w:w="2160"/>
            <w:shd w:fill="FFFFFF"/>
            <w:tcMar>
              <w:top w:w="50" w:type="dxa"/>
              <w:bottom w:w="50" w:type="dxa"/>
              <w:left w:w="90" w:type="dxa"/>
              <w:right w:w="90" w:type="dxa"/>
            </w:tcMar>
          </w:tcPr>
          <w:p>
            <w:pPr>
              <w:jc w:val="left"/>
            </w:pPr>
            <w:r>
              <w:rPr>
                <w:rFonts w:ascii="Times New Roman" w:hAnsi="Times New Roman"/>
                <w:sz w:val="16"/>
              </w:rPr>
              <w:t>Timely delivery of service</w:t>
            </w:r>
          </w:p>
        </w:tc>
        <w:tc>
          <w:tcPr>
            <w:tcW w:type="dxa" w:w="1152"/>
            <w:shd w:fill="FFFFFF"/>
            <w:tcMar>
              <w:top w:w="50" w:type="dxa"/>
              <w:bottom w:w="50" w:type="dxa"/>
              <w:left w:w="90" w:type="dxa"/>
              <w:right w:w="90" w:type="dxa"/>
            </w:tcMar>
          </w:tcPr>
          <w:p>
            <w:pPr>
              <w:jc w:val="center"/>
            </w:pPr>
            <w:r>
              <w:rPr>
                <w:rFonts w:ascii="Times New Roman" w:hAnsi="Times New Roman"/>
                <w:sz w:val="16"/>
              </w:rPr>
              <w:t>4.78 +- 0.44</w:t>
            </w:r>
          </w:p>
        </w:tc>
        <w:tc>
          <w:tcPr>
            <w:tcW w:type="dxa" w:w="2592"/>
            <w:shd w:fill="FFFFFF"/>
            <w:tcMar>
              <w:top w:w="50" w:type="dxa"/>
              <w:bottom w:w="50" w:type="dxa"/>
              <w:left w:w="90" w:type="dxa"/>
              <w:right w:w="90" w:type="dxa"/>
            </w:tcMar>
          </w:tcPr>
          <w:p>
            <w:pPr>
              <w:jc w:val="left"/>
            </w:pPr>
            <w:r>
              <w:rPr>
                <w:rFonts w:ascii="Times New Roman" w:hAnsi="Times New Roman"/>
                <w:sz w:val="16"/>
              </w:rPr>
              <w:t>97.54% (317/325) [95.2%, 98.8%]</w:t>
            </w:r>
          </w:p>
        </w:tc>
        <w:tc>
          <w:tcPr>
            <w:tcW w:type="dxa" w:w="1440"/>
            <w:shd w:fill="FFFFFF"/>
            <w:tcMar>
              <w:top w:w="50" w:type="dxa"/>
              <w:bottom w:w="50" w:type="dxa"/>
              <w:left w:w="90" w:type="dxa"/>
              <w:right w:w="90" w:type="dxa"/>
            </w:tcMar>
          </w:tcPr>
          <w:p>
            <w:pPr>
              <w:jc w:val="center"/>
            </w:pPr>
            <w:r>
              <w:rPr>
                <w:rFonts w:ascii="Times New Roman" w:hAnsi="Times New Roman"/>
                <w:sz w:val="16"/>
              </w:rPr>
              <w:t>&gt;= 90.0%</w:t>
            </w:r>
          </w:p>
        </w:tc>
      </w:tr>
      <w:tr>
        <w:tc>
          <w:tcPr>
            <w:tcW w:type="dxa" w:w="2448"/>
            <w:shd w:fill="F8FAFC"/>
            <w:tcMar>
              <w:top w:w="50" w:type="dxa"/>
              <w:bottom w:w="50" w:type="dxa"/>
              <w:left w:w="90" w:type="dxa"/>
              <w:right w:w="90" w:type="dxa"/>
            </w:tcMar>
          </w:tcPr>
          <w:p>
            <w:pPr>
              <w:jc w:val="left"/>
            </w:pPr>
            <w:r>
              <w:rPr>
                <w:rFonts w:ascii="Times New Roman" w:hAnsi="Times New Roman"/>
                <w:sz w:val="16"/>
              </w:rPr>
              <w:t>SQD2: Reliability / Compliance</w:t>
            </w:r>
          </w:p>
        </w:tc>
        <w:tc>
          <w:tcPr>
            <w:tcW w:type="dxa" w:w="2160"/>
            <w:shd w:fill="F8FAFC"/>
            <w:tcMar>
              <w:top w:w="50" w:type="dxa"/>
              <w:bottom w:w="50" w:type="dxa"/>
              <w:left w:w="90" w:type="dxa"/>
              <w:right w:w="90" w:type="dxa"/>
            </w:tcMar>
          </w:tcPr>
          <w:p>
            <w:pPr>
              <w:jc w:val="left"/>
            </w:pPr>
            <w:r>
              <w:rPr>
                <w:rFonts w:ascii="Times New Roman" w:hAnsi="Times New Roman"/>
                <w:sz w:val="16"/>
              </w:rPr>
              <w:t>Compliance with stated requirements</w:t>
            </w:r>
          </w:p>
        </w:tc>
        <w:tc>
          <w:tcPr>
            <w:tcW w:type="dxa" w:w="1152"/>
            <w:shd w:fill="F8FAFC"/>
            <w:tcMar>
              <w:top w:w="50" w:type="dxa"/>
              <w:bottom w:w="50" w:type="dxa"/>
              <w:left w:w="90" w:type="dxa"/>
              <w:right w:w="90" w:type="dxa"/>
            </w:tcMar>
          </w:tcPr>
          <w:p>
            <w:pPr>
              <w:jc w:val="center"/>
            </w:pPr>
            <w:r>
              <w:rPr>
                <w:rFonts w:ascii="Times New Roman" w:hAnsi="Times New Roman"/>
                <w:sz w:val="16"/>
              </w:rPr>
              <w:t>4.85 +- 0.36</w:t>
            </w:r>
          </w:p>
        </w:tc>
        <w:tc>
          <w:tcPr>
            <w:tcW w:type="dxa" w:w="2592"/>
            <w:shd w:fill="F8FAFC"/>
            <w:tcMar>
              <w:top w:w="50" w:type="dxa"/>
              <w:bottom w:w="50" w:type="dxa"/>
              <w:left w:w="90" w:type="dxa"/>
              <w:right w:w="90" w:type="dxa"/>
            </w:tcMar>
          </w:tcPr>
          <w:p>
            <w:pPr>
              <w:jc w:val="left"/>
            </w:pPr>
            <w:r>
              <w:rPr>
                <w:rFonts w:ascii="Times New Roman" w:hAnsi="Times New Roman"/>
                <w:sz w:val="16"/>
              </w:rPr>
              <w:t>99.08% (322/325) [97.3%, 99.8%]</w:t>
            </w:r>
          </w:p>
        </w:tc>
        <w:tc>
          <w:tcPr>
            <w:tcW w:type="dxa" w:w="1440"/>
            <w:shd w:fill="F8FAFC"/>
            <w:tcMar>
              <w:top w:w="50" w:type="dxa"/>
              <w:bottom w:w="50" w:type="dxa"/>
              <w:left w:w="90" w:type="dxa"/>
              <w:right w:w="90" w:type="dxa"/>
            </w:tcMar>
          </w:tcPr>
          <w:p>
            <w:pPr>
              <w:jc w:val="center"/>
            </w:pPr>
            <w:r>
              <w:rPr>
                <w:rFonts w:ascii="Times New Roman" w:hAnsi="Times New Roman"/>
                <w:sz w:val="16"/>
              </w:rPr>
              <w:t>&gt;= 90.0%</w:t>
            </w:r>
          </w:p>
        </w:tc>
      </w:tr>
      <w:tr>
        <w:tc>
          <w:tcPr>
            <w:tcW w:type="dxa" w:w="2448"/>
            <w:shd w:fill="FFFFFF"/>
            <w:tcMar>
              <w:top w:w="50" w:type="dxa"/>
              <w:bottom w:w="50" w:type="dxa"/>
              <w:left w:w="90" w:type="dxa"/>
              <w:right w:w="90" w:type="dxa"/>
            </w:tcMar>
          </w:tcPr>
          <w:p>
            <w:pPr>
              <w:jc w:val="left"/>
            </w:pPr>
            <w:r>
              <w:rPr>
                <w:rFonts w:ascii="Times New Roman" w:hAnsi="Times New Roman"/>
                <w:sz w:val="16"/>
              </w:rPr>
              <w:t>SQD3: Access &amp; Facilities</w:t>
            </w:r>
          </w:p>
        </w:tc>
        <w:tc>
          <w:tcPr>
            <w:tcW w:type="dxa" w:w="2160"/>
            <w:shd w:fill="FFFFFF"/>
            <w:tcMar>
              <w:top w:w="50" w:type="dxa"/>
              <w:bottom w:w="50" w:type="dxa"/>
              <w:left w:w="90" w:type="dxa"/>
              <w:right w:w="90" w:type="dxa"/>
            </w:tcMar>
          </w:tcPr>
          <w:p>
            <w:pPr>
              <w:jc w:val="left"/>
            </w:pPr>
            <w:r>
              <w:rPr>
                <w:rFonts w:ascii="Times New Roman" w:hAnsi="Times New Roman"/>
                <w:sz w:val="16"/>
              </w:rPr>
              <w:t>Transaction step efficiency</w:t>
            </w:r>
          </w:p>
        </w:tc>
        <w:tc>
          <w:tcPr>
            <w:tcW w:type="dxa" w:w="1152"/>
            <w:shd w:fill="FFFFFF"/>
            <w:tcMar>
              <w:top w:w="50" w:type="dxa"/>
              <w:bottom w:w="50" w:type="dxa"/>
              <w:left w:w="90" w:type="dxa"/>
              <w:right w:w="90" w:type="dxa"/>
            </w:tcMar>
          </w:tcPr>
          <w:p>
            <w:pPr>
              <w:jc w:val="center"/>
            </w:pPr>
            <w:r>
              <w:rPr>
                <w:rFonts w:ascii="Times New Roman" w:hAnsi="Times New Roman"/>
                <w:sz w:val="16"/>
              </w:rPr>
              <w:t>4.80 +- 0.41</w:t>
            </w:r>
          </w:p>
        </w:tc>
        <w:tc>
          <w:tcPr>
            <w:tcW w:type="dxa" w:w="2592"/>
            <w:shd w:fill="FFFFFF"/>
            <w:tcMar>
              <w:top w:w="50" w:type="dxa"/>
              <w:bottom w:w="50" w:type="dxa"/>
              <w:left w:w="90" w:type="dxa"/>
              <w:right w:w="90" w:type="dxa"/>
            </w:tcMar>
          </w:tcPr>
          <w:p>
            <w:pPr>
              <w:jc w:val="left"/>
            </w:pPr>
            <w:r>
              <w:rPr>
                <w:rFonts w:ascii="Times New Roman" w:hAnsi="Times New Roman"/>
                <w:sz w:val="16"/>
              </w:rPr>
              <w:t>98.15% (319/325) [96.0%, 99.2%]</w:t>
            </w:r>
          </w:p>
        </w:tc>
        <w:tc>
          <w:tcPr>
            <w:tcW w:type="dxa" w:w="1440"/>
            <w:shd w:fill="FFFFFF"/>
            <w:tcMar>
              <w:top w:w="50" w:type="dxa"/>
              <w:bottom w:w="50" w:type="dxa"/>
              <w:left w:w="90" w:type="dxa"/>
              <w:right w:w="90" w:type="dxa"/>
            </w:tcMar>
          </w:tcPr>
          <w:p>
            <w:pPr>
              <w:jc w:val="center"/>
            </w:pPr>
            <w:r>
              <w:rPr>
                <w:rFonts w:ascii="Times New Roman" w:hAnsi="Times New Roman"/>
                <w:sz w:val="16"/>
              </w:rPr>
              <w:t>&gt;= 90.0%</w:t>
            </w:r>
          </w:p>
        </w:tc>
      </w:tr>
      <w:tr>
        <w:tc>
          <w:tcPr>
            <w:tcW w:type="dxa" w:w="2448"/>
            <w:shd w:fill="F8FAFC"/>
            <w:tcMar>
              <w:top w:w="50" w:type="dxa"/>
              <w:bottom w:w="50" w:type="dxa"/>
              <w:left w:w="90" w:type="dxa"/>
              <w:right w:w="90" w:type="dxa"/>
            </w:tcMar>
          </w:tcPr>
          <w:p>
            <w:pPr>
              <w:jc w:val="left"/>
            </w:pPr>
            <w:r>
              <w:rPr>
                <w:rFonts w:ascii="Times New Roman" w:hAnsi="Times New Roman"/>
                <w:sz w:val="16"/>
              </w:rPr>
              <w:t>SQD4: Communication / Transparency</w:t>
            </w:r>
          </w:p>
        </w:tc>
        <w:tc>
          <w:tcPr>
            <w:tcW w:type="dxa" w:w="2160"/>
            <w:shd w:fill="F8FAFC"/>
            <w:tcMar>
              <w:top w:w="50" w:type="dxa"/>
              <w:bottom w:w="50" w:type="dxa"/>
              <w:left w:w="90" w:type="dxa"/>
              <w:right w:w="90" w:type="dxa"/>
            </w:tcMar>
          </w:tcPr>
          <w:p>
            <w:pPr>
              <w:jc w:val="left"/>
            </w:pPr>
            <w:r>
              <w:rPr>
                <w:rFonts w:ascii="Times New Roman" w:hAnsi="Times New Roman"/>
                <w:sz w:val="16"/>
              </w:rPr>
              <w:t>Clear instructions and advice</w:t>
            </w:r>
          </w:p>
        </w:tc>
        <w:tc>
          <w:tcPr>
            <w:tcW w:type="dxa" w:w="1152"/>
            <w:shd w:fill="F8FAFC"/>
            <w:tcMar>
              <w:top w:w="50" w:type="dxa"/>
              <w:bottom w:w="50" w:type="dxa"/>
              <w:left w:w="90" w:type="dxa"/>
              <w:right w:w="90" w:type="dxa"/>
            </w:tcMar>
          </w:tcPr>
          <w:p>
            <w:pPr>
              <w:jc w:val="center"/>
            </w:pPr>
            <w:r>
              <w:rPr>
                <w:rFonts w:ascii="Times New Roman" w:hAnsi="Times New Roman"/>
                <w:sz w:val="16"/>
              </w:rPr>
              <w:t>4.82 +- 0.39</w:t>
            </w:r>
          </w:p>
        </w:tc>
        <w:tc>
          <w:tcPr>
            <w:tcW w:type="dxa" w:w="2592"/>
            <w:shd w:fill="F8FAFC"/>
            <w:tcMar>
              <w:top w:w="50" w:type="dxa"/>
              <w:bottom w:w="50" w:type="dxa"/>
              <w:left w:w="90" w:type="dxa"/>
              <w:right w:w="90" w:type="dxa"/>
            </w:tcMar>
          </w:tcPr>
          <w:p>
            <w:pPr>
              <w:jc w:val="left"/>
            </w:pPr>
            <w:r>
              <w:rPr>
                <w:rFonts w:ascii="Times New Roman" w:hAnsi="Times New Roman"/>
                <w:sz w:val="16"/>
              </w:rPr>
              <w:t>98.46% (320/325) [96.4%, 99.4%]</w:t>
            </w:r>
          </w:p>
        </w:tc>
        <w:tc>
          <w:tcPr>
            <w:tcW w:type="dxa" w:w="1440"/>
            <w:shd w:fill="F8FAFC"/>
            <w:tcMar>
              <w:top w:w="50" w:type="dxa"/>
              <w:bottom w:w="50" w:type="dxa"/>
              <w:left w:w="90" w:type="dxa"/>
              <w:right w:w="90" w:type="dxa"/>
            </w:tcMar>
          </w:tcPr>
          <w:p>
            <w:pPr>
              <w:jc w:val="center"/>
            </w:pPr>
            <w:r>
              <w:rPr>
                <w:rFonts w:ascii="Times New Roman" w:hAnsi="Times New Roman"/>
                <w:sz w:val="16"/>
              </w:rPr>
              <w:t>&gt;= 90.0%</w:t>
            </w:r>
          </w:p>
        </w:tc>
      </w:tr>
      <w:tr>
        <w:tc>
          <w:tcPr>
            <w:tcW w:type="dxa" w:w="2448"/>
            <w:shd w:fill="FFFFFF"/>
            <w:tcMar>
              <w:top w:w="50" w:type="dxa"/>
              <w:bottom w:w="50" w:type="dxa"/>
              <w:left w:w="90" w:type="dxa"/>
              <w:right w:w="90" w:type="dxa"/>
            </w:tcMar>
          </w:tcPr>
          <w:p>
            <w:pPr>
              <w:jc w:val="left"/>
            </w:pPr>
            <w:r>
              <w:rPr>
                <w:rFonts w:ascii="Times New Roman" w:hAnsi="Times New Roman"/>
                <w:sz w:val="16"/>
              </w:rPr>
              <w:t>SQD5: Costs / Payment</w:t>
            </w:r>
          </w:p>
        </w:tc>
        <w:tc>
          <w:tcPr>
            <w:tcW w:type="dxa" w:w="2160"/>
            <w:shd w:fill="FFFFFF"/>
            <w:tcMar>
              <w:top w:w="50" w:type="dxa"/>
              <w:bottom w:w="50" w:type="dxa"/>
              <w:left w:w="90" w:type="dxa"/>
              <w:right w:w="90" w:type="dxa"/>
            </w:tcMar>
          </w:tcPr>
          <w:p>
            <w:pPr>
              <w:jc w:val="left"/>
            </w:pPr>
            <w:r>
              <w:rPr>
                <w:rFonts w:ascii="Times New Roman" w:hAnsi="Times New Roman"/>
                <w:sz w:val="16"/>
              </w:rPr>
              <w:t>Payment fairness (Free Service)</w:t>
            </w:r>
          </w:p>
        </w:tc>
        <w:tc>
          <w:tcPr>
            <w:tcW w:type="dxa" w:w="1152"/>
            <w:shd w:fill="FFFFFF"/>
            <w:tcMar>
              <w:top w:w="50" w:type="dxa"/>
              <w:bottom w:w="50" w:type="dxa"/>
              <w:left w:w="90" w:type="dxa"/>
              <w:right w:w="90" w:type="dxa"/>
            </w:tcMar>
          </w:tcPr>
          <w:p>
            <w:pPr>
              <w:jc w:val="center"/>
            </w:pPr>
            <w:r>
              <w:rPr>
                <w:rFonts w:ascii="Times New Roman" w:hAnsi="Times New Roman"/>
                <w:sz w:val="16"/>
              </w:rPr>
              <w:t>N/A</w:t>
            </w:r>
          </w:p>
        </w:tc>
        <w:tc>
          <w:tcPr>
            <w:tcW w:type="dxa" w:w="2592"/>
            <w:shd w:fill="FFFFFF"/>
            <w:tcMar>
              <w:top w:w="50" w:type="dxa"/>
              <w:bottom w:w="50" w:type="dxa"/>
              <w:left w:w="90" w:type="dxa"/>
              <w:right w:w="90" w:type="dxa"/>
            </w:tcMar>
          </w:tcPr>
          <w:p>
            <w:pPr>
              <w:jc w:val="left"/>
            </w:pPr>
            <w:r>
              <w:rPr>
                <w:rFonts w:ascii="Times New Roman" w:hAnsi="Times New Roman"/>
                <w:sz w:val="16"/>
              </w:rPr>
              <w:t>N/A (Exempt: Non-fee service)</w:t>
            </w:r>
          </w:p>
        </w:tc>
        <w:tc>
          <w:tcPr>
            <w:tcW w:type="dxa" w:w="1440"/>
            <w:shd w:fill="FFFFFF"/>
            <w:tcMar>
              <w:top w:w="50" w:type="dxa"/>
              <w:bottom w:w="50" w:type="dxa"/>
              <w:left w:w="90" w:type="dxa"/>
              <w:right w:w="90" w:type="dxa"/>
            </w:tcMar>
          </w:tcPr>
          <w:p>
            <w:pPr>
              <w:jc w:val="center"/>
            </w:pPr>
            <w:r>
              <w:rPr>
                <w:rFonts w:ascii="Times New Roman" w:hAnsi="Times New Roman"/>
                <w:sz w:val="16"/>
              </w:rPr>
              <w:t>Exempt</w:t>
            </w:r>
          </w:p>
        </w:tc>
      </w:tr>
      <w:tr>
        <w:tc>
          <w:tcPr>
            <w:tcW w:type="dxa" w:w="2448"/>
            <w:shd w:fill="F8FAFC"/>
            <w:tcMar>
              <w:top w:w="50" w:type="dxa"/>
              <w:bottom w:w="50" w:type="dxa"/>
              <w:left w:w="90" w:type="dxa"/>
              <w:right w:w="90" w:type="dxa"/>
            </w:tcMar>
          </w:tcPr>
          <w:p>
            <w:pPr>
              <w:jc w:val="left"/>
            </w:pPr>
            <w:r>
              <w:rPr>
                <w:rFonts w:ascii="Times New Roman" w:hAnsi="Times New Roman"/>
                <w:sz w:val="16"/>
              </w:rPr>
              <w:t>SQD6: Integrity / Fairness</w:t>
            </w:r>
          </w:p>
        </w:tc>
        <w:tc>
          <w:tcPr>
            <w:tcW w:type="dxa" w:w="2160"/>
            <w:shd w:fill="F8FAFC"/>
            <w:tcMar>
              <w:top w:w="50" w:type="dxa"/>
              <w:bottom w:w="50" w:type="dxa"/>
              <w:left w:w="90" w:type="dxa"/>
              <w:right w:w="90" w:type="dxa"/>
            </w:tcMar>
          </w:tcPr>
          <w:p>
            <w:pPr>
              <w:jc w:val="left"/>
            </w:pPr>
            <w:r>
              <w:rPr>
                <w:rFonts w:ascii="Times New Roman" w:hAnsi="Times New Roman"/>
                <w:sz w:val="16"/>
              </w:rPr>
              <w:t>Fair treatment &amp; data privacy</w:t>
            </w:r>
          </w:p>
        </w:tc>
        <w:tc>
          <w:tcPr>
            <w:tcW w:type="dxa" w:w="1152"/>
            <w:shd w:fill="F8FAFC"/>
            <w:tcMar>
              <w:top w:w="50" w:type="dxa"/>
              <w:bottom w:w="50" w:type="dxa"/>
              <w:left w:w="90" w:type="dxa"/>
              <w:right w:w="90" w:type="dxa"/>
            </w:tcMar>
          </w:tcPr>
          <w:p>
            <w:pPr>
              <w:jc w:val="center"/>
            </w:pPr>
            <w:r>
              <w:rPr>
                <w:rFonts w:ascii="Times New Roman" w:hAnsi="Times New Roman"/>
                <w:sz w:val="16"/>
              </w:rPr>
              <w:t>4.84 +- 0.37</w:t>
            </w:r>
          </w:p>
        </w:tc>
        <w:tc>
          <w:tcPr>
            <w:tcW w:type="dxa" w:w="2592"/>
            <w:shd w:fill="F8FAFC"/>
            <w:tcMar>
              <w:top w:w="50" w:type="dxa"/>
              <w:bottom w:w="50" w:type="dxa"/>
              <w:left w:w="90" w:type="dxa"/>
              <w:right w:w="90" w:type="dxa"/>
            </w:tcMar>
          </w:tcPr>
          <w:p>
            <w:pPr>
              <w:jc w:val="left"/>
            </w:pPr>
            <w:r>
              <w:rPr>
                <w:rFonts w:ascii="Times New Roman" w:hAnsi="Times New Roman"/>
                <w:sz w:val="16"/>
              </w:rPr>
              <w:t>98.77% (321/325) [96.8%, 99.6%]</w:t>
            </w:r>
          </w:p>
        </w:tc>
        <w:tc>
          <w:tcPr>
            <w:tcW w:type="dxa" w:w="1440"/>
            <w:shd w:fill="F8FAFC"/>
            <w:tcMar>
              <w:top w:w="50" w:type="dxa"/>
              <w:bottom w:w="50" w:type="dxa"/>
              <w:left w:w="90" w:type="dxa"/>
              <w:right w:w="90" w:type="dxa"/>
            </w:tcMar>
          </w:tcPr>
          <w:p>
            <w:pPr>
              <w:jc w:val="center"/>
            </w:pPr>
            <w:r>
              <w:rPr>
                <w:rFonts w:ascii="Times New Roman" w:hAnsi="Times New Roman"/>
                <w:sz w:val="16"/>
              </w:rPr>
              <w:t>&gt;= 90.0%</w:t>
            </w:r>
          </w:p>
        </w:tc>
      </w:tr>
      <w:tr>
        <w:tc>
          <w:tcPr>
            <w:tcW w:type="dxa" w:w="2448"/>
            <w:shd w:fill="FFFFFF"/>
            <w:tcMar>
              <w:top w:w="50" w:type="dxa"/>
              <w:bottom w:w="50" w:type="dxa"/>
              <w:left w:w="90" w:type="dxa"/>
              <w:right w:w="90" w:type="dxa"/>
            </w:tcMar>
          </w:tcPr>
          <w:p>
            <w:pPr>
              <w:jc w:val="left"/>
            </w:pPr>
            <w:r>
              <w:rPr>
                <w:rFonts w:ascii="Times New Roman" w:hAnsi="Times New Roman"/>
                <w:sz w:val="16"/>
              </w:rPr>
              <w:t>SQD7: Assurance / Staff Courtesy</w:t>
            </w:r>
          </w:p>
        </w:tc>
        <w:tc>
          <w:tcPr>
            <w:tcW w:type="dxa" w:w="2160"/>
            <w:shd w:fill="FFFFFF"/>
            <w:tcMar>
              <w:top w:w="50" w:type="dxa"/>
              <w:bottom w:w="50" w:type="dxa"/>
              <w:left w:w="90" w:type="dxa"/>
              <w:right w:w="90" w:type="dxa"/>
            </w:tcMar>
          </w:tcPr>
          <w:p>
            <w:pPr>
              <w:jc w:val="left"/>
            </w:pPr>
            <w:r>
              <w:rPr>
                <w:rFonts w:ascii="Times New Roman" w:hAnsi="Times New Roman"/>
                <w:sz w:val="16"/>
              </w:rPr>
              <w:t>Staff professionalism and courtesy</w:t>
            </w:r>
          </w:p>
        </w:tc>
        <w:tc>
          <w:tcPr>
            <w:tcW w:type="dxa" w:w="1152"/>
            <w:shd w:fill="FFFFFF"/>
            <w:tcMar>
              <w:top w:w="50" w:type="dxa"/>
              <w:bottom w:w="50" w:type="dxa"/>
              <w:left w:w="90" w:type="dxa"/>
              <w:right w:w="90" w:type="dxa"/>
            </w:tcMar>
          </w:tcPr>
          <w:p>
            <w:pPr>
              <w:jc w:val="center"/>
            </w:pPr>
            <w:r>
              <w:rPr>
                <w:rFonts w:ascii="Times New Roman" w:hAnsi="Times New Roman"/>
                <w:sz w:val="16"/>
              </w:rPr>
              <w:t>4.86 +- 0.35</w:t>
            </w:r>
          </w:p>
        </w:tc>
        <w:tc>
          <w:tcPr>
            <w:tcW w:type="dxa" w:w="2592"/>
            <w:shd w:fill="FFFFFF"/>
            <w:tcMar>
              <w:top w:w="50" w:type="dxa"/>
              <w:bottom w:w="50" w:type="dxa"/>
              <w:left w:w="90" w:type="dxa"/>
              <w:right w:w="90" w:type="dxa"/>
            </w:tcMar>
          </w:tcPr>
          <w:p>
            <w:pPr>
              <w:jc w:val="left"/>
            </w:pPr>
            <w:r>
              <w:rPr>
                <w:rFonts w:ascii="Times New Roman" w:hAnsi="Times New Roman"/>
                <w:sz w:val="16"/>
              </w:rPr>
              <w:t>99.38% (323/325) [97.8%, 99.9%]</w:t>
            </w:r>
          </w:p>
        </w:tc>
        <w:tc>
          <w:tcPr>
            <w:tcW w:type="dxa" w:w="1440"/>
            <w:shd w:fill="FFFFFF"/>
            <w:tcMar>
              <w:top w:w="50" w:type="dxa"/>
              <w:bottom w:w="50" w:type="dxa"/>
              <w:left w:w="90" w:type="dxa"/>
              <w:right w:w="90" w:type="dxa"/>
            </w:tcMar>
          </w:tcPr>
          <w:p>
            <w:pPr>
              <w:jc w:val="center"/>
            </w:pPr>
            <w:r>
              <w:rPr>
                <w:rFonts w:ascii="Times New Roman" w:hAnsi="Times New Roman"/>
                <w:sz w:val="16"/>
              </w:rPr>
              <w:t>&gt;= 90.0%</w:t>
            </w:r>
          </w:p>
        </w:tc>
      </w:tr>
      <w:tr>
        <w:tc>
          <w:tcPr>
            <w:tcW w:type="dxa" w:w="2448"/>
            <w:shd w:fill="F8FAFC"/>
            <w:tcMar>
              <w:top w:w="50" w:type="dxa"/>
              <w:bottom w:w="50" w:type="dxa"/>
              <w:left w:w="90" w:type="dxa"/>
              <w:right w:w="90" w:type="dxa"/>
            </w:tcMar>
          </w:tcPr>
          <w:p>
            <w:pPr>
              <w:jc w:val="left"/>
            </w:pPr>
            <w:r>
              <w:rPr>
                <w:rFonts w:ascii="Times New Roman" w:hAnsi="Times New Roman"/>
                <w:sz w:val="16"/>
              </w:rPr>
              <w:t>SQD8: Outcome Quality / Resolution</w:t>
            </w:r>
          </w:p>
        </w:tc>
        <w:tc>
          <w:tcPr>
            <w:tcW w:type="dxa" w:w="2160"/>
            <w:shd w:fill="F8FAFC"/>
            <w:tcMar>
              <w:top w:w="50" w:type="dxa"/>
              <w:bottom w:w="50" w:type="dxa"/>
              <w:left w:w="90" w:type="dxa"/>
              <w:right w:w="90" w:type="dxa"/>
            </w:tcMar>
          </w:tcPr>
          <w:p>
            <w:pPr>
              <w:jc w:val="left"/>
            </w:pPr>
            <w:r>
              <w:rPr>
                <w:rFonts w:ascii="Times New Roman" w:hAnsi="Times New Roman"/>
                <w:sz w:val="16"/>
              </w:rPr>
              <w:t>Effective technical resolution</w:t>
            </w:r>
          </w:p>
        </w:tc>
        <w:tc>
          <w:tcPr>
            <w:tcW w:type="dxa" w:w="1152"/>
            <w:shd w:fill="F8FAFC"/>
            <w:tcMar>
              <w:top w:w="50" w:type="dxa"/>
              <w:bottom w:w="50" w:type="dxa"/>
              <w:left w:w="90" w:type="dxa"/>
              <w:right w:w="90" w:type="dxa"/>
            </w:tcMar>
          </w:tcPr>
          <w:p>
            <w:pPr>
              <w:jc w:val="center"/>
            </w:pPr>
            <w:r>
              <w:rPr>
                <w:rFonts w:ascii="Times New Roman" w:hAnsi="Times New Roman"/>
                <w:sz w:val="16"/>
              </w:rPr>
              <w:t>4.75 +- 0.47</w:t>
            </w:r>
          </w:p>
        </w:tc>
        <w:tc>
          <w:tcPr>
            <w:tcW w:type="dxa" w:w="2592"/>
            <w:shd w:fill="F8FAFC"/>
            <w:tcMar>
              <w:top w:w="50" w:type="dxa"/>
              <w:bottom w:w="50" w:type="dxa"/>
              <w:left w:w="90" w:type="dxa"/>
              <w:right w:w="90" w:type="dxa"/>
            </w:tcMar>
          </w:tcPr>
          <w:p>
            <w:pPr>
              <w:jc w:val="left"/>
            </w:pPr>
            <w:r>
              <w:rPr>
                <w:rFonts w:ascii="Times New Roman" w:hAnsi="Times New Roman"/>
                <w:sz w:val="16"/>
              </w:rPr>
              <w:t>96.31% (313/325) [93.6%, 98.0%]</w:t>
            </w:r>
          </w:p>
        </w:tc>
        <w:tc>
          <w:tcPr>
            <w:tcW w:type="dxa" w:w="1440"/>
            <w:shd w:fill="F8FAFC"/>
            <w:tcMar>
              <w:top w:w="50" w:type="dxa"/>
              <w:bottom w:w="50" w:type="dxa"/>
              <w:left w:w="90" w:type="dxa"/>
              <w:right w:w="90" w:type="dxa"/>
            </w:tcMar>
          </w:tcPr>
          <w:p>
            <w:pPr>
              <w:jc w:val="center"/>
            </w:pPr>
            <w:r>
              <w:rPr>
                <w:rFonts w:ascii="Times New Roman" w:hAnsi="Times New Roman"/>
                <w:sz w:val="16"/>
              </w:rPr>
              <w:t>&gt;= 90.0%</w:t>
            </w:r>
          </w:p>
        </w:tc>
      </w:tr>
      <w:tr>
        <w:tc>
          <w:tcPr>
            <w:tcW w:type="dxa" w:w="2448"/>
            <w:shd w:fill="F1F5F9"/>
            <w:tcMar>
              <w:top w:w="50" w:type="dxa"/>
              <w:bottom w:w="50" w:type="dxa"/>
              <w:left w:w="90" w:type="dxa"/>
              <w:right w:w="90" w:type="dxa"/>
            </w:tcMar>
          </w:tcPr>
          <w:p>
            <w:pPr>
              <w:jc w:val="left"/>
            </w:pPr>
            <w:r>
              <w:rPr>
                <w:rFonts w:ascii="Times New Roman" w:hAnsi="Times New Roman"/>
                <w:b/>
                <w:sz w:val="16"/>
              </w:rPr>
              <w:t>Citizen Satisfaction Index (CSI)</w:t>
            </w:r>
          </w:p>
        </w:tc>
        <w:tc>
          <w:tcPr>
            <w:tcW w:type="dxa" w:w="2160"/>
            <w:shd w:fill="F1F5F9"/>
            <w:tcMar>
              <w:top w:w="50" w:type="dxa"/>
              <w:bottom w:w="50" w:type="dxa"/>
              <w:left w:w="90" w:type="dxa"/>
              <w:right w:w="90" w:type="dxa"/>
            </w:tcMar>
          </w:tcPr>
          <w:p>
            <w:pPr>
              <w:jc w:val="left"/>
            </w:pPr>
            <w:r>
              <w:rPr>
                <w:rFonts w:ascii="Times New Roman" w:hAnsi="Times New Roman"/>
                <w:b/>
                <w:sz w:val="16"/>
              </w:rPr>
              <w:t>Composite Across Non-Exempt SQDs</w:t>
            </w:r>
          </w:p>
        </w:tc>
        <w:tc>
          <w:tcPr>
            <w:tcW w:type="dxa" w:w="1152"/>
            <w:shd w:fill="F1F5F9"/>
            <w:tcMar>
              <w:top w:w="50" w:type="dxa"/>
              <w:bottom w:w="50" w:type="dxa"/>
              <w:left w:w="90" w:type="dxa"/>
              <w:right w:w="90" w:type="dxa"/>
            </w:tcMar>
          </w:tcPr>
          <w:p>
            <w:pPr>
              <w:jc w:val="center"/>
            </w:pPr>
            <w:r>
              <w:rPr>
                <w:rFonts w:ascii="Times New Roman" w:hAnsi="Times New Roman"/>
                <w:b/>
                <w:sz w:val="16"/>
              </w:rPr>
              <w:t>4.81 +- 0.30</w:t>
            </w:r>
          </w:p>
        </w:tc>
        <w:tc>
          <w:tcPr>
            <w:tcW w:type="dxa" w:w="2592"/>
            <w:shd w:fill="F1F5F9"/>
            <w:tcMar>
              <w:top w:w="50" w:type="dxa"/>
              <w:bottom w:w="50" w:type="dxa"/>
              <w:left w:w="90" w:type="dxa"/>
              <w:right w:w="90" w:type="dxa"/>
            </w:tcMar>
          </w:tcPr>
          <w:p>
            <w:pPr>
              <w:jc w:val="left"/>
            </w:pPr>
            <w:r>
              <w:rPr>
                <w:rFonts w:ascii="Times New Roman" w:hAnsi="Times New Roman"/>
                <w:b/>
                <w:sz w:val="16"/>
              </w:rPr>
              <w:t>98.26% Positive Rating</w:t>
            </w:r>
          </w:p>
        </w:tc>
        <w:tc>
          <w:tcPr>
            <w:tcW w:type="dxa" w:w="1440"/>
            <w:shd w:fill="F1F5F9"/>
            <w:tcMar>
              <w:top w:w="50" w:type="dxa"/>
              <w:bottom w:w="50" w:type="dxa"/>
              <w:left w:w="90" w:type="dxa"/>
              <w:right w:w="90" w:type="dxa"/>
            </w:tcMar>
          </w:tcPr>
          <w:p>
            <w:pPr>
              <w:jc w:val="center"/>
            </w:pPr>
            <w:r>
              <w:rPr>
                <w:rFonts w:ascii="Times New Roman" w:hAnsi="Times New Roman"/>
                <w:b/>
                <w:sz w:val="16"/>
              </w:rPr>
              <w:t>ARTA: Outstanding</w:t>
            </w:r>
          </w:p>
        </w:tc>
      </w:tr>
    </w:tbl>
    <w:p>
      <w:pPr>
        <w:spacing w:before="0" w:after="120"/>
      </w:pPr>
    </w:p>
    <w:p>
      <w:pPr>
        <w:keepNext/>
        <w:spacing w:before="160" w:after="40"/>
      </w:pPr>
      <w:r>
        <w:rPr>
          <w:b/>
          <w:i/>
          <w:color w:val="1E293B"/>
          <w:sz w:val="20"/>
        </w:rPr>
        <w:t>F. In-Depth Operational Discussion and Qualitative Insights</w:t>
      </w:r>
    </w:p>
    <w:p>
      <w:pPr>
        <w:spacing w:before="0" w:after="100" w:line="269" w:lineRule="auto"/>
        <w:jc w:val="both"/>
      </w:pPr>
      <w:r>
        <w:rPr>
          <w:sz w:val="19"/>
        </w:rPr>
        <w:t>Two qualitative and structural phenomena observed during the 6-month pilot merit deeper examination:</w:t>
        <w:br/>
        <w:br/>
        <w:t>1. Differential Velocity Gains between MIS and ITS Units: As shown in Table VIII, the MIS software division achieved a -60.43% turnaround reduction (48.83 h to 19.32 h, Cohen's d = 1.47), whereas the ITS hardware division achieved a comparatively moderate -39.13% reduction (33.04 h to 20.11 h, Cohen's d = 0.66). In our university operational environment, this disparity reflects fundamental physical constraints. MIS software requests (e.g., student grading portal unlocks, website directory updates, SQL query optimizations) are executed remotely via terminal sessions or administrative web dashboards. In contrast, ITS hardware requests (e.g., fiber switch transceiver replacements, classroom projector setups, laser printer roller repairs) inherently require on-site physical inspection, inter-building campus travel across our multi-campus layout, and occasionally component procurement from local suppliers. Consequently, while automated routing and SLA alerting streamlined administrative handoffs for ITS, the hands-on technician labor duration sets a natural physical lower bound on hardware resolution velocity.</w:t>
        <w:br/>
        <w:br/>
        <w:t>2. Operational Hypothesis on Conversational RAG Deflection: During the 6-month deployment, the conversational AI assistant served 372 distinct chat sessions totaling 1,485 dialogue turns. It is important to emphasize that because self-service conversational resolutions do not generate formal service tickets, they do not enter the numerator or denominator of ticket MTTR calculations. Therefore, we do not claim that conversational deflection mathematically reduced ticket resolution time. Instead, we propose the operational hypothesis that self-service deflection reduced incoming queue congestion: by handling routine informational inquiries (e.g., Wi-Fi network configuration steps, student portal password recovery instructions, institutional borrowing policies), the conversational assistant prevented queue flooding, allowing technical staff to focus their attention on resolving active formal tickets. Future studies should instrument deflection logging to empirically measure ticket avoidance rates.</w:t>
      </w:r>
    </w:p>
    <w:p>
      <w:pPr>
        <w:keepNext/>
        <w:spacing w:before="240" w:after="60"/>
      </w:pPr>
      <w:r>
        <w:rPr>
          <w:b/>
          <w:color w:val="0F172A"/>
          <w:sz w:val="22"/>
        </w:rPr>
        <w:t>VI. LIMITATIONS AND THREATS TO VALIDITY</w:t>
      </w:r>
    </w:p>
    <w:p>
      <w:pPr>
        <w:spacing w:before="0" w:after="100" w:line="269" w:lineRule="auto"/>
        <w:jc w:val="both"/>
      </w:pPr>
      <w:r>
        <w:rPr>
          <w:sz w:val="19"/>
        </w:rPr>
        <w:t>1. Internal Validity &amp; Seasonal Academic Cycles: The archival baseline (November to April, spanning Second Semester enrollment, midterm examinations, and graduation preparations) and the digital pilot (May to October, spanning academic summer break and First Semester opening) occurred during different phases of the university calendar. While overall monthly ticket volumes remained relatively consistent (48–62 requests/month), variation in seasonal request types (e.g., higher equipment lending during recognition rites versus higher software enrollments in August) may influence turnaround profiles.</w:t>
        <w:br/>
        <w:t>2. Construct Validity &amp; Retroactive Priority Classification: Baseline paper request slips lacked explicit operational priority tags. While independent dual classification by domain supervisors achieved high inter-rater concordance (Cohen's kappa = 0.89), retroactive classification relies on documentary descriptions rather than real-time intake triage.</w:t>
        <w:br/>
        <w:t>3. Construct Validity &amp; Architectural Gating: The remarkable increase in ARTA survey completion (from 23.75% baseline to 97.01% pilot) is directly attributable to programmatic gating: ticket closure is architecturally conditioned upon survey submission. While ensuring statutory compliance, responses may partially reflect compliance requirements rather than purely spontaneous client feedback.</w:t>
        <w:br/>
        <w:t>4. External Validity &amp; Author Positionality: The research artifact was evaluated within a single Philippine public university (CHMSU), and three authors hold technical and academic appointments within the institution. To safeguard against investigator bias, the evaluation protocol incorporated external faculty evaluators (n = 2 from external universities for software quality scoring), double-blinded experimental rating of RAG outputs, and standardized psychometric instruments with published industry benchmarks.</w:t>
        <w:br/>
        <w:t>5. Upstream Cloud Dependency: The multi-tier inference architecture depends on third-party cloud APIs (Google Gemini, Perplexity, Hugging Face), which are subject to upstream latency shifts and service deprecation. While local offline templates ensured 100.0% continuity, offline responses are restricted to predefined diagnostic guidance.</w:t>
      </w:r>
    </w:p>
    <w:p>
      <w:pPr>
        <w:keepNext/>
        <w:spacing w:before="240" w:after="60"/>
      </w:pPr>
      <w:r>
        <w:rPr>
          <w:b/>
          <w:color w:val="0F172A"/>
          <w:sz w:val="22"/>
        </w:rPr>
        <w:t>VII. CONCLUSION AND FUTURE WORK</w:t>
      </w:r>
    </w:p>
    <w:p>
      <w:pPr>
        <w:spacing w:before="0" w:after="100" w:line="269" w:lineRule="auto"/>
        <w:jc w:val="both"/>
      </w:pPr>
      <w:r>
        <w:rPr>
          <w:sz w:val="19"/>
        </w:rPr>
        <w:t>This study presented the Design Science Research design, development, and empirical evaluation of an AI-augmented IT Service Management platform engineered for public higher education institutions in the Philippines. Addressing RQ1, the platform successfully reconciles multi-signatory approval hierarchies with ITIL turnaround accountability through a governed six-stage, 10-state workflow, lexicographical skill-workload auto-routing, and an automated background SLA escalation daemon, verified through a 100.0% UAT pass rate (64/64 scenarios) and PSSUQ usability score of 1.71 (p &lt; 0.001). Addressing RQ2, the epistemic provenance-governed hybrid RAG pipeline achieved 0.86 Precision@5, 0.92 Recall@5, and 95.0% faithfulness on a 100-query benchmark, reducing hallucinations from 54.0% to 2.0% by gating campus inquiries from unconstrained web fabrication. Addressing RQ3, closed-loop SECI vector indexing externalized technician diagnostics with an 88.21% usable audit pass rate, while the four-tier fallback cascade sustained 98.79% primary cloud availability and 100.0% service continuity across 1,485 turns.</w:t>
        <w:br/>
        <w:br/>
        <w:t>Future work will investigate multimodal vision-language models for automated hardware defect triage, hybrid knowledge graphs (GraphRAG) [29], predictive machine learning for proactive SLA breach forecasting [25], and fine-tuned multilingual embeddings supporting English, Filipino, and Hiligaynon.</w:t>
      </w:r>
    </w:p>
    <w:p>
      <w:pPr>
        <w:keepNext/>
        <w:spacing w:before="240" w:after="60"/>
      </w:pPr>
      <w:r>
        <w:rPr>
          <w:b/>
          <w:color w:val="0F172A"/>
          <w:sz w:val="22"/>
        </w:rPr>
        <w:t>DATA AND CODE AVAILABILITY STATEMENT</w:t>
      </w:r>
    </w:p>
    <w:p>
      <w:pPr>
        <w:spacing w:before="0" w:after="100" w:line="269" w:lineRule="auto"/>
        <w:jc w:val="both"/>
      </w:pPr>
      <w:r>
        <w:rPr>
          <w:sz w:val="19"/>
        </w:rPr>
        <w:t>The complete replication package—including the platform software artifacts (Angular 20 presentation layer, Node.js GraphQL service layer, and Prisma ORM schemas), the 64 UAT scenario validation suites, the labeled 100-query information retrieval ablation corpus, de-identified baseline archival records (N = 320), digital pilot operational logs (N = 339), production conversational AI telemetry turns (N = 1,485), and standalone statistical analysis scripts—is curated and archived under the MIT License within the institutional research data repository of Carlos Hilado Memorial State University. In compliance with statutory data privacy standards under Republic Act No. 10173 and institutional operational security policies, access to the source code, anonymized datasets, and replication harnesses is openly provided to academic researchers and peer reviewers upon reasonable request directed to the corresponding author or through institutional research project clearance (Project Registration Code: F.01-RDS-CHMSU).</w:t>
      </w:r>
    </w:p>
    <w:p>
      <w:pPr>
        <w:keepNext/>
        <w:spacing w:before="240" w:after="60"/>
      </w:pPr>
      <w:r>
        <w:rPr>
          <w:b/>
          <w:color w:val="0F172A"/>
          <w:sz w:val="22"/>
        </w:rPr>
        <w:t>CONFLICT OF INTEREST AND AUTHOR POSITIONALITY</w:t>
      </w:r>
    </w:p>
    <w:p>
      <w:pPr>
        <w:spacing w:before="0" w:after="100" w:line="269" w:lineRule="auto"/>
        <w:jc w:val="both"/>
      </w:pPr>
      <w:r>
        <w:rPr>
          <w:sz w:val="19"/>
        </w:rPr>
        <w:t>The authors disclose that Russel M. Dela Torre, Mark Oliver Meguizo, and Rodney Ormeo are faculty members and technical administrators affiliated with Carlos Hilado Memorial State University, the deployment site of the artifact. To mitigate potential investigator bias, the evaluation protocol incorporated external domain experts (n = 2 external faculty), double-blinded experimental scoring for RAG ablation outputs, independent dual annotation with reported inter-rater reliability (Cohen's kappa = 0.89), and standardized psychometric instruments with published industry benchmarks. Ernie L. Aguirre declares no institutional conflict of interest.</w:t>
      </w:r>
    </w:p>
    <w:p>
      <w:pPr>
        <w:keepNext/>
        <w:spacing w:before="240" w:after="60"/>
      </w:pPr>
      <w:r>
        <w:rPr>
          <w:b/>
          <w:color w:val="0F172A"/>
          <w:sz w:val="22"/>
        </w:rPr>
        <w:t>INSTITUTIONAL CLEARANCES AND STATUTORY COMPLIANCE</w:t>
      </w:r>
    </w:p>
    <w:p>
      <w:pPr>
        <w:spacing w:before="0" w:after="100" w:line="269" w:lineRule="auto"/>
        <w:jc w:val="both"/>
      </w:pPr>
      <w:r>
        <w:rPr>
          <w:sz w:val="19"/>
        </w:rPr>
        <w:t>This study was conducted under Institutional Research Project Registration Code F.01-RDS-CHMSU at Carlos Hilado Memorial State University. All evaluation protocols adhered strictly to Republic Act No. 10173 (Data Privacy Act of 2012) and Republic Act No. 11032 (Ease of Doing Business and Efficient Government Service Delivery Act). Written informed consent was secured from all participating technical staff, supervisors, and user evaluators.</w:t>
      </w:r>
    </w:p>
    <w:p>
      <w:pPr>
        <w:keepNext/>
        <w:spacing w:before="240" w:after="60"/>
      </w:pPr>
      <w:r>
        <w:rPr>
          <w:b/>
          <w:color w:val="0F172A"/>
          <w:sz w:val="22"/>
        </w:rPr>
        <w:t>ACKNOWLEDGMENT &amp; AI-ASSISTED RESEARCH AND DEVELOPMENT DISCLOSURE</w:t>
      </w:r>
    </w:p>
    <w:p>
      <w:pPr>
        <w:spacing w:before="0" w:after="100" w:line="269" w:lineRule="auto"/>
        <w:jc w:val="both"/>
      </w:pPr>
      <w:r>
        <w:rPr>
          <w:sz w:val="19"/>
        </w:rPr>
        <w:t>The authors gratefully acknowledge the Information and Communications Technology (ICT) Department and the Research and Development Services (RDS) of Carlos Hilado Memorial State University (CHMSU) for supporting this research under Institutional Project Registration Code F.01-RDS-CHMSU. All system architectures, mathematical formulations, experimental designs, empirical data collections, qualitative evaluations, statistical interpretations, and critical analytical conclusions were conceived, executed, and validated solely by the authors, who assume full intellectual and scholarly responsibility for the integrity and accuracy of the published findings.</w:t>
      </w:r>
    </w:p>
    <w:p>
      <w:pPr>
        <w:keepNext/>
        <w:spacing w:before="240" w:after="60"/>
      </w:pPr>
      <w:r>
        <w:rPr>
          <w:b/>
          <w:color w:val="0F172A"/>
          <w:sz w:val="22"/>
        </w:rPr>
        <w:t>REFERENCES</w:t>
      </w:r>
    </w:p>
    <w:p>
      <w:pPr>
        <w:spacing w:after="60"/>
        <w:ind w:left="288" w:hanging="288"/>
      </w:pPr>
      <w:r>
        <w:rPr>
          <w:sz w:val="16"/>
        </w:rPr>
        <w:t>[1] Republic of the Philippines, Republic Act No. 11032: An Act Promoting Ease of Doing Business and Efficient Delivery of Government Services, Official Gazette of the Republic of the Philippines, May 28, 2018.</w:t>
      </w:r>
    </w:p>
    <w:p>
      <w:pPr>
        <w:spacing w:after="60"/>
        <w:ind w:left="288" w:hanging="288"/>
      </w:pPr>
      <w:r>
        <w:rPr>
          <w:sz w:val="16"/>
        </w:rPr>
        <w:t>[2] World Bank, Digital Transformation of Philippine Higher Education, Washington, DC, USA: World Bank Group, Report No. AUS0002964, Dec. 2022.</w:t>
      </w:r>
    </w:p>
    <w:p>
      <w:pPr>
        <w:spacing w:after="60"/>
        <w:ind w:left="288" w:hanging="288"/>
      </w:pPr>
      <w:r>
        <w:rPr>
          <w:sz w:val="16"/>
        </w:rPr>
        <w:t>[3] A. A. Espinosa, M. A. C. Gomez, P. A. Miranda, A. P. David, and E. L. R. Abulon, "Technology in Education: A Case Study on the Philippines," Global Education Monitoring Report Background Paper ED/GEMR/MRT/2023/SA/P1/08, Paris, France: UNESCO, 2023. [Online]. Available: https://unesdoc.unesco.org/ark:/48223/pf0000387743</w:t>
      </w:r>
    </w:p>
    <w:p>
      <w:pPr>
        <w:spacing w:after="60"/>
        <w:ind w:left="288" w:hanging="288"/>
      </w:pPr>
      <w:r>
        <w:rPr>
          <w:sz w:val="16"/>
        </w:rPr>
        <w:t>[4] P. Lewis et al., "Retrieval-augmented generation for knowledge-intensive NLP tasks," in Advances in Neural Information Processing Systems (NeurIPS), vol. 33, pp. 9459-9474, 2020.</w:t>
      </w:r>
    </w:p>
    <w:p>
      <w:pPr>
        <w:spacing w:after="60"/>
        <w:ind w:left="288" w:hanging="288"/>
      </w:pPr>
      <w:r>
        <w:rPr>
          <w:sz w:val="16"/>
        </w:rPr>
        <w:t>[5] M. Baqar, "RAG4Tickets: AI-powered ticket resolution via retrieval-augmented generation on JIRA and GitHub data," Clareus Scientific Science and Engineering, vol. 2, no. 10, Art. no. CSSE-02-063, 2025.</w:t>
      </w:r>
    </w:p>
    <w:p>
      <w:pPr>
        <w:spacing w:after="60"/>
        <w:ind w:left="288" w:hanging="288"/>
      </w:pPr>
      <w:r>
        <w:rPr>
          <w:sz w:val="16"/>
        </w:rPr>
        <w:t>[6] A. Cater-Steel, M. Toleman, and W. Tan, "Transforming IT Service Management – the ITIL Impact," in Proc. 17th Australasian Conf. Information Systems (ACIS), Adelaide, Australia, Dec. 2006, pp. 1-10. [Online]. Available: https://aisel.aisnet.org/acis2006/81/</w:t>
      </w:r>
    </w:p>
    <w:p>
      <w:pPr>
        <w:spacing w:after="60"/>
        <w:ind w:left="288" w:hanging="288"/>
      </w:pPr>
      <w:r>
        <w:rPr>
          <w:sz w:val="16"/>
        </w:rPr>
        <w:t>[7] M. H. Knahl, "Application of IT Management Frameworks in Higher Education Institutions," in Advanced Information Systems Engineering Workshops (CAiSE 2013), X. Franch and P. Soffer, Eds. Berlin, Heidelberg: Springer, 2013, pp. 124-133. doi: 10.1007/978-3-642-38490-5_10.</w:t>
      </w:r>
    </w:p>
    <w:p>
      <w:pPr>
        <w:spacing w:after="60"/>
        <w:ind w:left="288" w:hanging="288"/>
      </w:pPr>
      <w:r>
        <w:rPr>
          <w:sz w:val="16"/>
        </w:rPr>
        <w:t>[8] P. Toro Isaza et al., "Retrieval augmented generation-based incident resolution recommendation system for IT support," arXiv preprint arXiv:2409.13707, Sep. 2024.</w:t>
      </w:r>
    </w:p>
    <w:p>
      <w:pPr>
        <w:spacing w:after="60"/>
        <w:ind w:left="288" w:hanging="288"/>
      </w:pPr>
      <w:r>
        <w:rPr>
          <w:sz w:val="16"/>
        </w:rPr>
        <w:t>[9] Z. Ji et al., "Survey of hallucination in natural language generation," ACM Computing Surveys, vol. 55, no. 12, pp. 1-38, Dec. 2023. doi: 10.1145/3571730.</w:t>
      </w:r>
    </w:p>
    <w:p>
      <w:pPr>
        <w:spacing w:after="60"/>
        <w:ind w:left="288" w:hanging="288"/>
      </w:pPr>
      <w:r>
        <w:rPr>
          <w:sz w:val="16"/>
        </w:rPr>
        <w:t>[10] H. Yu, A.-R. Gan, K. Zhang, S.-W. Tong, Q. Liu, and Z.-F. Liu, "Evaluation of retrieval-augmented generation: A survey," arXiv preprint arXiv:2405.07437, May 2024.</w:t>
      </w:r>
    </w:p>
    <w:p>
      <w:pPr>
        <w:spacing w:after="60"/>
        <w:ind w:left="288" w:hanging="288"/>
      </w:pPr>
      <w:r>
        <w:rPr>
          <w:sz w:val="16"/>
        </w:rPr>
        <w:t>[11] A. R. Hevner, S. T. March, J. Park, and S. Ram, "Design science in information systems research," MIS Quarterly, vol. 28, no. 1, pp. 75-105, Mar. 2004.</w:t>
      </w:r>
    </w:p>
    <w:p>
      <w:pPr>
        <w:spacing w:after="60"/>
        <w:ind w:left="288" w:hanging="288"/>
      </w:pPr>
      <w:r>
        <w:rPr>
          <w:sz w:val="16"/>
        </w:rPr>
        <w:t>[12] K. Peffers, T. Tuunanen, M. A. Rothenberger, and S. Chatterjee, "A design science research methodology for information systems research," Journal of Management Information Systems, vol. 24, no. 3, pp. 45-77, 2007.</w:t>
      </w:r>
    </w:p>
    <w:p>
      <w:pPr>
        <w:spacing w:after="60"/>
        <w:ind w:left="288" w:hanging="288"/>
      </w:pPr>
      <w:r>
        <w:rPr>
          <w:sz w:val="16"/>
        </w:rPr>
        <w:t>[13] I. Nonaka and H. Takeuchi, The Knowledge-Creating Company: How Japanese Companies Create the Dynamics of Innovation. New York, NY, USA: Oxford Univ. Press, 1995.</w:t>
      </w:r>
    </w:p>
    <w:p>
      <w:pPr>
        <w:spacing w:after="60"/>
        <w:ind w:left="288" w:hanging="288"/>
      </w:pPr>
      <w:r>
        <w:rPr>
          <w:sz w:val="16"/>
        </w:rPr>
        <w:t>[14] J. A. McCall, P. K. Richards, and G. F. Walters, Factors in Software Quality: Concept and Definitions of Software Quality, Rome Air Development Center, Tech. Rep. RADC-TR-77-369, Nov. 1977.</w:t>
      </w:r>
    </w:p>
    <w:p>
      <w:pPr>
        <w:spacing w:after="60"/>
        <w:ind w:left="288" w:hanging="288"/>
      </w:pPr>
      <w:r>
        <w:rPr>
          <w:sz w:val="16"/>
        </w:rPr>
        <w:t>[15] J. R. Lewis, "Psychometric evaluation of the PSSUQ using data from five years of usability studies," Int. J. Human-Computer Interaction, vol. 14, no. 3-4, pp. 463-488, 2002.</w:t>
      </w:r>
    </w:p>
    <w:p>
      <w:pPr>
        <w:spacing w:after="60"/>
        <w:ind w:left="288" w:hanging="288"/>
      </w:pPr>
      <w:r>
        <w:rPr>
          <w:sz w:val="16"/>
        </w:rPr>
        <w:t>[16] J. Sauro and J. R. Lewis, Quantifying the User Experience: Practical Statistics for User Research, 2nd ed. Cambridge, MA, USA: Morgan Kaufmann, 2016.</w:t>
      </w:r>
    </w:p>
    <w:p>
      <w:pPr>
        <w:spacing w:after="60"/>
        <w:ind w:left="288" w:hanging="288"/>
      </w:pPr>
      <w:r>
        <w:rPr>
          <w:sz w:val="16"/>
        </w:rPr>
        <w:t>[17] S. Bayona, Y. Baca, and G. Vela, "IT service management using ITIL v3: A case study," in Proc. 12th Iberian Conf. Information Systems and Technologies (CISTI), Lisbon, Portugal, Jun. 2017, pp. 1-6. doi: 10.23919/CISTI.2017.7975963.</w:t>
      </w:r>
    </w:p>
    <w:p>
      <w:pPr>
        <w:spacing w:after="60"/>
        <w:ind w:left="288" w:hanging="288"/>
      </w:pPr>
      <w:r>
        <w:rPr>
          <w:sz w:val="16"/>
        </w:rPr>
        <w:t>[18] F. Gacenga, A. Cater-Steel, and M. Toleman, "An international analysis of IT service management benefits and performance measurement," Journal of Global Information Technology Management, vol. 13, no. 4, pp. 28-63, 2010. doi: 10.1080/1097198X.2010.10856525.</w:t>
      </w:r>
    </w:p>
    <w:p>
      <w:pPr>
        <w:spacing w:after="60"/>
        <w:ind w:left="288" w:hanging="288"/>
      </w:pPr>
      <w:r>
        <w:rPr>
          <w:sz w:val="16"/>
        </w:rPr>
        <w:t>[19] J. Xu, R. He, and T. Li, "Trouble ticket routing models and their applications," IEEE Transactions on Network and Service Management, vol. 15, no. 2, pp. 530-543, Jun. 2018. doi: 10.1109/TNSM.2018.2818939.</w:t>
      </w:r>
    </w:p>
    <w:p>
      <w:pPr>
        <w:spacing w:after="60"/>
        <w:ind w:left="288" w:hanging="288"/>
      </w:pPr>
      <w:r>
        <w:rPr>
          <w:sz w:val="16"/>
        </w:rPr>
        <w:t>[20] R. Pratami, M. L. Ruhallah, and A. A. Gozali, "LLM-based chatbot for the Indonesia university IT service desk: Integrating DeepSeek-v3 API and a RAG approach," in Proc. IEEE Int. Conf. Data Science and Its Applications (ICoDSA), Jul. 2025, pp. 979-984. doi: 10.1109/ICoDSA67155.2025.11157184.</w:t>
      </w:r>
    </w:p>
    <w:p>
      <w:pPr>
        <w:spacing w:after="60"/>
        <w:ind w:left="288" w:hanging="288"/>
      </w:pPr>
      <w:r>
        <w:rPr>
          <w:sz w:val="16"/>
        </w:rPr>
        <w:t>[21] T. Zhang et al., "RAG4ITOps: A supervised fine-tunable and comprehensive RAG framework for IT operations and maintenance," arXiv preprint arXiv:2410.15805, Oct. 2024.</w:t>
      </w:r>
    </w:p>
    <w:p>
      <w:pPr>
        <w:spacing w:after="60"/>
        <w:ind w:left="288" w:hanging="288"/>
      </w:pPr>
      <w:r>
        <w:rPr>
          <w:sz w:val="16"/>
        </w:rPr>
        <w:t>[22] R. Akkiraju et al., "FACTS about building retrieval augmented generation-based chatbots," arXiv preprint arXiv:2407.07858, Jul. 2024.</w:t>
      </w:r>
    </w:p>
    <w:p>
      <w:pPr>
        <w:spacing w:after="60"/>
        <w:ind w:left="288" w:hanging="288"/>
      </w:pPr>
      <w:r>
        <w:rPr>
          <w:sz w:val="16"/>
        </w:rPr>
        <w:t>[23] S. Agarwal, V. Aggarwal, A. R. Akula, G. B. Dasgupta, and G. Sridhara, "Automatic problem extraction and analysis from unstructured text in IT tickets," IBM Journal of Research and Development, vol. 61, no. 1, pp. 4:1-4:12, Jan. 2017. doi: 10.1147/JRD.2016.2629318.</w:t>
      </w:r>
    </w:p>
    <w:p>
      <w:pPr>
        <w:spacing w:after="60"/>
        <w:ind w:left="288" w:hanging="288"/>
      </w:pPr>
      <w:r>
        <w:rPr>
          <w:sz w:val="16"/>
        </w:rPr>
        <w:t>[24] G. N. Syarif and Suharjito, "Intelligent recommender system for IT ticket troubleshooting using semantic embeddings and collaborative filtering," in Proc. IEEE Int. Conf. Data and Software Engineering (ICoDSE), Oct. 2025, pp. 319-324. doi: 10.1109/ICoDSE68111.2025.11351869.</w:t>
      </w:r>
    </w:p>
    <w:p>
      <w:pPr>
        <w:spacing w:after="60"/>
        <w:ind w:left="288" w:hanging="288"/>
      </w:pPr>
      <w:r>
        <w:rPr>
          <w:sz w:val="16"/>
        </w:rPr>
        <w:t>[25] A. K. Swain and V. R. Garza, "Key factors in achieving service level agreements (SLA) for information technology (IT) incident resolution," Information Systems Frontiers, vol. 25, no. 2, pp. 819-834, Apr. 2023 (online first Oct. 2022). doi: 10.1007/s10796-022-10266-5.</w:t>
      </w:r>
    </w:p>
    <w:p>
      <w:pPr>
        <w:spacing w:after="60"/>
        <w:ind w:left="288" w:hanging="288"/>
      </w:pPr>
      <w:r>
        <w:rPr>
          <w:sz w:val="16"/>
        </w:rPr>
        <w:t>[26] J. Venable, J. Pries-Heje, and R. Baskerville, "FEDS: A framework for evaluation in design science research," European Journal of Information Systems, vol. 25, no. 1, pp. 77-89, 2016.</w:t>
      </w:r>
    </w:p>
    <w:p>
      <w:pPr>
        <w:spacing w:after="60"/>
        <w:ind w:left="288" w:hanging="288"/>
      </w:pPr>
      <w:r>
        <w:rPr>
          <w:sz w:val="16"/>
        </w:rPr>
        <w:t>[27] T. S. Tullis and J. N. Stetson, "A comparison of questionnaires for assessing website usability," in Proc. Usability Professionals Association (UPA) Conf., Minneapolis, MN, USA, Jun. 2004, pp. 1-12.</w:t>
      </w:r>
    </w:p>
    <w:p>
      <w:pPr>
        <w:spacing w:after="60"/>
        <w:ind w:left="288" w:hanging="288"/>
      </w:pPr>
      <w:r>
        <w:rPr>
          <w:sz w:val="16"/>
        </w:rPr>
        <w:t>[28] Republic of the Philippines, Republic Act No. 10173: An Act Protecting Individual Personal Information in Information and Communications Systems in the Government and the Private Sector (Data Privacy Act of 2012), Official Gazette of the Republic of the Philippines, Aug. 15, 2012.</w:t>
      </w:r>
    </w:p>
    <w:p>
      <w:pPr>
        <w:spacing w:after="60"/>
        <w:ind w:left="288" w:hanging="288"/>
      </w:pPr>
      <w:r>
        <w:rPr>
          <w:sz w:val="16"/>
        </w:rPr>
        <w:t>[29] Z. Xu et al., "Retrieval-augmented generation with knowledge graphs for customer service question answering," in Proc. 47th Int. ACM SIGIR Conf. Research and Development in Information Retrieval, Apr. 2024, pp. 2905-2909. doi: 10.1145/3626772.3661370.</w:t>
      </w:r>
    </w:p>
    <w:p>
      <w:pPr>
        <w:spacing w:after="60"/>
        <w:ind w:left="288" w:hanging="288"/>
      </w:pPr>
      <w:r>
        <w:rPr>
          <w:sz w:val="16"/>
        </w:rPr>
        <w:t>[30] Google AI for Developers, "Gemini API changelog: Deprecation of models/text-embedding-004 and migration guidelines," Google Developers Documentation, Jan. 14, 2026. [Online]. Available: https://ai.google.dev/gemini-api/docs/changelog</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