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RETO 1 — GUIÓN DOCENTE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La Transmisión Insegura  |  Guión Docente v5   |  USO EXCLUSIVO DEL DOCENTE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I.E. La Armonía — Sesión 1 — Primer bloque  |  10 estudiantes — 2 grupos de 5</w:t>
      </w:r>
      <w:r/>
    </w:p>
    <w:p>
      <w:pPr>
        <w:pStyle w:val="88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🧠 Fundamento pedagógico de esta versión: Teoría de la Carga Cognitiva (Sweller)</w:t>
      </w:r>
      <w:r/>
    </w:p>
    <w:p>
      <w:pPr>
        <w:pBdr/>
        <w:spacing w:after="120"/>
        <w:ind/>
        <w:jc w:val="both"/>
        <w:rPr>
          <w:sz w:val="20"/>
          <w:szCs w:val="2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0"/>
          <w:szCs w:val="20"/>
        </w:rPr>
        <w:t xml:space="preserve">Los estudiantes de 15-16 años ya razonan de forma abstracta, pero siguen construyendo esquemas mentales nuevos sobre ciberseguridad — un tema sin antecedentes previos en su currículo. Por eso este materia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0"/>
          <w:szCs w:val="20"/>
        </w:rPr>
        <w:t xml:space="preserve">l reduce la carga extraña (lo que no aporta al aprendizaje), gestiona la carga intrínseca (la dificultad propia del tema, dividiéndola en partes) y estimula la carga germana (el esfuerzo que sí construye aprendizaje, con analogías y conexión de conceptos).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80"/>
        <w:gridCol w:w="612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Principio de Sweller aplicado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Cómo se ve en este material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Preentrenamiento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La Guía trae una tabla de 6 analogías (MQTT, TLS, broker, etc.) ANTES de iniciar los pasos técnicos.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Ejemplo resuelto (worked example)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Antes del Paso 5, los estudiantes ven una captura de Wireshark ya resuelta y explicada.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Segmentación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Cada paso se dividió en sub-pasos cortos y numerados, con un "Punto de control" (✅) antes de continuar.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Contigüidad espacial / modalidad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Cada imagen sugerida va junto al texto al que corresponde, no al final del documento — evita que el estudiante divida su atención.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Señalización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Un sistema fijo de íconos (💡🧪🔧🖼️✅⚠️) guía la atención hacia lo esencial de cada bloque.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Reducción de carga extraña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Frases más cortas, lenguaje directo, sin información irrelevante para la tarea inmediata.</w:t>
            </w:r>
            <w:r/>
          </w:p>
        </w:tc>
      </w:tr>
    </w:tbl>
    <w:p>
      <w:pPr>
        <w:pBdr/>
        <w:spacing w:after="100"/>
        <w:ind/>
        <w:rPr/>
      </w:pPr>
      <w:r/>
      <w:r/>
    </w:p>
    <w:tbl>
      <w:tblPr>
        <w:tblW w:w="5000" w:type="pct"/>
        <w:tblBorders>
          <w:top w:val="single" w:color="5b3a8e" w:sz="4" w:space="0"/>
          <w:left w:val="single" w:color="5b3a8e" w:sz="4" w:space="0"/>
          <w:bottom w:val="single" w:color="5b3a8e" w:sz="4" w:space="0"/>
          <w:right w:val="single" w:color="5b3a8e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e0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d2a5c"/>
                <w:sz w:val="22"/>
                <w:szCs w:val="22"/>
              </w:rPr>
              <w:t xml:space="preserve">🎓 Su rol como docente frente a la carga cognitiva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No adelante explicaciones que ya están en la Guía — repetirlas en voz alta ANTES de que el estudiante las lea genera carga extraña (información duplicada).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Sí conviene, en cambio, pedir que ALGUIEN del grupo lea en voz alta la analogía antes de actuar (retrieval / repaso activo).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Si un grupo se traba, no resuelva el paso por ellos: señale con el dedo la parte de la Guía (texto o imagen) donde ya está la respuesta. Esto mantiene la carga germana en el estudiante.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2f2f2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⚠️ Novedad v4 (se mantiene en v5) — el cuadernillo único se dividió en 3 documentos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1f3864"/>
                <w:sz w:val="21"/>
                <w:szCs w:val="21"/>
              </w:rPr>
              <w:t xml:space="preserve">1. GUÍA DEL RETO — de consulta, nadie escribe en ella.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1f3864"/>
                <w:sz w:val="21"/>
                <w:szCs w:val="21"/>
              </w:rPr>
              <w:t xml:space="preserve">2. HOJA DE TRABAJO RED TEAM — la llena el grupo que ataca, al finalizar su turno.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1f3864"/>
                <w:sz w:val="21"/>
                <w:szCs w:val="21"/>
              </w:rPr>
              <w:t xml:space="preserve">3. HOJA DE TRABAJO BLUE TEAM — la llena el grupo que defiende; la empieza al iniciar (observación + consulta) y la termina al finalizar su turno físico.</w:t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0"/>
        <w:gridCol w:w="675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7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⏱ Duración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7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60 minutos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🔒 Pilar CIA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7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Confidencialidad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🐛 Vulnerabilidad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7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VUL-1 — MQTT sin TLS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88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🎯 Objetivos del Reto 1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Red Team (Grupo 1): capturar tráfico MQTT con Wireshark y encontrar la bandera en el tópico secreto.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Red Team: demostrar que el payload JSON es legible en texto plano (VUL-1 activa).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Blue Team (Grupo 2): cambiar el firmware a MODO_ICSCERT y verificar que Wireshark no puede leer el tráfico cifrado con TLS.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Ambos grupos: conectar VUL-1 con el pilar CIA de Confidencialidad usando la analogía trabajada (postal vs. carta sellada).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Nota — HC-SR04: el sensor de ultrasonido está desactivado en los Retos 1, 2 y 3 (SENSOR_ACTIVO=0). Se activa solo en el Reto 4.</w:t>
      </w:r>
      <w:r/>
    </w:p>
    <w:p>
      <w:pPr>
        <w:pBdr/>
        <w:spacing w:after="120"/>
        <w:ind/>
        <w:rPr/>
      </w:pPr>
      <w:r/>
      <w:r/>
    </w:p>
    <w:p>
      <w:pPr>
        <w:pStyle w:val="88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⏱ Cronograma general de los 60 minutos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20"/>
        <w:gridCol w:w="648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Bloque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0:00–12:00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Apertura ampliada — historia + tabla de analogías (preentrenamiento) + ejemplo resuelto + formación de grupos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12:00–40:00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Red Team: Grupo 1 ataca (6 pasos) — simultáneo: Grupo 2 observa y completa su Hoja Blue Team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40:00–42:00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Rotación — Grupo 1 completa su Hoja Red Team. Grupo 2 toma los puestos.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42:00–55:00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Blue Team: Grupo 2 defiende (4 pasos) — completa su Hoja Blue Team (evidencias, tabla comparativa, R1.4-R1.5)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55:00–60:00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Plenaria con repaso activo del vocabulario + recolección de documentos + transición al Reto 2</w:t>
            </w:r>
            <w:r/>
          </w:p>
        </w:tc>
      </w:tr>
    </w:tbl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666666"/>
          <w:sz w:val="20"/>
          <w:szCs w:val="20"/>
        </w:rPr>
        <w:t xml:space="preserve">Nota de tiempo: se amplió la Apertura de 10 a 12 minutos para incluir el preentrenamiento de vocabulario y el ejemplo resuelto — ambos ahorran tiempo de intervención docente más adelante, porque reducen bloqueos por desconocimiento de términos.</w:t>
      </w:r>
      <w:r/>
    </w:p>
    <w:p>
      <w:pPr>
        <w:pBdr/>
        <w:spacing w:after="150"/>
        <w:ind/>
        <w:rPr/>
      </w:pPr>
      <w:r/>
      <w:r/>
    </w:p>
    <w:p>
      <w:pPr>
        <w:pStyle w:val="88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SECCIÓN A — PREPARACIÓN DEL DOCENTE (antes de que lleguen los estudiantes)</w:t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A.1 — Sistema en MODO_STUXNET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config.h: #define MODO_STUXNET activo. CAMARA_ACTIVA = 0. SENSOR_ACTIVO = 0.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OLED Kit 2 rojo: STUXNET / Kit02 192.168.10.1XX / MQTT:OK / Rech:0 / P:1883 RL:OFF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LED Kit 2 rojo: rojo parpadeante lento.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Broker STUXNET activo: doble clic en activar_stuxnet.bat como administrador.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Verificar en CMD: netstat -ano | findstr 1883 → debe mostrar LISTENING.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Prueba rápida: MQTT Explorer → perfil Kit_Stuxnet → CONNECT → barra verde. Publicar avanzar → robot avanza.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Puertos de firewall abiertos: si es la primera vez, ejecutar abrir_puertos_firewall.bat.</w:t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A.2 — Archivos y materiales (v5 — incluye ejemplo resuelto)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1 Guía del Reto 1 impresa (versión v5 con analogías e imágenes) — reutilizable, se comparte entre ambos grupos.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2 Hojas de Trabajo RED TEAM impresas (v5, con ganchos de respuesta).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2 Hojas de Trabajo BLUE TEAM impresas (v5, con ganchos de respuesta).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Wireshark instalado con Npcap en el computador del estudiante.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MQTT Explorer con perfil Kit_Stuxnet guardado (1883, sin credenciales, TLS OFF).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MQTT Explorer con perfil Kit_IcsCert guardado (8883, TLS ON, robot02/T0k3n_02_S3gur0!).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Tablero con: Red Wi-Fi Robot-Lab-01 / contraseña robot2025 / IP broker 192.168.10.105 / puerto 1883 / tópico cmd robot/armonia/cmd / tópico secreto robot/armonia/secreto.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Bandera publicada con Retain=true en robot/armonia/secreto = BANDERA_RETO1_ENCONTRADA.</w:t>
      </w:r>
      <w:r/>
    </w:p>
    <w:p>
      <w:pPr>
        <w:pBdr/>
        <w:spacing w:after="150"/>
        <w:ind/>
        <w:rPr/>
      </w:pPr>
      <w:r/>
      <w:r/>
    </w:p>
    <w:p>
      <w:pPr>
        <w:pStyle w:val="88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SECCIÓN B — APERTURA AMPLIADA (0:00 a 12:00)</w:t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Minuto 0:00 — Historia del técnico curioso (leer en voz alta, 2 min)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Señalar el robot encendido: "Este robot está encendido. El OLED muestra STUXNET. El LED parpadea en rojo. ¿Por qué? Porque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 las vulnerabilidades están activas." Leer la historia del técnico de mantenimiento que lee comandos MQTT sin cifrar con Wireshark. Preguntar: "¿Qué pilar de la tríada CIA ataca este tipo de vulnerabilidad?" Esperar respuestas. Confirmar: CONFIDENCIALIDAD.</w:t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Minuto 2:00 — Tabla de analogías, en voz alta y por turnos (4 min)</w:t>
      </w:r>
      <w:r/>
    </w:p>
    <w:tbl>
      <w:tblPr>
        <w:tblW w:w="5000" w:type="pct"/>
        <w:tblBorders>
          <w:top w:val="single" w:color="5b3a8e" w:sz="4" w:space="0"/>
          <w:left w:val="single" w:color="5b3a8e" w:sz="4" w:space="0"/>
          <w:bottom w:val="single" w:color="5b3a8e" w:sz="4" w:space="0"/>
          <w:right w:val="single" w:color="5b3a8e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e0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d2a5c"/>
                <w:sz w:val="22"/>
                <w:szCs w:val="22"/>
              </w:rPr>
              <w:t xml:space="preserve">🆕 Paso nuevo en v5 (preentrenamiento)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Pedir a 6 estudiantes distintos (uno por fila) que lean en voz alta, cada uno, una fila de la tabla "Antes de empezar: aprenda el vocabulario en 6 analogías" de la Guía.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No agregue explicación adicional del docente en este punto — dejar que la analogía escrita haga el trabajo. Esto evita duplicar información (carga extraña).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Cierre con la pregunta: "¿Cuál de estas 6 analogías les pareció más fácil de recordar y por qué?" — 1 minuto, respuesta libre.</w:t>
            </w:r>
            <w:r/>
          </w:p>
        </w:tc>
      </w:tr>
    </w:tbl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Minuto 6:00 — Ejemplo resuelto en pantalla (3 min)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Proyectar o mostrar 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a sección "Ejemplo resuelto" de la Guía. Explicar: "Esto es exactamente lo que ustedes van a producir en el Paso 5, con un comando distinto (avanzar en vez de girar)." Señalar en la imagen sugerida las tres partes marcadas: filtro, paquete, JSON expandido.</w:t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Minuto 9:00 — Formación de grupos y entrega de documentos (3 min)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Decir: "Grupo 1 — cinco estudiantes — computador 1. Grupo 2 — cinco estudiantes — computador 2. Grupo 1: van a ser el Red Team. Reciben su Hoja de Trabajo Red Team. Grupo 2: mientras esperan, reciben su Hoja de T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rabajo Blue Team — van a observar el ataque y responder la sección de consulta en internet." Leer el aviso ético de la Guía en voz alta. NO omitirlo. Distribuir la Guía (compartida) y la Hoja de Trabajo correspondiente a cada grupo. Dar la señal de inicio.</w:t>
      </w:r>
      <w:r/>
    </w:p>
    <w:p>
      <w:pPr>
        <w:pBdr/>
        <w:spacing w:after="150"/>
        <w:ind/>
        <w:rPr/>
      </w:pPr>
      <w:r/>
      <w:r/>
    </w:p>
    <w:p>
      <w:pPr>
        <w:pStyle w:val="88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C — RED TEAM: GUIÓN DEL DOCENTE (12:00 a 40:00)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2"/>
          <w:szCs w:val="22"/>
        </w:rPr>
        <w:t xml:space="preserve">Posición: </w:t>
      </w:r>
      <w:r>
        <w:rPr>
          <w:rFonts w:ascii="Calibri" w:hAnsi="Calibri" w:eastAsia="Calibri" w:cs="Calibri"/>
          <w:b w:val="0"/>
          <w:bCs w:val="0"/>
          <w:i/>
          <w:iCs/>
          <w:color w:val="000000"/>
          <w:sz w:val="22"/>
          <w:szCs w:val="22"/>
        </w:rPr>
        <w:t xml:space="preserve">de pie, circulando entre los dos computadores. Regla de oro: no hacer ningún paso por los estudiantes. Guiar con preguntas abiertas. Intervenir solo si el grupo lleva más de 5 minutos bloqueado — y si interviene, señale la Guía en vez de explicar de nuevo.</w:t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Cronograma detallado del Red Team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50"/>
        <w:gridCol w:w="2250"/>
        <w:gridCol w:w="2250"/>
        <w:gridCol w:w="345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Minuto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Grupo 1 (Red)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Grupo 2 (Blue, preparándose)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12:00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⚔ Inicia Paso 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📝 Observación + consulta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Grupo 1 inicia verificación previa. Grupo 2 empieza su Hoja Blue Team.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15:00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Conecta Wi-Fi + Wireshark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Observa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B de G1 conecta a Robot-Lab-01. Estudiante A abre Wireshark con filtro mqtt.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18:00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Conecta MQTT Explorer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Consulta en internet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conecta Kit_Stuxnet sin credenciales. Barra verde.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22:00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Encuentra la bandera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Termina consulta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navega robot/armonia/secreto → BANDERA. Estudiante C fotografía.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26:00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Captura Wireshark (compara con el ejemplo resuelto)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Sigue observando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publica avanzar. Robot se mueve. Payload visible en Wireshark.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32:00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visita G1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visita G2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verifica en G2 que la Hoja Blue Team tiene la observación y consulta completas.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36:00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Completando su Hoja Red Team con ganchos de respuesta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Termina de esperar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Grupo 1 pega evidencias 1 y 2 en su Hoja Red Team.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40:00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Transición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Transición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Grupo 1 se aleja con su Hoja Red Team. Grupo 2 toma los puestos con su Hoja Blue Team.</w:t>
            </w:r>
            <w:r/>
          </w:p>
        </w:tc>
      </w:tr>
    </w:tbl>
    <w:p w14:paraId="06ADAB92">
      <w:pPr>
        <w:pBdr/>
        <w:shd w:val="nil" w:color="auto"/>
        <w:spacing/>
        <w:ind/>
        <w:rPr/>
      </w:pPr>
      <w:r>
        <w:rPr>
          <w:rFonts w:ascii="Calibri" w:hAnsi="Calibri" w:eastAsia="Calibri" w:cs="Calibri"/>
          <w:b/>
          <w:bCs/>
          <w:color w:val="9c2b2b"/>
          <w:highlight w:val="none"/>
        </w:rPr>
        <w:br w:type="page" w:clear="all"/>
      </w:r>
      <w:r>
        <w:rPr>
          <w:rFonts w:ascii="Calibri" w:hAnsi="Calibri" w:eastAsia="Calibri" w:cs="Calibri"/>
          <w:b/>
          <w:bCs/>
          <w:color w:val="9c2b2b"/>
          <w:highlight w:val="none"/>
        </w:rPr>
      </w:r>
      <w:r/>
    </w:p>
    <w:p>
      <w:pPr>
        <w:pStyle w:val="889"/>
        <w:pBdr/>
        <w:spacing w:after="120" w:before="260"/>
        <w:ind/>
        <w:rPr>
          <w:rFonts w:ascii="Calibri" w:hAnsi="Calibri" w:eastAsia="Calibri" w:cs="Calibri"/>
          <w:b/>
          <w:bCs/>
          <w:color w:val="9c2b2b"/>
          <w:highlight w:val="none"/>
        </w:rPr>
      </w:pPr>
      <w:r>
        <w:rPr>
          <w:rFonts w:ascii="Calibri" w:hAnsi="Calibri" w:eastAsia="Calibri" w:cs="Calibri"/>
          <w:b/>
          <w:bCs/>
          <w:color w:val="9c2b2b"/>
        </w:rPr>
        <w:t xml:space="preserve">Diagnóstico de errores durante el Red Team</w:t>
      </w:r>
      <w:r>
        <w:rPr>
          <w:rFonts w:ascii="Calibri" w:hAnsi="Calibri" w:eastAsia="Calibri" w:cs="Calibri"/>
          <w:b/>
          <w:bCs/>
          <w:color w:val="9c2b2b"/>
          <w:highlight w:val="none"/>
        </w:rPr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87"/>
        <w:gridCol w:w="2887"/>
        <w:gridCol w:w="3226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Causa probable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2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Wireshark — filtro con fondo ROJO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Sintaxis incorrecta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2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Escribir 'mqtt' en minúsculas. Enter.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Wireshark — 0 paquetes MQTT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Computador usa Ethernet, no Wi-Fi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2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Verificar IP 192.168.10.X. Seleccionar interfaz Wi-Fi.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MQTT Explorer — Connection refused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Broker STUXNET no activo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2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Ejecutar activar_stuxnet.bat como administrador.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Tópico secreto no aparece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Bandera no publicada con Retain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2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Publicar BANDERA_RETO1_ENCONTRADA con Retain=ON.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88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SECCIÓN D — ROTACIÓN (40:00 a 42:00)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PASO D-1: 'Grupo 1 — alejen del computador y completen R1.1 a R1.3 más la consulta en internet en su Hoja de Trabajo Red Team, usando los ganchos de respuesta.'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PASO D-2: 'Grupo 2 — tomen los puestos. Van a defender el robot.'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PASO D-3: Verificar que el broker STUXNET sigue activo (se reemplaza durante el Blue Team).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PASO D-4: Decir: 'Lean los pasos BT-1 a BT-4 de la Guía ANTES de tocar el computador. El Estudiante E los lee en voz alta.'</w:t>
      </w:r>
      <w:r/>
    </w:p>
    <w:p>
      <w:pPr>
        <w:pBdr/>
        <w:spacing w:after="150"/>
        <w:ind/>
        <w:rPr/>
      </w:pPr>
      <w:r/>
      <w:r/>
    </w:p>
    <w:p>
      <w:pPr>
        <w:pStyle w:val="88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E — BLUE TEAM: GUIÓN DEL DOCENTE (42:00 a 55:00)</w:t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Cronograma detallado del Blue Team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50"/>
        <w:gridCol w:w="2400"/>
        <w:gridCol w:w="2250"/>
        <w:gridCol w:w="330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Minuto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Grupo 1 (Red, ya terminó)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Grupo 2 (Blue)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42:00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Completando su Hoja Red Team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Lee pasos BT en la Guía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E del Grupo 2 lee los pasos BT-1 a BT-4 en voz alta.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44:00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Cambia config.h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del G2 comenta MODO_STUXNET y descomenta MODO_ICSCERT. Compara con el diagrama antes/después de la Guía.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45:00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Upload firmware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hace Upload. Esperar 30-60 seg. OLED debe cambiar.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47:00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 OLED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señala el LED: '¿Ven que cambió de rojo parpadeante a verde fijo?'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48:00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Activa broker ICSCERT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ejecuta activar_icscert.bat. Esperar OLED MQTT:OK.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50:00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Evidencias 3 y 4 en su Hoja Blue Team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verifica filtro mqtt = 0 paquetes. Estudiante C fotografía.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52:00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Entrega su Hoja Red Team al docente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Completa tabla comparativa + R1.4-R1.5 con ganchos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Grupo 2 completa su Hoja de Trabajo Blue Team.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55:00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Plenaria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Plenaria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Todo el grupo — cierre y plenaria.</w:t>
            </w:r>
            <w:r/>
          </w:p>
        </w:tc>
      </w:tr>
    </w:tbl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d2a4a"/>
                <w:sz w:val="22"/>
                <w:szCs w:val="22"/>
              </w:rPr>
              <w:t xml:space="preserve">Momento pedagógico clave — el LED cambia de color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"¿Ven el LED? Cambió de rojo parpadeante a verde fijo. ¿Y el OLED? De STUXNET a ICSCERT. Solo cam</w:t>
            </w: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biamos dos caracteres en config.h — los mismos // del diagrama antes/después que vieron en la Guía. El mismo hardware, completamente diferente perfil de seguridad: así es como se parchea una vulnerabilidad, no se cambia el hardware, se cambia el firmware."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Diagnóstico de errores durante el Blue Team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26"/>
        <w:gridCol w:w="2887"/>
        <w:gridCol w:w="2887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2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Causa probable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2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OLED sigue en STUXNET tras Upload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Upload no completó o error de compilación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Revisar consola Arduino IDE — verificar un solo #define activo.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2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OLED muestra MQTT:RECON tras Upload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Broker ICSCERT no activo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Ejecutar activar_icscert.bat como administrador. Esperar 30 seg.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2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MQTT Explorer sin credenciales conecta al 8883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allow_anonymous true aún activo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8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Verificar mosquitto_icscert.conf. Reiniciar broker.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88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SECCIÓN F — PLENARIA Y CIERRE CON REPASO ACTIVO (55:00 a 60:00)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Preguntas de plenaria (seleccionar 2-3): (1) al Red Tea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m — "¿Qué encontraron en robot/armonia/secreto?" → BANDERA_RETO1_ENCONTRADA. (2) al Blue Team — "¿Qué cambió en config.h para cerrar VUL-1?" → MODO_ICSCERT (TLS + puerto 8883). (3) a todos — "¿Por qué Wireshark ya no puede leer el tráfico?" → TLS lo cifra.</w:t>
      </w:r>
      <w:r/>
    </w:p>
    <w:tbl>
      <w:tblPr>
        <w:tblW w:w="5000" w:type="pct"/>
        <w:tblBorders>
          <w:top w:val="single" w:color="5b3a8e" w:sz="4" w:space="0"/>
          <w:left w:val="single" w:color="5b3a8e" w:sz="4" w:space="0"/>
          <w:bottom w:val="single" w:color="5b3a8e" w:sz="4" w:space="0"/>
          <w:right w:val="single" w:color="5b3a8e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e0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d2a5c"/>
                <w:sz w:val="22"/>
                <w:szCs w:val="22"/>
              </w:rPr>
              <w:t xml:space="preserve">🆕 Repaso activo (v5) — 1 minuto, sin mirar la Guía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"Cierren la Guía. En una palabra cada uno: ¿qué analogía usamos para Wireshark? ¿Y para TLS?" — esto es práctica de recuperación (retrieval practice), la forma más eficaz de fijar un concepto nuevo en la memoria a largo plazo.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Lista de verificación antes de recoger los documentos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Evidencia PRE, 1 y 2 pegadas. Tabla del Paso 4 completa. R1.1-R1.3 respondidas. Consulta en internet completa. Tabla de integrantes firmada.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Evidencia 3 y 4 pegadas. Tabla comparativa completa. R1.4-R1.5 respondidas. Consulta en internet y observación completas. Tabla de integrantes firmada.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Guía: se recoge sin marcas — queda lista para el siguiente grupo o sesión.</w:t>
      </w:r>
      <w:r/>
    </w:p>
    <w:p>
      <w:pPr>
        <w:pStyle w:val="895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Rúbrica de Evaluación (documento aparte): completarla el docente con base en ambas Hojas de Trabajo antes de la siguiente sesión.</w:t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Preparación para el Reto 2 (mientras el grupo completa sus hojas)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1. Restaurar Kit 2 a MODO_STUXNET (config.h → MODO_STUXNET, 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ENSOR_ACTIVO=0, Upload). 2. Broker: ejecutar activar_stuxnet.bat. 3. Invertir los roles: Grupo 1 será Blue Team, Grupo 2 será Red Team en el Reto 2. 4. Distribuir la Guía y las Hojas de Trabajo del Reto 2 (Red y Blue, según el rol invertido de cada grupo).</w:t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Bitácora para el artículo IEEE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grupo encontró la bandera sin intervención del docente? ☐ Sí ☐ No. ¿El payload JSON fue visible sin problemas? ☐ Sí ☐ No. ¿El Upload completó sin errores? ☐ Sí ☐ No. Tiempo real Red Team: ___ min. Tiempo real Blue Te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am: ___ min. Intervenciones del docente: ___ (Red) + ___ (Blue). ¿El ejemplo resuelto y las analogías redujeron las intervenciones frente a sesiones previas? ☐ Sí ☐ No ☐ No aplica (primera sesión). Observación pedagógica relevante: ________________________</w:t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1468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Guión Docente — Reto 1 — ajustado 10°-11°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 w:default="1">
    <w:name w:val="Normal"/>
    <w:qFormat/>
    <w:pPr>
      <w:pBdr/>
      <w:spacing/>
      <w:ind/>
    </w:pPr>
  </w:style>
  <w:style w:type="paragraph" w:styleId="841">
    <w:name w:val="Heading 7"/>
    <w:basedOn w:val="840"/>
    <w:next w:val="840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40"/>
    <w:next w:val="840"/>
    <w:link w:val="8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40"/>
    <w:next w:val="840"/>
    <w:link w:val="8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numbering" w:styleId="845" w:default="1">
    <w:name w:val="No List"/>
    <w:uiPriority w:val="99"/>
    <w:semiHidden/>
    <w:unhideWhenUsed/>
    <w:pPr>
      <w:pBdr/>
      <w:spacing/>
      <w:ind/>
    </w:pPr>
  </w:style>
  <w:style w:type="character" w:styleId="846">
    <w:name w:val="Heading 1 Char"/>
    <w:basedOn w:val="844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7">
    <w:name w:val="Heading 2 Char"/>
    <w:basedOn w:val="84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8">
    <w:name w:val="Heading 3 Char"/>
    <w:basedOn w:val="844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9">
    <w:name w:val="Heading 4 Char"/>
    <w:basedOn w:val="844"/>
    <w:link w:val="8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0">
    <w:name w:val="Heading 5 Char"/>
    <w:basedOn w:val="84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1">
    <w:name w:val="Heading 6 Char"/>
    <w:basedOn w:val="84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2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3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Title Char"/>
    <w:basedOn w:val="844"/>
    <w:link w:val="8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40"/>
    <w:next w:val="840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40"/>
    <w:next w:val="840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40"/>
    <w:next w:val="840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40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40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40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40"/>
    <w:next w:val="8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4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40"/>
    <w:next w:val="840"/>
    <w:uiPriority w:val="39"/>
    <w:unhideWhenUsed/>
    <w:pPr>
      <w:pBdr/>
      <w:spacing w:after="100"/>
      <w:ind/>
    </w:pPr>
  </w:style>
  <w:style w:type="paragraph" w:styleId="876">
    <w:name w:val="toc 2"/>
    <w:basedOn w:val="840"/>
    <w:next w:val="840"/>
    <w:uiPriority w:val="39"/>
    <w:unhideWhenUsed/>
    <w:pPr>
      <w:pBdr/>
      <w:spacing w:after="100"/>
      <w:ind w:left="220"/>
    </w:pPr>
  </w:style>
  <w:style w:type="paragraph" w:styleId="877">
    <w:name w:val="toc 3"/>
    <w:basedOn w:val="840"/>
    <w:next w:val="840"/>
    <w:uiPriority w:val="39"/>
    <w:unhideWhenUsed/>
    <w:pPr>
      <w:pBdr/>
      <w:spacing w:after="100"/>
      <w:ind w:left="440"/>
    </w:pPr>
  </w:style>
  <w:style w:type="paragraph" w:styleId="878">
    <w:name w:val="toc 4"/>
    <w:basedOn w:val="840"/>
    <w:next w:val="840"/>
    <w:uiPriority w:val="39"/>
    <w:unhideWhenUsed/>
    <w:pPr>
      <w:pBdr/>
      <w:spacing w:after="100"/>
      <w:ind w:left="660"/>
    </w:pPr>
  </w:style>
  <w:style w:type="paragraph" w:styleId="879">
    <w:name w:val="toc 5"/>
    <w:basedOn w:val="840"/>
    <w:next w:val="840"/>
    <w:uiPriority w:val="39"/>
    <w:unhideWhenUsed/>
    <w:pPr>
      <w:pBdr/>
      <w:spacing w:after="100"/>
      <w:ind w:left="880"/>
    </w:pPr>
  </w:style>
  <w:style w:type="paragraph" w:styleId="880">
    <w:name w:val="toc 6"/>
    <w:basedOn w:val="840"/>
    <w:next w:val="840"/>
    <w:uiPriority w:val="39"/>
    <w:unhideWhenUsed/>
    <w:pPr>
      <w:pBdr/>
      <w:spacing w:after="100"/>
      <w:ind w:left="1100"/>
    </w:pPr>
  </w:style>
  <w:style w:type="paragraph" w:styleId="881">
    <w:name w:val="toc 7"/>
    <w:basedOn w:val="840"/>
    <w:next w:val="840"/>
    <w:uiPriority w:val="39"/>
    <w:unhideWhenUsed/>
    <w:pPr>
      <w:pBdr/>
      <w:spacing w:after="100"/>
      <w:ind w:left="1320"/>
    </w:pPr>
  </w:style>
  <w:style w:type="paragraph" w:styleId="882">
    <w:name w:val="toc 8"/>
    <w:basedOn w:val="840"/>
    <w:next w:val="840"/>
    <w:uiPriority w:val="39"/>
    <w:unhideWhenUsed/>
    <w:pPr>
      <w:pBdr/>
      <w:spacing w:after="100"/>
      <w:ind w:left="1540"/>
    </w:pPr>
  </w:style>
  <w:style w:type="paragraph" w:styleId="883">
    <w:name w:val="toc 9"/>
    <w:basedOn w:val="840"/>
    <w:next w:val="840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40"/>
    <w:next w:val="840"/>
    <w:uiPriority w:val="99"/>
    <w:unhideWhenUsed/>
    <w:pPr>
      <w:pBdr/>
      <w:spacing w:after="0" w:afterAutospacing="0"/>
      <w:ind/>
    </w:pPr>
  </w:style>
  <w:style w:type="paragraph" w:styleId="887">
    <w:name w:val="Title"/>
    <w:qFormat/>
    <w:pPr>
      <w:pBdr/>
      <w:spacing/>
      <w:ind/>
    </w:pPr>
    <w:rPr>
      <w:sz w:val="56"/>
      <w:szCs w:val="56"/>
    </w:rPr>
  </w:style>
  <w:style w:type="paragraph" w:styleId="88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9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91">
    <w:name w:val="Heading 4"/>
    <w:qFormat/>
    <w:pPr>
      <w:pBdr/>
      <w:spacing/>
      <w:ind/>
    </w:pPr>
    <w:rPr>
      <w:i/>
      <w:iCs/>
      <w:color w:val="2e74b5"/>
    </w:rPr>
  </w:style>
  <w:style w:type="paragraph" w:styleId="892">
    <w:name w:val="Heading 5"/>
    <w:qFormat/>
    <w:pPr>
      <w:pBdr/>
      <w:spacing/>
      <w:ind/>
    </w:pPr>
    <w:rPr>
      <w:color w:val="2e74b5"/>
    </w:rPr>
  </w:style>
  <w:style w:type="paragraph" w:styleId="893">
    <w:name w:val="Heading 6"/>
    <w:qFormat/>
    <w:pPr>
      <w:pBdr/>
      <w:spacing/>
      <w:ind/>
    </w:pPr>
    <w:rPr>
      <w:color w:val="1f4d78"/>
    </w:rPr>
  </w:style>
  <w:style w:type="paragraph" w:styleId="894">
    <w:name w:val="Strong"/>
    <w:qFormat/>
    <w:pPr>
      <w:pBdr/>
      <w:spacing/>
      <w:ind/>
    </w:pPr>
    <w:rPr>
      <w:b/>
      <w:bCs/>
    </w:rPr>
  </w:style>
  <w:style w:type="paragraph" w:styleId="895">
    <w:name w:val="List Paragraph"/>
    <w:qFormat/>
    <w:pPr>
      <w:pBdr/>
      <w:spacing/>
      <w:ind/>
    </w:pPr>
  </w:style>
  <w:style w:type="character" w:styleId="89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8">
    <w:name w:val="footnote text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link w:val="89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link w:val="90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2026-07-11T03:51:20Z</dcterms:created>
  <dcterms:modified xsi:type="dcterms:W3CDTF">2026-07-17T23:57:23Z</dcterms:modified>
</cp:coreProperties>
</file>