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1F3864"/>
          <w:sz w:val="32"/>
          <w:szCs w:val="32"/>
        </w:rPr>
        <w:t xml:space="preserve">RETO 5 — GUIÓN DOCENTE</w:t>
      </w:r>
    </w:p>
    <w:p>
      <w:pPr>
        <w:spacing w:after="200"/>
        <w:jc w:val="center"/>
      </w:pPr>
      <w:r>
        <w:rPr>
          <w:rFonts w:ascii="Calibri" w:cs="Calibri" w:eastAsia="Calibri" w:hAnsi="Calibri"/>
          <w:i/>
          <w:iCs/>
          <w:color w:val="666666"/>
          <w:sz w:val="20"/>
          <w:szCs w:val="20"/>
        </w:rPr>
        <w:t xml:space="preserve">La Auditoría Final  |  Guión Docente v5 — ajustado 10°-11°  |  USO EXCLUSIVO DEL DOCENTE</w:t>
      </w:r>
    </w:p>
    <w:p>
      <w:pPr>
        <w:spacing w:after="120"/>
      </w:pPr>
      <w:r>
        <w:rPr>
          <w:rFonts w:ascii="Calibri" w:cs="Calibri" w:eastAsia="Calibri" w:hAnsi="Calibri"/>
          <w:b w:val="false"/>
          <w:bCs w:val="false"/>
          <w:i/>
          <w:iCs/>
          <w:color w:val="000000"/>
          <w:sz w:val="20"/>
          <w:szCs w:val="20"/>
        </w:rPr>
        <w:t xml:space="preserve">I.E. La Armonía — Sesión 2 — Cierre  |  10 estudiantes — 2 grupos de 5  |  SIN inversión de roles: hoy ambos grupos son equipos de auditoría</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60"/>
            </w:pPr>
            <w:r>
              <w:rPr>
                <w:rFonts w:ascii="Calibri" w:cs="Calibri" w:eastAsia="Calibri" w:hAnsi="Calibri"/>
                <w:b/>
                <w:bCs/>
                <w:color w:val="1F3864"/>
                <w:sz w:val="22"/>
                <w:szCs w:val="22"/>
              </w:rPr>
              <w:t xml:space="preserve">📌 Nota de origen de este documento</w:t>
            </w:r>
          </w:p>
          <w:p>
            <w:pPr>
              <w:spacing w:after="0"/>
            </w:pPr>
            <w:r>
              <w:rPr>
                <w:rFonts w:ascii="Calibri" w:cs="Calibri" w:eastAsia="Calibri" w:hAnsi="Calibri"/>
                <w:color w:val="1F3864"/>
                <w:sz w:val="21"/>
                <w:szCs w:val="21"/>
              </w:rPr>
              <w:t xml:space="preserve">Igual que los Retos 3 y 4, el Reto 5 no contaba con un paquete v4 independiente: su contenido estaba integrado en la metodología general (Fase 3). Este paquete se construyó a partir de ese contenido, con el mismo diseño de Carga Cognitiva de los retos anteriores.</w:t>
            </w:r>
          </w:p>
        </w:tc>
      </w:tr>
    </w:tbl>
    <w:p>
      <w:pPr>
        <w:spacing w:after="150"/>
      </w:pPr>
    </w:p>
    <w:p>
      <w:pPr>
        <w:pStyle w:val="Heading1"/>
        <w:spacing w:after="120" w:before="260"/>
      </w:pPr>
      <w:r>
        <w:rPr>
          <w:rFonts w:ascii="Calibri" w:cs="Calibri" w:eastAsia="Calibri" w:hAnsi="Calibri"/>
          <w:b/>
          <w:bCs/>
          <w:color w:val="1F3864"/>
        </w:rPr>
        <w:t xml:space="preserve">🧠 Continuidad pedagógica (Carga Cognitiva de Sweller) — el reto de cierre</w:t>
      </w:r>
    </w:p>
    <w:p>
      <w:pPr>
        <w:spacing w:after="120"/>
      </w:pPr>
      <w:r>
        <w:rPr>
          <w:rFonts w:ascii="Calibri" w:cs="Calibri" w:eastAsia="Calibri" w:hAnsi="Calibri"/>
          <w:b w:val="false"/>
          <w:bCs w:val="false"/>
          <w:i w:val="false"/>
          <w:iCs w:val="false"/>
          <w:color w:val="000000"/>
          <w:sz w:val="22"/>
          <w:szCs w:val="22"/>
        </w:rPr>
        <w:t xml:space="preserve">El Reto 5 NO introduce conceptos nuevos de ataque — es integración, no adquisición. Esto es intencional en términos de carga cognitiva: después de 4 retos construyendo vocabulario y procedimientos nuevos, este reto pide usar todo ese esquema ya consolidado en una tarea de orden superior (auditar, comparar, recomendar), que es más exigente en términos de carga germana pero no agrega carga intrínseca nueva. Es el momento de mayor transferencia de todo el kit.</w:t>
      </w:r>
    </w:p>
    <w:tbl>
      <w:tblPr>
        <w:tblW w:type="pct" w:w="100%"/>
        <w:tblBorders>
          <w:top w:val="single" w:color="5B3A8E" w:sz="4"/>
          <w:left w:val="single" w:color="5B3A8E" w:sz="4"/>
          <w:bottom w:val="single" w:color="5B3A8E" w:sz="4"/>
          <w:right w:val="single" w:color="5B3A8E" w:sz="4"/>
          <w:insideH w:val="single" w:color="auto" w:sz="4"/>
          <w:insideV w:val="single" w:color="auto" w:sz="4"/>
        </w:tblBorders>
      </w:tblPr>
      <w:tblGrid>
        <w:gridCol w:w="100"/>
      </w:tblGrid>
      <w:tr>
        <w:tc>
          <w:tcPr>
            <w:shd w:fill="EAE0F5" w:val="clear"/>
            <w:tcMar>
              <w:top w:type="dxa" w:w="120"/>
              <w:left w:type="dxa" w:w="160"/>
              <w:bottom w:type="dxa" w:w="120"/>
              <w:right w:type="dxa" w:w="160"/>
            </w:tcMar>
          </w:tcPr>
          <w:p>
            <w:pPr>
              <w:spacing w:after="60"/>
            </w:pPr>
            <w:r>
              <w:rPr>
                <w:rFonts w:ascii="Calibri" w:cs="Calibri" w:eastAsia="Calibri" w:hAnsi="Calibri"/>
                <w:b/>
                <w:bCs/>
                <w:color w:val="3D2A5C"/>
                <w:sz w:val="22"/>
                <w:szCs w:val="22"/>
              </w:rPr>
              <w:t xml:space="preserve">🎓 Recordatorio de rol docente</w:t>
            </w:r>
          </w:p>
          <w:p>
            <w:pPr>
              <w:spacing w:after="0"/>
            </w:pPr>
            <w:r>
              <w:rPr>
                <w:rFonts w:ascii="Calibri" w:cs="Calibri" w:eastAsia="Calibri" w:hAnsi="Calibri"/>
                <w:color w:val="3D2A5C"/>
                <w:sz w:val="21"/>
                <w:szCs w:val="21"/>
              </w:rPr>
              <w:t xml:space="preserve">Hoy NO hay Red Team ni Blue Team en el sentido de ataque/defensa — ambos grupos son equipos de auditoría, uno revisa STUXNET (Parte 1) y luego el mismo grupo (o el otro, según su logística) cierra las fallas y redacta el informe (Parte 2). No invierta roles como en retos anteriores.</w:t>
            </w:r>
          </w:p>
          <w:p>
            <w:pPr>
              <w:spacing w:after="0"/>
            </w:pPr>
            <w:r>
              <w:rPr>
                <w:rFonts w:ascii="Calibri" w:cs="Calibri" w:eastAsia="Calibri" w:hAnsi="Calibri"/>
                <w:color w:val="3D2A5C"/>
                <w:sz w:val="21"/>
                <w:szCs w:val="21"/>
              </w:rPr>
              <w:t xml:space="preserve">Resista la tentación de decirles la conclusión ("NO APTO") antes de que ellos calculen el puntaje. El valor pedagógico está en que ELLOS lleguen al número y a la recomendación con su propia suma.</w:t>
            </w:r>
          </w:p>
          <w:p>
            <w:pPr>
              <w:spacing w:after="0"/>
            </w:pPr>
            <w:r>
              <w:rPr>
                <w:rFonts w:ascii="Calibri" w:cs="Calibri" w:eastAsia="Calibri" w:hAnsi="Calibri"/>
                <w:color w:val="3D2A5C"/>
                <w:sz w:val="21"/>
                <w:szCs w:val="21"/>
              </w:rPr>
              <w:t xml:space="preserve">La plantilla de informe final es la pieza más cercana a un entregable profesional real de todo el kit — trátela con la seriedad correspondiente al cerrar la sesión.</w:t>
            </w:r>
          </w:p>
        </w:tc>
      </w:tr>
    </w:tbl>
    <w:p>
      <w:pPr>
        <w:spacing w:after="15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6750"/>
      </w:tblGrid>
      <w:tr>
        <w:trPr>
          <w:tblHeader/>
        </w:trPr>
        <w:tc>
          <w:tcPr>
            <w:tcW w:type="dxa" w:w="225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Dato</w:t>
            </w:r>
          </w:p>
        </w:tc>
        <w:tc>
          <w:tcPr>
            <w:tcW w:type="dxa" w:w="675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Valor</w:t>
            </w:r>
          </w:p>
        </w:tc>
      </w:tr>
      <w:tr>
        <w:tc>
          <w:tcPr>
            <w:tcW w:type="dxa" w:w="22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 Duración</w:t>
            </w:r>
          </w:p>
        </w:tc>
        <w:tc>
          <w:tcPr>
            <w:tcW w:type="dxa" w:w="67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70 minutos</w:t>
            </w:r>
          </w:p>
        </w:tc>
      </w:tr>
      <w:tr>
        <w:tc>
          <w:tcPr>
            <w:tcW w:type="dxa" w:w="22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 Pilar CIA</w:t>
            </w:r>
          </w:p>
        </w:tc>
        <w:tc>
          <w:tcPr>
            <w:tcW w:type="dxa" w:w="67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Tríada completa — reto de integración, no introduce pilar nuevo</w:t>
            </w:r>
          </w:p>
        </w:tc>
      </w:tr>
      <w:tr>
        <w:tc>
          <w:tcPr>
            <w:tcW w:type="dxa" w:w="22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 Vulnerabilidad</w:t>
            </w:r>
          </w:p>
        </w:tc>
        <w:tc>
          <w:tcPr>
            <w:tcW w:type="dxa" w:w="67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8 controles OWASP IoT (OI-01 a OI-08)</w:t>
            </w:r>
          </w:p>
        </w:tc>
      </w:tr>
      <w:tr>
        <w:tc>
          <w:tcPr>
            <w:tcW w:type="dxa" w:w="22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 Roles</w:t>
            </w:r>
          </w:p>
        </w:tc>
        <w:tc>
          <w:tcPr>
            <w:tcW w:type="dxa" w:w="67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Sin inversión — ambos grupos trabajan como equipos de auditoría</w:t>
            </w:r>
          </w:p>
        </w:tc>
      </w:tr>
    </w:tbl>
    <w:p>
      <w:pPr>
        <w:spacing w:after="150"/>
      </w:pPr>
    </w:p>
    <w:p>
      <w:pPr>
        <w:pStyle w:val="Heading1"/>
        <w:spacing w:after="120" w:before="260"/>
      </w:pPr>
      <w:r>
        <w:rPr>
          <w:rFonts w:ascii="Calibri" w:cs="Calibri" w:eastAsia="Calibri" w:hAnsi="Calibri"/>
          <w:b/>
          <w:bCs/>
          <w:color w:val="1F3864"/>
        </w:rPr>
        <w:t xml:space="preserve">🎯 Objetivos del Reto 5</w:t>
      </w:r>
    </w:p>
    <w:p>
      <w:pPr>
        <w:pStyle w:val="ListParagraph"/>
        <w:numPr>
          <w:ilvl w:val="0"/>
          <w:numId w:val="1"/>
        </w:numPr>
        <w:spacing w:after="80"/>
      </w:pPr>
      <w:r>
        <w:rPr>
          <w:rFonts w:ascii="Calibri" w:cs="Calibri" w:eastAsia="Calibri" w:hAnsi="Calibri"/>
          <w:color w:val="000000"/>
          <w:sz w:val="22"/>
          <w:szCs w:val="22"/>
        </w:rPr>
        <w:t xml:space="preserve">Aplicar el checklist OWASP IoT de 8 controles sobre firmware_stuxnet.bin y calcular su puntaje de riesgo.</w:t>
      </w:r>
    </w:p>
    <w:p>
      <w:pPr>
        <w:pStyle w:val="ListParagraph"/>
        <w:numPr>
          <w:ilvl w:val="0"/>
          <w:numId w:val="1"/>
        </w:numPr>
        <w:spacing w:after="80"/>
      </w:pPr>
      <w:r>
        <w:rPr>
          <w:rFonts w:ascii="Calibri" w:cs="Calibri" w:eastAsia="Calibri" w:hAnsi="Calibri"/>
          <w:color w:val="000000"/>
          <w:sz w:val="22"/>
          <w:szCs w:val="22"/>
        </w:rPr>
        <w:t xml:space="preserve">Cerrar los 5 controles de severidad ALTA cambiando a MODO_ICSCERT y recalcular el puntaje.</w:t>
      </w:r>
    </w:p>
    <w:p>
      <w:pPr>
        <w:pStyle w:val="ListParagraph"/>
        <w:numPr>
          <w:ilvl w:val="0"/>
          <w:numId w:val="1"/>
        </w:numPr>
        <w:spacing w:after="80"/>
      </w:pPr>
      <w:r>
        <w:rPr>
          <w:rFonts w:ascii="Calibri" w:cs="Calibri" w:eastAsia="Calibri" w:hAnsi="Calibri"/>
          <w:color w:val="000000"/>
          <w:sz w:val="22"/>
          <w:szCs w:val="22"/>
        </w:rPr>
        <w:t xml:space="preserve">Documentar honestamente OI-04 y OI-05 como trabajo futuro, con justificación técnica.</w:t>
      </w:r>
    </w:p>
    <w:p>
      <w:pPr>
        <w:pStyle w:val="ListParagraph"/>
        <w:numPr>
          <w:ilvl w:val="0"/>
          <w:numId w:val="1"/>
        </w:numPr>
        <w:spacing w:after="80"/>
      </w:pPr>
      <w:r>
        <w:rPr>
          <w:rFonts w:ascii="Calibri" w:cs="Calibri" w:eastAsia="Calibri" w:hAnsi="Calibri"/>
          <w:color w:val="000000"/>
          <w:sz w:val="22"/>
          <w:szCs w:val="22"/>
        </w:rPr>
        <w:t xml:space="preserve">Redactar un informe final de auditoría con hallazgos, puntaje comparado y recomendación.</w:t>
      </w:r>
    </w:p>
    <w:p>
      <w:pPr>
        <w:pStyle w:val="ListParagraph"/>
        <w:numPr>
          <w:ilvl w:val="0"/>
          <w:numId w:val="1"/>
        </w:numPr>
        <w:spacing w:after="80"/>
      </w:pPr>
      <w:r>
        <w:rPr>
          <w:rFonts w:ascii="Calibri" w:cs="Calibri" w:eastAsia="Calibri" w:hAnsi="Calibri"/>
          <w:color w:val="000000"/>
          <w:sz w:val="22"/>
          <w:szCs w:val="22"/>
        </w:rPr>
        <w:t xml:space="preserve">Transicionar del rol de atacante/defensor al rol de auditor profesional.</w:t>
      </w:r>
    </w:p>
    <w:tbl>
      <w:tblPr>
        <w:tblW w:type="pct" w:w="100%"/>
        <w:tblBorders>
          <w:top w:val="single" w:color="B36B00" w:sz="4"/>
          <w:left w:val="single" w:color="B36B00" w:sz="4"/>
          <w:bottom w:val="single" w:color="B36B00" w:sz="4"/>
          <w:right w:val="single" w:color="B36B00" w:sz="4"/>
          <w:insideH w:val="single" w:color="auto" w:sz="4"/>
          <w:insideV w:val="single" w:color="auto" w:sz="4"/>
        </w:tblBorders>
      </w:tblPr>
      <w:tblGrid>
        <w:gridCol w:w="100"/>
      </w:tblGrid>
      <w:tr>
        <w:tc>
          <w:tcPr>
            <w:shd w:fill="FCE9CC" w:val="clear"/>
            <w:tcMar>
              <w:top w:type="dxa" w:w="120"/>
              <w:left w:type="dxa" w:w="160"/>
              <w:bottom w:type="dxa" w:w="120"/>
              <w:right w:type="dxa" w:w="160"/>
            </w:tcMar>
          </w:tcPr>
          <w:p>
            <w:pPr>
              <w:spacing w:after="60"/>
            </w:pPr>
            <w:r>
              <w:rPr>
                <w:rFonts w:ascii="Calibri" w:cs="Calibri" w:eastAsia="Calibri" w:hAnsi="Calibri"/>
                <w:b/>
                <w:bCs/>
                <w:color w:val="5C3A00"/>
                <w:sz w:val="22"/>
                <w:szCs w:val="22"/>
              </w:rPr>
              <w:t xml:space="preserve">Punto pedagógico central</w:t>
            </w:r>
          </w:p>
          <w:p>
            <w:pPr>
              <w:spacing w:after="0"/>
            </w:pPr>
            <w:r>
              <w:rPr>
                <w:rFonts w:ascii="Calibri" w:cs="Calibri" w:eastAsia="Calibri" w:hAnsi="Calibri"/>
                <w:color w:val="5C3A00"/>
                <w:sz w:val="21"/>
                <w:szCs w:val="21"/>
              </w:rPr>
              <w:t xml:space="preserve">El valor de una auditoría no está en encontrar fallas — está en documentarlas con evidencia reproducible y emitir una recomendación que otro profesional pueda verificar. "El sistema es inseguro" sin evidencia no tiene valor; "OI-03 falla porque el payload capturado en Wireshark en el minuto 4:32 muestra {accion: avanzar} en texto plano" es evidencia forense.</w:t>
            </w:r>
          </w:p>
        </w:tc>
      </w:tr>
    </w:tbl>
    <w:p>
      <w:pPr>
        <w:spacing w:after="150"/>
      </w:pPr>
    </w:p>
    <w:p>
      <w:pPr>
        <w:pStyle w:val="Heading1"/>
        <w:spacing w:after="120" w:before="260"/>
      </w:pPr>
      <w:r>
        <w:rPr>
          <w:rFonts w:ascii="Calibri" w:cs="Calibri" w:eastAsia="Calibri" w:hAnsi="Calibri"/>
          <w:b/>
          <w:bCs/>
          <w:color w:val="1F3864"/>
        </w:rPr>
        <w:t xml:space="preserve">⏱ Cronograma general de los 70 minutos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6300"/>
      </w:tblGrid>
      <w:tr>
        <w:trPr>
          <w:tblHeader/>
        </w:trPr>
        <w:tc>
          <w:tcPr>
            <w:tcW w:type="dxa" w:w="27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Bloque</w:t>
            </w:r>
          </w:p>
        </w:tc>
        <w:tc>
          <w:tcPr>
            <w:tcW w:type="dxa" w:w="63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Actividad</w:t>
            </w:r>
          </w:p>
        </w:tc>
      </w:tr>
      <w:tr>
        <w:tc>
          <w:tcPr>
            <w:tcW w:type="dxa" w:w="27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0:00–5:00</w:t>
            </w:r>
          </w:p>
        </w:tc>
        <w:tc>
          <w:tcPr>
            <w:tcW w:type="dxa" w:w="63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Apertura — historia del informe que decide todo + tabla "de atacante a auditor" + sistema de puntaje de riesgo</w:t>
            </w:r>
          </w:p>
        </w:tc>
      </w:tr>
      <w:tr>
        <w:tc>
          <w:tcPr>
            <w:tcW w:type="dxa" w:w="27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5:00–30:00</w:t>
            </w:r>
          </w:p>
        </w:tc>
        <w:tc>
          <w:tcPr>
            <w:tcW w:type="dxa" w:w="63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Equipo de auditoría revisa firmware_stuxnet.bin (4 pasos) — ambos grupos trabajan en paralelo, cada uno con su propio robot/estación</w:t>
            </w:r>
          </w:p>
        </w:tc>
      </w:tr>
      <w:tr>
        <w:tc>
          <w:tcPr>
            <w:tcW w:type="dxa" w:w="27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30:00–33:00</w:t>
            </w:r>
          </w:p>
        </w:tc>
        <w:tc>
          <w:tcPr>
            <w:tcW w:type="dxa" w:w="63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Transición — cada grupo entrega su checklist completo y puntaje de STUXNET</w:t>
            </w:r>
          </w:p>
        </w:tc>
      </w:tr>
      <w:tr>
        <w:tc>
          <w:tcPr>
            <w:tcW w:type="dxa" w:w="27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33:00–66:00</w:t>
            </w:r>
          </w:p>
        </w:tc>
        <w:tc>
          <w:tcPr>
            <w:tcW w:type="dxa" w:w="63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Equipo de remediación cierra las 5 ALTA, documenta trabajo futuro, recalcula puntaje y redacta el informe final (BT-1 a BT-6)</w:t>
            </w:r>
          </w:p>
        </w:tc>
      </w:tr>
      <w:tr>
        <w:tc>
          <w:tcPr>
            <w:tcW w:type="dxa" w:w="27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66:00–70:00</w:t>
            </w:r>
          </w:p>
        </w:tc>
        <w:tc>
          <w:tcPr>
            <w:tcW w:type="dxa" w:w="63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Plenaria de cierre — presentación breve de conclusiones + repaso activo de los 5 retos + cierre del kit</w:t>
            </w:r>
          </w:p>
        </w:tc>
      </w:tr>
    </w:tbl>
    <w:p>
      <w:pPr>
        <w:spacing w:after="120"/>
      </w:pPr>
      <w:r>
        <w:rPr>
          <w:rFonts w:ascii="Calibri" w:cs="Calibri" w:eastAsia="Calibri" w:hAnsi="Calibri"/>
          <w:b w:val="false"/>
          <w:bCs w:val="false"/>
          <w:i/>
          <w:iCs/>
          <w:color w:val="666666"/>
          <w:sz w:val="20"/>
          <w:szCs w:val="20"/>
        </w:rPr>
        <w:t xml:space="preserve">Nota: a diferencia de los retos anteriores, aquí NO hay Red Team observando mientras Blue Team trabaja (y viceversa) — ambos grupos hacen la Parte 1 y luego la Parte 2 EN PARALELO, cada uno con su propio robot. Si solo hay un robot disponible, alterne: mientras un grupo hace la Parte 1, el otro repasa el checklist teóricamente con la Guía, y luego cambian.</w:t>
      </w:r>
    </w:p>
    <w:p>
      <w:pPr>
        <w:spacing w:after="150"/>
      </w:pPr>
    </w:p>
    <w:p>
      <w:pPr>
        <w:pStyle w:val="Heading1"/>
        <w:spacing w:after="120" w:before="260"/>
      </w:pPr>
      <w:r>
        <w:rPr>
          <w:rFonts w:ascii="Calibri" w:cs="Calibri" w:eastAsia="Calibri" w:hAnsi="Calibri"/>
          <w:b/>
          <w:bCs/>
          <w:color w:val="1F3864"/>
        </w:rPr>
        <w:t xml:space="preserve">SECCIÓN A — PREPARACIÓN DEL DOCENTE (antes de la sesión)</w:t>
      </w:r>
    </w:p>
    <w:p>
      <w:pPr>
        <w:pStyle w:val="Heading2"/>
        <w:spacing w:after="120" w:before="260"/>
      </w:pPr>
      <w:r>
        <w:rPr>
          <w:rFonts w:ascii="Calibri" w:cs="Calibri" w:eastAsia="Calibri" w:hAnsi="Calibri"/>
          <w:b/>
          <w:bCs/>
          <w:color w:val="1F3864"/>
        </w:rPr>
        <w:t xml:space="preserve">A.1 — Verificar y restaurar el sistema</w:t>
      </w:r>
    </w:p>
    <w:p>
      <w:pPr>
        <w:pStyle w:val="ListParagraph"/>
        <w:numPr>
          <w:ilvl w:val="0"/>
          <w:numId w:val="1"/>
        </w:numPr>
        <w:spacing w:after="80"/>
      </w:pPr>
      <w:r>
        <w:rPr>
          <w:rFonts w:ascii="Calibri" w:cs="Calibri" w:eastAsia="Calibri" w:hAnsi="Calibri"/>
          <w:color w:val="000000"/>
          <w:sz w:val="22"/>
          <w:szCs w:val="22"/>
        </w:rPr>
        <w:t xml:space="preserve">config.h: MODO_STUXNET activo.</w:t>
      </w:r>
    </w:p>
    <w:p>
      <w:pPr>
        <w:pStyle w:val="ListParagraph"/>
        <w:numPr>
          <w:ilvl w:val="0"/>
          <w:numId w:val="1"/>
        </w:numPr>
        <w:spacing w:after="80"/>
      </w:pPr>
      <w:r>
        <w:rPr>
          <w:rFonts w:ascii="Calibri" w:cs="Calibri" w:eastAsia="Calibri" w:hAnsi="Calibri"/>
          <w:color w:val="000000"/>
          <w:sz w:val="22"/>
          <w:szCs w:val="22"/>
        </w:rPr>
        <w:t xml:space="preserve">CAMARA_ACTIVA: cambiar a 1 — es indispensable para verificar OI-02 y OI-06 (stream sin autenticación). Recuerde volver a 0 al finalizar la sesión si no lo necesita para otra actividad.</w:t>
      </w:r>
    </w:p>
    <w:p>
      <w:pPr>
        <w:pStyle w:val="ListParagraph"/>
        <w:numPr>
          <w:ilvl w:val="0"/>
          <w:numId w:val="1"/>
        </w:numPr>
        <w:spacing w:after="80"/>
      </w:pPr>
      <w:r>
        <w:rPr>
          <w:rFonts w:ascii="Calibri" w:cs="Calibri" w:eastAsia="Calibri" w:hAnsi="Calibri"/>
          <w:color w:val="000000"/>
          <w:sz w:val="22"/>
          <w:szCs w:val="22"/>
        </w:rPr>
        <w:t xml:space="preserve">SENSOR_ACTIVO: puede quedar en 0 o 1, no afecta este reto.</w:t>
      </w:r>
    </w:p>
    <w:p>
      <w:pPr>
        <w:pStyle w:val="ListParagraph"/>
        <w:numPr>
          <w:ilvl w:val="0"/>
          <w:numId w:val="1"/>
        </w:numPr>
        <w:spacing w:after="80"/>
      </w:pPr>
      <w:r>
        <w:rPr>
          <w:rFonts w:ascii="Calibri" w:cs="Calibri" w:eastAsia="Calibri" w:hAnsi="Calibri"/>
          <w:color w:val="000000"/>
          <w:sz w:val="22"/>
          <w:szCs w:val="22"/>
        </w:rPr>
        <w:t xml:space="preserve">OLED Kit rojo: STUXNET / MQTT:OK / P:1883 RL:OFF.</w:t>
      </w:r>
    </w:p>
    <w:p>
      <w:pPr>
        <w:pStyle w:val="ListParagraph"/>
        <w:numPr>
          <w:ilvl w:val="0"/>
          <w:numId w:val="1"/>
        </w:numPr>
        <w:spacing w:after="80"/>
      </w:pPr>
      <w:r>
        <w:rPr>
          <w:rFonts w:ascii="Calibri" w:cs="Calibri" w:eastAsia="Calibri" w:hAnsi="Calibri"/>
          <w:color w:val="000000"/>
          <w:sz w:val="22"/>
          <w:szCs w:val="22"/>
        </w:rPr>
        <w:t xml:space="preserve">Broker STUXNET activo (activar_stuxnet.bat).</w:t>
      </w:r>
    </w:p>
    <w:p>
      <w:pPr>
        <w:pStyle w:val="ListParagraph"/>
        <w:numPr>
          <w:ilvl w:val="0"/>
          <w:numId w:val="1"/>
        </w:numPr>
        <w:spacing w:after="80"/>
      </w:pPr>
      <w:r>
        <w:rPr>
          <w:rFonts w:ascii="Calibri" w:cs="Calibri" w:eastAsia="Calibri" w:hAnsi="Calibri"/>
          <w:color w:val="000000"/>
          <w:sz w:val="22"/>
          <w:szCs w:val="22"/>
        </w:rPr>
        <w:t xml:space="preserve">Restaurar contraseña y SSID del router a los valores estándar del kit (robot2025 / Robot-Lab-01 visible), si se modificaron en el Reto 3.</w:t>
      </w:r>
    </w:p>
    <w:p>
      <w:pPr>
        <w:pStyle w:val="ListParagraph"/>
        <w:numPr>
          <w:ilvl w:val="0"/>
          <w:numId w:val="1"/>
        </w:numPr>
        <w:spacing w:after="80"/>
      </w:pPr>
      <w:r>
        <w:rPr>
          <w:rFonts w:ascii="Calibri" w:cs="Calibri" w:eastAsia="Calibri" w:hAnsi="Calibri"/>
          <w:color w:val="000000"/>
          <w:sz w:val="22"/>
          <w:szCs w:val="22"/>
        </w:rPr>
        <w:t xml:space="preserve">Verificar que ambos computadores tienen Wireshark, MQTT Explorer y el script flood_reto4.py disponibles (se reutilizan hoy).</w:t>
      </w:r>
    </w:p>
    <w:tbl>
      <w:tblPr>
        <w:tblW w:type="pct" w:w="100%"/>
        <w:tblBorders>
          <w:top w:val="single" w:color="B36B00" w:sz="4"/>
          <w:left w:val="single" w:color="B36B00" w:sz="4"/>
          <w:bottom w:val="single" w:color="B36B00" w:sz="4"/>
          <w:right w:val="single" w:color="B36B00" w:sz="4"/>
          <w:insideH w:val="single" w:color="auto" w:sz="4"/>
          <w:insideV w:val="single" w:color="auto" w:sz="4"/>
        </w:tblBorders>
      </w:tblPr>
      <w:tblGrid>
        <w:gridCol w:w="100"/>
      </w:tblGrid>
      <w:tr>
        <w:tc>
          <w:tcPr>
            <w:shd w:fill="FCE9CC" w:val="clear"/>
            <w:tcMar>
              <w:top w:type="dxa" w:w="120"/>
              <w:left w:type="dxa" w:w="160"/>
              <w:bottom w:type="dxa" w:w="120"/>
              <w:right w:type="dxa" w:w="160"/>
            </w:tcMar>
          </w:tcPr>
          <w:p>
            <w:pPr>
              <w:spacing w:after="60"/>
            </w:pPr>
            <w:r>
              <w:rPr>
                <w:rFonts w:ascii="Calibri" w:cs="Calibri" w:eastAsia="Calibri" w:hAnsi="Calibri"/>
                <w:b/>
                <w:bCs/>
                <w:color w:val="5C3A00"/>
                <w:sz w:val="22"/>
                <w:szCs w:val="22"/>
              </w:rPr>
              <w:t xml:space="preserve">🔒 Nota de privacidad sobre el stream de la cámara</w:t>
            </w:r>
          </w:p>
          <w:p>
            <w:pPr>
              <w:spacing w:after="0"/>
            </w:pPr>
            <w:r>
              <w:rPr>
                <w:rFonts w:ascii="Calibri" w:cs="Calibri" w:eastAsia="Calibri" w:hAnsi="Calibri"/>
                <w:color w:val="5C3A00"/>
                <w:sz w:val="21"/>
                <w:szCs w:val="21"/>
              </w:rPr>
              <w:t xml:space="preserve">Al activar CAMARA_ACTIVA=1, cualquier persona en la red puede ver el video en vivo del laboratorio mientras dure el reto. Verifique que el encuadre de la cámara muestre solo el robot y la mesa de trabajo, no rostros de estudiantes, antes de comenzar. Esto es, además, una buena oportunidad para mencionar el control OI-06 (protección de datos sensibles) como algo con consecuencias reales, no solo teóricas.</w:t>
            </w:r>
          </w:p>
        </w:tc>
      </w:tr>
    </w:tbl>
    <w:p>
      <w:pPr>
        <w:spacing w:after="150"/>
      </w:pPr>
    </w:p>
    <w:p>
      <w:pPr>
        <w:pStyle w:val="Heading2"/>
        <w:spacing w:after="120" w:before="260"/>
      </w:pPr>
      <w:r>
        <w:rPr>
          <w:rFonts w:ascii="Calibri" w:cs="Calibri" w:eastAsia="Calibri" w:hAnsi="Calibri"/>
          <w:b/>
          <w:bCs/>
          <w:color w:val="1F3864"/>
        </w:rPr>
        <w:t xml:space="preserve">A.2 — Materiales específicos del Reto 5</w:t>
      </w:r>
    </w:p>
    <w:p>
      <w:pPr>
        <w:pStyle w:val="ListParagraph"/>
        <w:numPr>
          <w:ilvl w:val="0"/>
          <w:numId w:val="1"/>
        </w:numPr>
        <w:spacing w:after="80"/>
      </w:pPr>
      <w:r>
        <w:rPr>
          <w:rFonts w:ascii="Calibri" w:cs="Calibri" w:eastAsia="Calibri" w:hAnsi="Calibri"/>
          <w:color w:val="000000"/>
          <w:sz w:val="22"/>
          <w:szCs w:val="22"/>
        </w:rPr>
        <w:t xml:space="preserve">1 Guía del Reto 5 impresa (v5, con checklist, sistema de puntaje e imágenes) — reutilizable, compartida entre ambos grupos.</w:t>
      </w:r>
    </w:p>
    <w:p>
      <w:pPr>
        <w:pStyle w:val="ListParagraph"/>
        <w:numPr>
          <w:ilvl w:val="0"/>
          <w:numId w:val="1"/>
        </w:numPr>
        <w:spacing w:after="80"/>
      </w:pPr>
      <w:r>
        <w:rPr>
          <w:rFonts w:ascii="Calibri" w:cs="Calibri" w:eastAsia="Calibri" w:hAnsi="Calibri"/>
          <w:color w:val="000000"/>
          <w:sz w:val="22"/>
          <w:szCs w:val="22"/>
        </w:rPr>
        <w:t xml:space="preserve">2 Hojas de Trabajo — Equipo de Auditoría impresas (v5).</w:t>
      </w:r>
    </w:p>
    <w:p>
      <w:pPr>
        <w:pStyle w:val="ListParagraph"/>
        <w:numPr>
          <w:ilvl w:val="0"/>
          <w:numId w:val="1"/>
        </w:numPr>
        <w:spacing w:after="80"/>
      </w:pPr>
      <w:r>
        <w:rPr>
          <w:rFonts w:ascii="Calibri" w:cs="Calibri" w:eastAsia="Calibri" w:hAnsi="Calibri"/>
          <w:color w:val="000000"/>
          <w:sz w:val="22"/>
          <w:szCs w:val="22"/>
        </w:rPr>
        <w:t xml:space="preserve">2 Hojas de Trabajo — Equipo de Remediación impresas (v5, con la plantilla de informe final).</w:t>
      </w:r>
    </w:p>
    <w:p>
      <w:pPr>
        <w:pStyle w:val="ListParagraph"/>
        <w:numPr>
          <w:ilvl w:val="0"/>
          <w:numId w:val="1"/>
        </w:numPr>
        <w:spacing w:after="80"/>
      </w:pPr>
      <w:r>
        <w:rPr>
          <w:rFonts w:ascii="Calibri" w:cs="Calibri" w:eastAsia="Calibri" w:hAnsi="Calibri"/>
          <w:color w:val="000000"/>
          <w:sz w:val="22"/>
          <w:szCs w:val="22"/>
        </w:rPr>
        <w:t xml:space="preserve">Si es posible, 2 robots/estaciones completas para que ambos grupos trabajen en paralelo sin esperar.</w:t>
      </w:r>
    </w:p>
    <w:p>
      <w:pPr>
        <w:spacing w:after="150"/>
      </w:pPr>
    </w:p>
    <w:p>
      <w:pPr>
        <w:pStyle w:val="Heading1"/>
        <w:spacing w:after="120" w:before="260"/>
      </w:pPr>
      <w:r>
        <w:rPr>
          <w:rFonts w:ascii="Calibri" w:cs="Calibri" w:eastAsia="Calibri" w:hAnsi="Calibri"/>
          <w:b/>
          <w:bCs/>
          <w:color w:val="1F3864"/>
        </w:rPr>
        <w:t xml:space="preserve">SECCIÓN B — APERTURA (0:00 a 5:00)</w:t>
      </w:r>
    </w:p>
    <w:p>
      <w:pPr>
        <w:pStyle w:val="Heading2"/>
        <w:spacing w:after="120" w:before="260"/>
      </w:pPr>
      <w:r>
        <w:rPr>
          <w:rFonts w:ascii="Calibri" w:cs="Calibri" w:eastAsia="Calibri" w:hAnsi="Calibri"/>
          <w:b/>
          <w:bCs/>
          <w:color w:val="1F3864"/>
        </w:rPr>
        <w:t xml:space="preserve">Minuto 0:00 — Historia del informe que decide todo (2 min)</w:t>
      </w:r>
    </w:p>
    <w:p>
      <w:pPr>
        <w:spacing w:after="120"/>
      </w:pPr>
      <w:r>
        <w:rPr>
          <w:rFonts w:ascii="Calibri" w:cs="Calibri" w:eastAsia="Calibri" w:hAnsi="Calibri"/>
          <w:b w:val="false"/>
          <w:bCs w:val="false"/>
          <w:i w:val="false"/>
          <w:iCs w:val="false"/>
          <w:color w:val="000000"/>
          <w:sz w:val="22"/>
          <w:szCs w:val="22"/>
        </w:rPr>
        <w:t xml:space="preserve">Leer la historia de la Guía en voz alta. Preguntar: "¿Hoy van a buscar una bandera escondida?" Confirmar: NO. "¿Entonces qué van a producir al final del reto?" Guiar hacia: un informe con una recomendación.</w:t>
      </w:r>
    </w:p>
    <w:p>
      <w:pPr>
        <w:pStyle w:val="Heading2"/>
        <w:spacing w:after="120" w:before="260"/>
      </w:pPr>
      <w:r>
        <w:rPr>
          <w:rFonts w:ascii="Calibri" w:cs="Calibri" w:eastAsia="Calibri" w:hAnsi="Calibri"/>
          <w:b/>
          <w:bCs/>
          <w:color w:val="1F3864"/>
        </w:rPr>
        <w:t xml:space="preserve">Minuto 2:00 — Tabla "de atacante a auditor" + sistema de puntaje (3 min)</w:t>
      </w:r>
    </w:p>
    <w:tbl>
      <w:tblPr>
        <w:tblW w:type="pct" w:w="100%"/>
        <w:tblBorders>
          <w:top w:val="single" w:color="5B3A8E" w:sz="4"/>
          <w:left w:val="single" w:color="5B3A8E" w:sz="4"/>
          <w:bottom w:val="single" w:color="5B3A8E" w:sz="4"/>
          <w:right w:val="single" w:color="5B3A8E" w:sz="4"/>
          <w:insideH w:val="single" w:color="auto" w:sz="4"/>
          <w:insideV w:val="single" w:color="auto" w:sz="4"/>
        </w:tblBorders>
      </w:tblPr>
      <w:tblGrid>
        <w:gridCol w:w="100"/>
      </w:tblGrid>
      <w:tr>
        <w:tc>
          <w:tcPr>
            <w:shd w:fill="EAE0F5" w:val="clear"/>
            <w:tcMar>
              <w:top w:type="dxa" w:w="120"/>
              <w:left w:type="dxa" w:w="160"/>
              <w:bottom w:type="dxa" w:w="120"/>
              <w:right w:type="dxa" w:w="160"/>
            </w:tcMar>
          </w:tcPr>
          <w:p>
            <w:pPr>
              <w:spacing w:after="60"/>
            </w:pPr>
            <w:r>
              <w:rPr>
                <w:rFonts w:ascii="Calibri" w:cs="Calibri" w:eastAsia="Calibri" w:hAnsi="Calibri"/>
                <w:b/>
                <w:bCs/>
                <w:color w:val="3D2A5C"/>
                <w:sz w:val="22"/>
                <w:szCs w:val="22"/>
              </w:rPr>
              <w:t xml:space="preserve">🆕 Paso de transición de rol (v5)</w:t>
            </w:r>
          </w:p>
          <w:p>
            <w:pPr>
              <w:spacing w:after="0"/>
            </w:pPr>
            <w:r>
              <w:rPr>
                <w:rFonts w:ascii="Calibri" w:cs="Calibri" w:eastAsia="Calibri" w:hAnsi="Calibri"/>
                <w:color w:val="3D2A5C"/>
                <w:sz w:val="21"/>
                <w:szCs w:val="21"/>
              </w:rPr>
              <w:t xml:space="preserve">Pedir a un estudiante que lea en voz alta la tabla "Hoy cambia su rol" de la Guía.</w:t>
            </w:r>
          </w:p>
          <w:p>
            <w:pPr>
              <w:spacing w:after="0"/>
            </w:pPr>
            <w:r>
              <w:rPr>
                <w:rFonts w:ascii="Calibri" w:cs="Calibri" w:eastAsia="Calibri" w:hAnsi="Calibri"/>
                <w:color w:val="3D2A5C"/>
                <w:sz w:val="21"/>
                <w:szCs w:val="21"/>
              </w:rPr>
              <w:t xml:space="preserve">Explicar brevemente el sistema de puntaje de riesgo (ALTA=3, MEDIA=2, BAJA=1) usando la analogía del semáforo — no es necesario memorizarlo, la Guía lo tiene de referencia.</w:t>
            </w:r>
          </w:p>
          <w:p>
            <w:pPr>
              <w:spacing w:after="0"/>
            </w:pPr>
            <w:r>
              <w:rPr>
                <w:rFonts w:ascii="Calibri" w:cs="Calibri" w:eastAsia="Calibri" w:hAnsi="Calibri"/>
                <w:color w:val="3D2A5C"/>
                <w:sz w:val="21"/>
                <w:szCs w:val="21"/>
              </w:rPr>
              <w:t xml:space="preserve">Leer el aviso ético en voz alta. NO omitirlo.</w:t>
            </w:r>
          </w:p>
        </w:tc>
      </w:tr>
    </w:tbl>
    <w:p>
      <w:pPr>
        <w:spacing w:after="150"/>
      </w:pPr>
    </w:p>
    <w:p>
      <w:pPr>
        <w:pStyle w:val="Heading1"/>
        <w:spacing w:after="120" w:before="260"/>
      </w:pPr>
      <w:r>
        <w:rPr>
          <w:rFonts w:ascii="Calibri" w:cs="Calibri" w:eastAsia="Calibri" w:hAnsi="Calibri"/>
          <w:b/>
          <w:bCs/>
          <w:color w:val="9C2B2B"/>
        </w:rPr>
        <w:t xml:space="preserve">SECCIÓN C — EQUIPO DE AUDITORÍA: GUIÓN DEL DOCENTE (5:00 a 30:00)</w:t>
      </w:r>
    </w:p>
    <w:p>
      <w:pPr>
        <w:pStyle w:val="Heading2"/>
        <w:spacing w:after="120" w:before="260"/>
      </w:pPr>
      <w:r>
        <w:rPr>
          <w:rFonts w:ascii="Calibri" w:cs="Calibri" w:eastAsia="Calibri" w:hAnsi="Calibri"/>
          <w:b/>
          <w:bCs/>
          <w:color w:val="9C2B2B"/>
        </w:rPr>
        <w:t xml:space="preserve">Cronograma detallado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rPr>
          <w:tblHeader/>
        </w:trPr>
        <w:tc>
          <w:tcPr>
            <w:tcW w:type="dxa" w:w="18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Minuto</w:t>
            </w:r>
          </w:p>
        </w:tc>
        <w:tc>
          <w:tcPr>
            <w:tcW w:type="dxa" w:w="72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Actividad de ambos grupos</w:t>
            </w:r>
          </w:p>
        </w:tc>
      </w:tr>
      <w:tr>
        <w:tc>
          <w:tcPr>
            <w:tcW w:type="dxa" w:w="1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5:00</w:t>
            </w:r>
          </w:p>
        </w:tc>
        <w:tc>
          <w:tcPr>
            <w:tcW w:type="dxa" w:w="7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Paso 1 — reparto de los 8 controles dentro de cada grupo. Verificar MODO_STUXNET.</w:t>
            </w:r>
          </w:p>
        </w:tc>
      </w:tr>
      <w:tr>
        <w:tc>
          <w:tcPr>
            <w:tcW w:type="dxa" w:w="1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8:00</w:t>
            </w:r>
          </w:p>
        </w:tc>
        <w:tc>
          <w:tcPr>
            <w:tcW w:type="dxa" w:w="7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Paso 2 — verificación de los 5 controles ALTA (OI-01, 02, 03, 06, 07). Es el bloque más largo: circular activamente entre los grupos.</w:t>
            </w:r>
          </w:p>
        </w:tc>
      </w:tr>
      <w:tr>
        <w:tc>
          <w:tcPr>
            <w:tcW w:type="dxa" w:w="1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22:00</w:t>
            </w:r>
          </w:p>
        </w:tc>
        <w:tc>
          <w:tcPr>
            <w:tcW w:type="dxa" w:w="7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Paso 3 — verificación de OI-04, OI-05, OI-08 (preguntas al docente + inspección de código).</w:t>
            </w:r>
          </w:p>
        </w:tc>
      </w:tr>
      <w:tr>
        <w:tc>
          <w:tcPr>
            <w:tcW w:type="dxa" w:w="1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27:00</w:t>
            </w:r>
          </w:p>
        </w:tc>
        <w:tc>
          <w:tcPr>
            <w:tcW w:type="dxa" w:w="7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Paso 4 — cálculo del puntaje de riesgo de STUXNET. Verificar que la suma esté bien hecha antes de avanzar.</w:t>
            </w:r>
          </w:p>
        </w:tc>
      </w:tr>
      <w:tr>
        <w:tc>
          <w:tcPr>
            <w:tcW w:type="dxa" w:w="1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30:00</w:t>
            </w:r>
          </w:p>
        </w:tc>
        <w:tc>
          <w:tcPr>
            <w:tcW w:type="dxa" w:w="7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Transición a la Parte 2.</w:t>
            </w:r>
          </w:p>
        </w:tc>
      </w:tr>
    </w:tbl>
    <w:p>
      <w:pPr>
        <w:pStyle w:val="Heading2"/>
        <w:spacing w:after="120" w:before="260"/>
      </w:pPr>
      <w:r>
        <w:rPr>
          <w:rFonts w:ascii="Calibri" w:cs="Calibri" w:eastAsia="Calibri" w:hAnsi="Calibri"/>
          <w:b/>
          <w:bCs/>
          <w:color w:val="9C2B2B"/>
        </w:rPr>
        <w:t xml:space="preserve">Diagnóstico de errores durante la auditoría de STUXNET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29"/>
        <w:gridCol w:w="3086"/>
        <w:gridCol w:w="3086"/>
      </w:tblGrid>
      <w:tr>
        <w:trPr>
          <w:tblHeader/>
        </w:trPr>
        <w:tc>
          <w:tcPr>
            <w:tcW w:type="dxa" w:w="2829"/>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Síntoma</w:t>
            </w:r>
          </w:p>
        </w:tc>
        <w:tc>
          <w:tcPr>
            <w:tcW w:type="dxa" w:w="3086"/>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Causa probable</w:t>
            </w:r>
          </w:p>
        </w:tc>
        <w:tc>
          <w:tcPr>
            <w:tcW w:type="dxa" w:w="3086"/>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Solución</w:t>
            </w:r>
          </w:p>
        </w:tc>
      </w:tr>
      <w:tr>
        <w:tc>
          <w:tcPr>
            <w:tcW w:type="dxa" w:w="2829"/>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El stream de OI-02 no carga en absoluto</w:t>
            </w:r>
          </w:p>
        </w:tc>
        <w:tc>
          <w:tcPr>
            <w:tcW w:type="dxa" w:w="3086"/>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CAMARA_ACTIVA no está en 1</w:t>
            </w:r>
          </w:p>
        </w:tc>
        <w:tc>
          <w:tcPr>
            <w:tcW w:type="dxa" w:w="3086"/>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Verificar config.h antes de la sesión</w:t>
            </w:r>
          </w:p>
        </w:tc>
      </w:tr>
      <w:tr>
        <w:tc>
          <w:tcPr>
            <w:tcW w:type="dxa" w:w="2829"/>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El puntaje no da 20 en STUXNET</w:t>
            </w:r>
          </w:p>
        </w:tc>
        <w:tc>
          <w:tcPr>
            <w:tcW w:type="dxa" w:w="3086"/>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Algún control quedó sin marcar o mal sumado</w:t>
            </w:r>
          </w:p>
        </w:tc>
        <w:tc>
          <w:tcPr>
            <w:tcW w:type="dxa" w:w="3086"/>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Revisar fila por fila con el grupo</w:t>
            </w:r>
          </w:p>
        </w:tc>
      </w:tr>
    </w:tbl>
    <w:p>
      <w:pPr>
        <w:spacing w:after="150"/>
      </w:pPr>
    </w:p>
    <w:p>
      <w:pPr>
        <w:pStyle w:val="Heading1"/>
        <w:spacing w:after="120" w:before="260"/>
      </w:pPr>
      <w:r>
        <w:rPr>
          <w:rFonts w:ascii="Calibri" w:cs="Calibri" w:eastAsia="Calibri" w:hAnsi="Calibri"/>
          <w:b/>
          <w:bCs/>
          <w:color w:val="1F3864"/>
        </w:rPr>
        <w:t xml:space="preserve">SECCIÓN D — TRANSICIÓN (30:00 a 33:00)</w:t>
      </w:r>
    </w:p>
    <w:p>
      <w:pPr>
        <w:pStyle w:val="ListParagraph"/>
        <w:numPr>
          <w:ilvl w:val="0"/>
          <w:numId w:val="1"/>
        </w:numPr>
        <w:spacing w:after="80"/>
      </w:pPr>
      <w:r>
        <w:rPr>
          <w:rFonts w:ascii="Calibri" w:cs="Calibri" w:eastAsia="Calibri" w:hAnsi="Calibri"/>
          <w:color w:val="000000"/>
          <w:sz w:val="22"/>
          <w:szCs w:val="22"/>
        </w:rPr>
        <w:t xml:space="preserve">Verificar que ambos grupos entregaron su checklist de STUXNET completo con el puntaje calculado.</w:t>
      </w:r>
    </w:p>
    <w:p>
      <w:pPr>
        <w:pStyle w:val="ListParagraph"/>
        <w:numPr>
          <w:ilvl w:val="0"/>
          <w:numId w:val="1"/>
        </w:numPr>
        <w:spacing w:after="80"/>
      </w:pPr>
      <w:r>
        <w:rPr>
          <w:rFonts w:ascii="Calibri" w:cs="Calibri" w:eastAsia="Calibri" w:hAnsi="Calibri"/>
          <w:color w:val="000000"/>
          <w:sz w:val="22"/>
          <w:szCs w:val="22"/>
        </w:rPr>
        <w:t xml:space="preserve">'Ahora van a convertirse en el equipo de remediación: van a cerrar las fallas que ustedes mismos encontraron.'</w:t>
      </w:r>
    </w:p>
    <w:p>
      <w:pPr>
        <w:pStyle w:val="ListParagraph"/>
        <w:numPr>
          <w:ilvl w:val="0"/>
          <w:numId w:val="1"/>
        </w:numPr>
        <w:spacing w:after="80"/>
      </w:pPr>
      <w:r>
        <w:rPr>
          <w:rFonts w:ascii="Calibri" w:cs="Calibri" w:eastAsia="Calibri" w:hAnsi="Calibri"/>
          <w:color w:val="000000"/>
          <w:sz w:val="22"/>
          <w:szCs w:val="22"/>
        </w:rPr>
        <w:t xml:space="preserve">Recordar que hoy NO hay inversión de roles entre grupos — cada grupo cierra las fallas que su propio equipo encontró.</w:t>
      </w:r>
    </w:p>
    <w:p>
      <w:pPr>
        <w:spacing w:after="150"/>
      </w:pPr>
    </w:p>
    <w:p>
      <w:pPr>
        <w:pStyle w:val="Heading1"/>
        <w:spacing w:after="120" w:before="260"/>
      </w:pPr>
      <w:r>
        <w:rPr>
          <w:rFonts w:ascii="Calibri" w:cs="Calibri" w:eastAsia="Calibri" w:hAnsi="Calibri"/>
          <w:b/>
          <w:bCs/>
          <w:color w:val="1F5C99"/>
        </w:rPr>
        <w:t xml:space="preserve">SECCIÓN E — EQUIPO DE REMEDIACIÓN: GUIÓN DEL DOCENTE (33:00 a 66:00)</w:t>
      </w:r>
    </w:p>
    <w:p>
      <w:pPr>
        <w:pStyle w:val="Heading2"/>
        <w:spacing w:after="120" w:before="260"/>
      </w:pPr>
      <w:r>
        <w:rPr>
          <w:rFonts w:ascii="Calibri" w:cs="Calibri" w:eastAsia="Calibri" w:hAnsi="Calibri"/>
          <w:b/>
          <w:bCs/>
          <w:color w:val="1F5C99"/>
        </w:rPr>
        <w:t xml:space="preserve">Cronograma detallado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rPr>
          <w:tblHeader/>
        </w:trPr>
        <w:tc>
          <w:tcPr>
            <w:tcW w:type="dxa" w:w="18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Minuto</w:t>
            </w:r>
          </w:p>
        </w:tc>
        <w:tc>
          <w:tcPr>
            <w:tcW w:type="dxa" w:w="72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Actividad</w:t>
            </w:r>
          </w:p>
        </w:tc>
      </w:tr>
      <w:tr>
        <w:tc>
          <w:tcPr>
            <w:tcW w:type="dxa" w:w="1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33:00</w:t>
            </w:r>
          </w:p>
        </w:tc>
        <w:tc>
          <w:tcPr>
            <w:tcW w:type="dxa" w:w="7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BT-1 — cerrar OI-01: router + broker + firmware a MODO_ICSCERT (repaso de Retos 1-3).</w:t>
            </w:r>
          </w:p>
        </w:tc>
      </w:tr>
      <w:tr>
        <w:tc>
          <w:tcPr>
            <w:tcW w:type="dxa" w:w="1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40:00</w:t>
            </w:r>
          </w:p>
        </w:tc>
        <w:tc>
          <w:tcPr>
            <w:tcW w:type="dxa" w:w="7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BT-2 — cerrar OI-02 y OI-06: verificar que el stream ya no carga.</w:t>
            </w:r>
          </w:p>
        </w:tc>
      </w:tr>
      <w:tr>
        <w:tc>
          <w:tcPr>
            <w:tcW w:type="dxa" w:w="1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44:00</w:t>
            </w:r>
          </w:p>
        </w:tc>
        <w:tc>
          <w:tcPr>
            <w:tcW w:type="dxa" w:w="7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BT-3 — cerrar OI-03: verificar con Wireshark que el tráfico está cifrado.</w:t>
            </w:r>
          </w:p>
        </w:tc>
      </w:tr>
      <w:tr>
        <w:tc>
          <w:tcPr>
            <w:tcW w:type="dxa" w:w="1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48:00</w:t>
            </w:r>
          </w:p>
        </w:tc>
        <w:tc>
          <w:tcPr>
            <w:tcW w:type="dxa" w:w="7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BT-4 — cerrar OI-07: flood + comando simultáneo (repaso del Reto 4).</w:t>
            </w:r>
          </w:p>
        </w:tc>
      </w:tr>
      <w:tr>
        <w:tc>
          <w:tcPr>
            <w:tcW w:type="dxa" w:w="1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54:00</w:t>
            </w:r>
          </w:p>
        </w:tc>
        <w:tc>
          <w:tcPr>
            <w:tcW w:type="dxa" w:w="7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BT-5 — documentar OI-04 y OI-05 como trabajo futuro, con justificación técnica honesta.</w:t>
            </w:r>
          </w:p>
        </w:tc>
      </w:tr>
      <w:tr>
        <w:tc>
          <w:tcPr>
            <w:tcW w:type="dxa" w:w="1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58:00</w:t>
            </w:r>
          </w:p>
        </w:tc>
        <w:tc>
          <w:tcPr>
            <w:tcW w:type="dxa" w:w="7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BT-6 — recalcular puntaje de ICSCERT y completar la plantilla de informe final (Sección 6 de su Hoja).</w:t>
            </w:r>
          </w:p>
        </w:tc>
      </w:tr>
      <w:tr>
        <w:tc>
          <w:tcPr>
            <w:tcW w:type="dxa" w:w="1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66:00</w:t>
            </w:r>
          </w:p>
        </w:tc>
        <w:tc>
          <w:tcPr>
            <w:tcW w:type="dxa" w:w="7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Transición a la plenaria.</w:t>
            </w:r>
          </w:p>
        </w:tc>
      </w:tr>
    </w:tbl>
    <w:tbl>
      <w:tblPr>
        <w:tblW w:type="pct" w:w="100%"/>
        <w:tblBorders>
          <w:top w:val="single" w:color="1F5C99" w:sz="4"/>
          <w:left w:val="single" w:color="1F5C99" w:sz="4"/>
          <w:bottom w:val="single" w:color="1F5C99" w:sz="4"/>
          <w:right w:val="single" w:color="1F5C99" w:sz="4"/>
          <w:insideH w:val="single" w:color="auto" w:sz="4"/>
          <w:insideV w:val="single" w:color="auto" w:sz="4"/>
        </w:tblBorders>
      </w:tblPr>
      <w:tblGrid>
        <w:gridCol w:w="100"/>
      </w:tblGrid>
      <w:tr>
        <w:tc>
          <w:tcPr>
            <w:shd w:fill="D9E6F5" w:val="clear"/>
            <w:tcMar>
              <w:top w:type="dxa" w:w="120"/>
              <w:left w:type="dxa" w:w="160"/>
              <w:bottom w:type="dxa" w:w="120"/>
              <w:right w:type="dxa" w:w="160"/>
            </w:tcMar>
          </w:tcPr>
          <w:p>
            <w:pPr>
              <w:spacing w:after="60"/>
            </w:pPr>
            <w:r>
              <w:rPr>
                <w:rFonts w:ascii="Calibri" w:cs="Calibri" w:eastAsia="Calibri" w:hAnsi="Calibri"/>
                <w:b/>
                <w:bCs/>
                <w:color w:val="0D2A4A"/>
                <w:sz w:val="22"/>
                <w:szCs w:val="22"/>
              </w:rPr>
              <w:t xml:space="preserve">Momento pedagógico clave — el informe honesto</w:t>
            </w:r>
          </w:p>
          <w:p>
            <w:pPr>
              <w:spacing w:after="0"/>
            </w:pPr>
            <w:r>
              <w:rPr>
                <w:rFonts w:ascii="Calibri" w:cs="Calibri" w:eastAsia="Calibri" w:hAnsi="Calibri"/>
                <w:color w:val="0D2A4A"/>
                <w:sz w:val="21"/>
                <w:szCs w:val="21"/>
              </w:rPr>
              <w:t xml:space="preserve">"Noten que OI-04 y OI-05 siguen en FALLA incluso en la versión segura. Eso no es un error del kit — es honestidad profesional. Un buen auditor no dice 'todo está perfecto' cuando no lo está; documenta lo que falta y explica por qué. Eso es lo que ustedes acaban de hacer en la Sección 3 de su Hoja."</w:t>
            </w:r>
          </w:p>
        </w:tc>
      </w:tr>
    </w:tbl>
    <w:p>
      <w:pPr>
        <w:spacing w:after="150"/>
      </w:pPr>
    </w:p>
    <w:p>
      <w:pPr>
        <w:pStyle w:val="Heading2"/>
        <w:spacing w:after="120" w:before="260"/>
      </w:pPr>
      <w:r>
        <w:rPr>
          <w:rFonts w:ascii="Calibri" w:cs="Calibri" w:eastAsia="Calibri" w:hAnsi="Calibri"/>
          <w:b/>
          <w:bCs/>
          <w:color w:val="1F5C99"/>
        </w:rPr>
        <w:t xml:space="preserve">Diagnóstico de errores durante la remediación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29"/>
        <w:gridCol w:w="3086"/>
        <w:gridCol w:w="3086"/>
      </w:tblGrid>
      <w:tr>
        <w:trPr>
          <w:tblHeader/>
        </w:trPr>
        <w:tc>
          <w:tcPr>
            <w:tcW w:type="dxa" w:w="2829"/>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Síntoma</w:t>
            </w:r>
          </w:p>
        </w:tc>
        <w:tc>
          <w:tcPr>
            <w:tcW w:type="dxa" w:w="3086"/>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Causa probable</w:t>
            </w:r>
          </w:p>
        </w:tc>
        <w:tc>
          <w:tcPr>
            <w:tcW w:type="dxa" w:w="3086"/>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Solución</w:t>
            </w:r>
          </w:p>
        </w:tc>
      </w:tr>
      <w:tr>
        <w:tc>
          <w:tcPr>
            <w:tcW w:type="dxa" w:w="2829"/>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El puntaje de ICSCERT no da 5</w:t>
            </w:r>
          </w:p>
        </w:tc>
        <w:tc>
          <w:tcPr>
            <w:tcW w:type="dxa" w:w="3086"/>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Algún control ALTA no quedó realmente en CUMPLE</w:t>
            </w:r>
          </w:p>
        </w:tc>
        <w:tc>
          <w:tcPr>
            <w:tcW w:type="dxa" w:w="3086"/>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Revisar evidencia de cada uno de los 5 antes de recalcular</w:t>
            </w:r>
          </w:p>
        </w:tc>
      </w:tr>
      <w:tr>
        <w:tc>
          <w:tcPr>
            <w:tcW w:type="dxa" w:w="2829"/>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El informe final queda muy corto</w:t>
            </w:r>
          </w:p>
        </w:tc>
        <w:tc>
          <w:tcPr>
            <w:tcW w:type="dxa" w:w="3086"/>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El grupo copia frases de la Guía sin desarrollarlas</w:t>
            </w:r>
          </w:p>
        </w:tc>
        <w:tc>
          <w:tcPr>
            <w:tcW w:type="dxa" w:w="3086"/>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Pedir que cada sección tenga al menos 2 oraciones propias</w:t>
            </w:r>
          </w:p>
        </w:tc>
      </w:tr>
    </w:tbl>
    <w:p>
      <w:pPr>
        <w:spacing w:after="150"/>
      </w:pPr>
    </w:p>
    <w:p>
      <w:pPr>
        <w:pStyle w:val="Heading1"/>
        <w:spacing w:after="120" w:before="260"/>
      </w:pPr>
      <w:r>
        <w:rPr>
          <w:rFonts w:ascii="Calibri" w:cs="Calibri" w:eastAsia="Calibri" w:hAnsi="Calibri"/>
          <w:b/>
          <w:bCs/>
          <w:color w:val="1F3864"/>
        </w:rPr>
        <w:t xml:space="preserve">SECCIÓN F — PLENARIA DE CIERRE (66:00 a 70:00)</w:t>
      </w:r>
    </w:p>
    <w:p>
      <w:pPr>
        <w:spacing w:after="120"/>
      </w:pPr>
      <w:r>
        <w:rPr>
          <w:rFonts w:ascii="Calibri" w:cs="Calibri" w:eastAsia="Calibri" w:hAnsi="Calibri"/>
          <w:b w:val="false"/>
          <w:bCs w:val="false"/>
          <w:i w:val="false"/>
          <w:iCs w:val="false"/>
          <w:color w:val="000000"/>
          <w:sz w:val="22"/>
          <w:szCs w:val="22"/>
        </w:rPr>
        <w:t xml:space="preserve">Pedir a cada grupo que lea en voz alta, en 1 minuto, el "Resumen ejecutivo" y la "Recomendación final" de su informe. Comparar los puntajes de los dos grupos (deberían ser similares: STUXNET ≈ 20, ICSCERT ≈ 5).</w:t>
      </w:r>
    </w:p>
    <w:tbl>
      <w:tblPr>
        <w:tblW w:type="pct" w:w="100%"/>
        <w:tblBorders>
          <w:top w:val="single" w:color="5B3A8E" w:sz="4"/>
          <w:left w:val="single" w:color="5B3A8E" w:sz="4"/>
          <w:bottom w:val="single" w:color="5B3A8E" w:sz="4"/>
          <w:right w:val="single" w:color="5B3A8E" w:sz="4"/>
          <w:insideH w:val="single" w:color="auto" w:sz="4"/>
          <w:insideV w:val="single" w:color="auto" w:sz="4"/>
        </w:tblBorders>
      </w:tblPr>
      <w:tblGrid>
        <w:gridCol w:w="100"/>
      </w:tblGrid>
      <w:tr>
        <w:tc>
          <w:tcPr>
            <w:shd w:fill="EAE0F5" w:val="clear"/>
            <w:tcMar>
              <w:top w:type="dxa" w:w="120"/>
              <w:left w:type="dxa" w:w="160"/>
              <w:bottom w:type="dxa" w:w="120"/>
              <w:right w:type="dxa" w:w="160"/>
            </w:tcMar>
          </w:tcPr>
          <w:p>
            <w:pPr>
              <w:spacing w:after="60"/>
            </w:pPr>
            <w:r>
              <w:rPr>
                <w:rFonts w:ascii="Calibri" w:cs="Calibri" w:eastAsia="Calibri" w:hAnsi="Calibri"/>
                <w:b/>
                <w:bCs/>
                <w:color w:val="3D2A5C"/>
                <w:sz w:val="22"/>
                <w:szCs w:val="22"/>
              </w:rPr>
              <w:t xml:space="preserve">🆕 Repaso activo final (v5) — cierre de los 5 retos</w:t>
            </w:r>
          </w:p>
          <w:p>
            <w:pPr>
              <w:spacing w:after="0"/>
            </w:pPr>
            <w:r>
              <w:rPr>
                <w:rFonts w:ascii="Calibri" w:cs="Calibri" w:eastAsia="Calibri" w:hAnsi="Calibri"/>
                <w:color w:val="3D2A5C"/>
                <w:sz w:val="21"/>
                <w:szCs w:val="21"/>
              </w:rPr>
              <w:t xml:space="preserve">"Cierren todas sus Guías. En una frase cada uno: nombren un concepto de los 5 retos que se llevan hoy." Esta pregunta cierra el ciclo completo del kit: Confidencialidad, Integridad, Disponibilidad, defensa en capas y auditoría — es la última oportunidad de consolidar el aprendizaje de las dos sesiones antes de terminar.</w:t>
            </w:r>
          </w:p>
        </w:tc>
      </w:tr>
    </w:tbl>
    <w:p>
      <w:pPr>
        <w:spacing w:after="150"/>
      </w:pPr>
    </w:p>
    <w:p>
      <w:pPr>
        <w:pStyle w:val="Heading2"/>
        <w:spacing w:after="120" w:before="260"/>
      </w:pPr>
      <w:r>
        <w:rPr>
          <w:rFonts w:ascii="Calibri" w:cs="Calibri" w:eastAsia="Calibri" w:hAnsi="Calibri"/>
          <w:b/>
          <w:bCs/>
          <w:color w:val="1F3864"/>
        </w:rPr>
        <w:t xml:space="preserve">Lista de verificación antes de recoger los documentos</w:t>
      </w:r>
    </w:p>
    <w:p>
      <w:pPr>
        <w:pStyle w:val="ListParagraph"/>
        <w:numPr>
          <w:ilvl w:val="0"/>
          <w:numId w:val="1"/>
        </w:numPr>
        <w:spacing w:after="80"/>
      </w:pPr>
      <w:r>
        <w:rPr>
          <w:rFonts w:ascii="Calibri" w:cs="Calibri" w:eastAsia="Calibri" w:hAnsi="Calibri"/>
          <w:color w:val="000000"/>
          <w:sz w:val="22"/>
          <w:szCs w:val="22"/>
        </w:rPr>
        <w:t xml:space="preserve">Hoja de Auditoría: checklist de 8 controles completo, puntaje de STUXNET calculado, 5 evidencias pegadas, R5.1-R5.2 respondidas, consulta en internet completa.</w:t>
      </w:r>
    </w:p>
    <w:p>
      <w:pPr>
        <w:pStyle w:val="ListParagraph"/>
        <w:numPr>
          <w:ilvl w:val="0"/>
          <w:numId w:val="1"/>
        </w:numPr>
        <w:spacing w:after="80"/>
      </w:pPr>
      <w:r>
        <w:rPr>
          <w:rFonts w:ascii="Calibri" w:cs="Calibri" w:eastAsia="Calibri" w:hAnsi="Calibri"/>
          <w:color w:val="000000"/>
          <w:sz w:val="22"/>
          <w:szCs w:val="22"/>
        </w:rPr>
        <w:t xml:space="preserve">Hoja de Remediación: checklist de cierre completo, trabajo futuro documentado, puntaje de ICSCERT calculado, informe final completo y firmado, R5.3-R5.4 respondidas.</w:t>
      </w:r>
    </w:p>
    <w:p>
      <w:pPr>
        <w:pStyle w:val="ListParagraph"/>
        <w:numPr>
          <w:ilvl w:val="0"/>
          <w:numId w:val="1"/>
        </w:numPr>
        <w:spacing w:after="80"/>
      </w:pPr>
      <w:r>
        <w:rPr>
          <w:rFonts w:ascii="Calibri" w:cs="Calibri" w:eastAsia="Calibri" w:hAnsi="Calibri"/>
          <w:color w:val="000000"/>
          <w:sz w:val="22"/>
          <w:szCs w:val="22"/>
        </w:rPr>
        <w:t xml:space="preserve">Guía: se recoge sin marcas.</w:t>
      </w:r>
    </w:p>
    <w:p>
      <w:pPr>
        <w:pStyle w:val="ListParagraph"/>
        <w:numPr>
          <w:ilvl w:val="0"/>
          <w:numId w:val="1"/>
        </w:numPr>
        <w:spacing w:after="80"/>
      </w:pPr>
      <w:r>
        <w:rPr>
          <w:rFonts w:ascii="Calibri" w:cs="Calibri" w:eastAsia="Calibri" w:hAnsi="Calibri"/>
          <w:color w:val="000000"/>
          <w:sz w:val="22"/>
          <w:szCs w:val="22"/>
        </w:rPr>
        <w:t xml:space="preserve">Rúbrica de Evaluación (documento aparte): completarla con base en ambas Hojas de Trabajo — esta es la última rúbrica del kit.</w:t>
      </w:r>
    </w:p>
    <w:p>
      <w:pPr>
        <w:pStyle w:val="Heading2"/>
        <w:spacing w:after="120" w:before="260"/>
      </w:pPr>
      <w:r>
        <w:rPr>
          <w:rFonts w:ascii="Calibri" w:cs="Calibri" w:eastAsia="Calibri" w:hAnsi="Calibri"/>
          <w:b/>
          <w:bCs/>
          <w:color w:val="1F3864"/>
        </w:rPr>
        <w:t xml:space="preserve">Cierre del kit completo (después de esta sesión)</w:t>
      </w:r>
    </w:p>
    <w:p>
      <w:pPr>
        <w:spacing w:after="120"/>
      </w:pPr>
      <w:r>
        <w:rPr>
          <w:rFonts w:ascii="Calibri" w:cs="Calibri" w:eastAsia="Calibri" w:hAnsi="Calibri"/>
          <w:b w:val="false"/>
          <w:bCs w:val="false"/>
          <w:i w:val="false"/>
          <w:iCs w:val="false"/>
          <w:color w:val="000000"/>
          <w:sz w:val="22"/>
          <w:szCs w:val="22"/>
        </w:rPr>
        <w:t xml:space="preserve">1. Aplicar la encuesta POST si su institución la usa para medir aprendizaje (comparar con la encuesta PRE). 2. Restaurar config.h a un estado neutro para la siguiente sesión o grupo (CAMARA_ACTIVA=0, MODO_STUXNET). 3. Recoger y archivar las 5 Rúbricas de cada grupo para calcular el promedio final.</w:t>
      </w:r>
    </w:p>
    <w:p>
      <w:pPr>
        <w:pStyle w:val="Heading2"/>
        <w:spacing w:after="120" w:before="260"/>
      </w:pPr>
      <w:r>
        <w:rPr>
          <w:rFonts w:ascii="Calibri" w:cs="Calibri" w:eastAsia="Calibri" w:hAnsi="Calibri"/>
          <w:b/>
          <w:bCs/>
          <w:color w:val="1F3864"/>
        </w:rPr>
        <w:t xml:space="preserve">Bitácora para el artículo IEEE</w:t>
      </w:r>
    </w:p>
    <w:p>
      <w:pPr>
        <w:spacing w:after="120"/>
      </w:pPr>
      <w:r>
        <w:rPr>
          <w:rFonts w:ascii="Calibri" w:cs="Calibri" w:eastAsia="Calibri" w:hAnsi="Calibri"/>
          <w:b w:val="false"/>
          <w:bCs w:val="false"/>
          <w:i w:val="false"/>
          <w:iCs w:val="false"/>
          <w:color w:val="000000"/>
          <w:sz w:val="22"/>
          <w:szCs w:val="22"/>
        </w:rPr>
        <w:t xml:space="preserve">¿Ambos grupos completaron el checklist de 8 controles de forma autónoma? ☐ Sí ☐ No. ¿El puntaje de riesgo calculado coincidió con el esperado (STUXNET≈20, ICSCERT≈5)? ☐ Sí ☐ No. ¿El informe final tiene las 6 secciones completas? ☐ Sí ☐ No. ¿El grupo documentó OI-04/OI-05 con justificación técnica real, sin evadir la pregunta? ☐ Sí ☐ No. Tiempo real de auditoría: ___ min. Tiempo real de remediación: ___ min. Intervenciones del docente: ___ + ___.</w:t>
      </w:r>
    </w:p>
    <w:p>
      <w:pPr>
        <w:spacing w:before="300"/>
        <w:jc w:val="center"/>
      </w:pPr>
      <w:r>
        <w:rPr>
          <w:rFonts w:ascii="Calibri" w:cs="Calibri" w:eastAsia="Calibri" w:hAnsi="Calibri"/>
          <w:i/>
          <w:iCs/>
          <w:color w:val="666666"/>
          <w:sz w:val="16"/>
          <w:szCs w:val="16"/>
        </w:rPr>
        <w:t xml:space="preserve">Guión Docente v5 — ajustado 10°-11° — Reto 5 — La Auditoría Final — Kit de Robótica Educativa en Ciberseguridad v2.0 — ESCOM / CEDOC 2025</w:t>
      </w:r>
    </w:p>
    <w:sectPr>
      <w:footerReference w:type="default" r:id="rId7"/>
      <w:pgSz w:w="12240" w:h="15840"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i/>
        <w:iCs/>
        <w:color w:val="666666"/>
        <w:sz w:val="16"/>
        <w:szCs w:val="16"/>
      </w:rPr>
      <w:t xml:space="preserve">Guión Docente — Reto 5 — ajustado 10°-11°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2026-07-12T05:20:52.667Z</dcterms:created>
  <dcterms:modified xsi:type="dcterms:W3CDTF">2026-07-12T05:20:52.667Z</dcterms:modified>
</cp:coreProperties>
</file>

<file path=docProps/custom.xml><?xml version="1.0" encoding="utf-8"?>
<Properties xmlns="http://schemas.openxmlformats.org/officeDocument/2006/custom-properties" xmlns:vt="http://schemas.openxmlformats.org/officeDocument/2006/docPropsVTypes"/>
</file>