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2. Requirement Analysis Phase</w:t>
      </w:r>
    </w:p>
    <w:p>
      <w:pPr>
        <w:pStyle w:val="Heading2"/>
      </w:pPr>
      <w:r>
        <w:t xml:space="preserve">2.1 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FR1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enters document type, parties, terms and effective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FR2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generates a structured legal document using Gemini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FR3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shows a styled, scrollable preview of the result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FR4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edit the generated text before exporting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FR5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download TXT, DOCX and PDF versions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FR6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 includes logo, a Key Terms table and footer; PDF includes logo and footer on every page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FR7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shows clear messages for a missing key, quota limits, an unreachable backend and invalid input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FR8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exposes a health endpoint reporting model and key 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document is generated within about 60 seconds under normal conditions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API key lives only in .env (never in code or the browser); AI output is HTML-escaped before 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retry on temporary Gemini errors; fallback to an available model if the configured one is missing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form; no legal knowledge needed; one-click downloads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export carries a not-legal-advice disclaimer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locally on Windows, macOS and Linux with Python 3.10+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Technical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with Uvicorn; Pydantic for validation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through the google-genai SDK (model set in .env)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export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python-docx (Word), fpdf2 (PDF), Pillow (logo handling)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python-dotenv, .env file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Code, Python 3.10+, pip and venv, pytest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Constraints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API free-tier quotas limit requests per minute and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retires models regularly; Gemini 1.5 is shut down and 2.5 is restricted to existing users, so the app defaults to the gemini-flash-latest alias.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export uses built-in Latin-1 fonts, so non-Latin scripts are not supported in PDF (DOCX and TXT are unaffected).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is an AI-generated draft that a qualified lawyer should review.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Requirement Analysis Phase</dc:title>
  <dc:creator>LegalEase</dc:creator>
  <cp:lastModifiedBy>Un-named</cp:lastModifiedBy>
  <cp:revision>1</cp:revision>
  <dcterms:created xsi:type="dcterms:W3CDTF">2026-09-29T09:24:48.504Z</dcterms:created>
  <dcterms:modified xsi:type="dcterms:W3CDTF">2026-09-29T09:24:48.504Z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