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3. Project Design Phase</w:t>
      </w:r>
    </w:p>
    <w:p>
      <w:pPr>
        <w:pStyle w:val="Heading2"/>
      </w:pPr>
      <w:r>
        <w:t xml:space="preserve">3.1 System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34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Presentation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(frontend/app.py)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input, preview, edit box, download buttons, error messages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(legalEaseAPI/main.py, routes.py)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the request and routes it to the generator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AI 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GeminiDocumentGenerator (ai_core/gemini_generator.py)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the prompt, calls Gemini, retries, maps errors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External service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Produces the draft text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Formatting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ai_core/generator.py, text_utils.py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Cleans text; produces HTML preview, DOCX and PDF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Request flow: User → Streamlit → POST /generate (FastAPI) → GeminiDocumentGenerator → Gemini → generated text → Streamlit → preview / edit → format_docx / format_pdf → download.</w:t>
      </w:r>
    </w:p>
    <w:p>
      <w:pPr>
        <w:pStyle w:val="Heading2"/>
      </w:pPr>
      <w:r>
        <w:t xml:space="preserve">3.2 API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9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{"message": "Welcome to LegalEase ..."}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{"status", "model", "api_key_configured"}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/generate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{"document_type", "parties", "terms", "dates"}</w:t>
            </w:r>
          </w:p>
        </w:tc>
        <w:tc>
          <w:tcPr>
            <w:tcW w:type="dxa" w:w="3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{"document": "&lt;generated text&gt;"}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Errors: 422 for invalid input, 503 when the API key is missing, 429 for quota limits, 502 for other Gemini failures.</w:t>
      </w:r>
    </w:p>
    <w:p>
      <w:pPr>
        <w:pStyle w:val="Heading2"/>
      </w:pPr>
      <w:r>
        <w:t xml:space="preserve">3.3 Prompt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system instruction defines the role (senior legal drafter) and a strict output format: "# Title", "## 1. Heading" sections, (a)/(b) sub-clauses and "- " lists, with no markdown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facts must appear as [square-bracket placeholders]; the model must not invent names, amounts or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user-supplied term must become a clause; standard clauses (termination, confidentiality, governing law, severability and so on) are added; the document ends with an IN WITNESS WHEREOF signature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marked plain text is easy to parse into HTML, DOCX and PDF consistently.</w:t>
      </w:r>
    </w:p>
    <w:p>
      <w:pPr>
        <w:pStyle w:val="Heading2"/>
      </w:pPr>
      <w:r>
        <w:t xml:space="preserve">3.4 User flow and UI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app; the logo and the "AI Legal Document Generator" title are centred; the sidebar shows backend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Document Type, Parties Involved, Terms &amp; Conditions (semicolons for bullet points) and Effective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Generate Document; a spinner is shown while Gemini drafts.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dark-themed scrollable preview; click "Click to Edit Document" to change the wording.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as .TXT, .DOCX or .PDF.</w:t>
      </w:r>
    </w:p>
    <w:p>
      <w:pPr>
        <w:pStyle w:val="Heading2"/>
      </w:pPr>
      <w:r>
        <w:t xml:space="preserve">3.5 Module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sanitize_text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typographic quotes, zero-width characters and markdown emphasis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split_terms / parse_blocks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Splits terms on ";" and classifies lines as title, heading, paragraph, sub-clause or bullet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format_html_preview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Escapes the text and produces styled HTML blocks for the preview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format_docx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file: logo, title, Key Terms table, Times New Roman body, footer with page numbers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format_pdf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PDF: centred logo and title on every page, bold headings, bullet terms, footer</w:t>
            </w:r>
          </w:p>
        </w:tc>
      </w:tr>
    </w:tbl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Project Design Phase</dc:title>
  <dc:creator>LegalEase</dc:creator>
  <cp:lastModifiedBy>Un-named</cp:lastModifiedBy>
  <cp:revision>1</cp:revision>
  <dcterms:created xsi:type="dcterms:W3CDTF">2026-09-29T09:24:48.555Z</dcterms:created>
  <dcterms:modified xsi:type="dcterms:W3CDTF">2026-09-29T09:24:48.555Z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