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color w:val="7F7F7F"/>
          <w:sz w:val="20"/>
          <w:szCs w:val="20"/>
        </w:rPr>
        <w:t xml:space="preserve">LegalEase: AI-Powered Legal Document Generator</w:t>
      </w:r>
    </w:p>
    <w:p>
      <w:pPr>
        <w:pStyle w:val="Heading1"/>
      </w:pPr>
      <w:r>
        <w:t xml:space="preserve">5. Project Development Phase</w:t>
      </w:r>
    </w:p>
    <w:p>
      <w:pPr>
        <w:pStyle w:val="Heading2"/>
      </w:pPr>
      <w:r>
        <w:t xml:space="preserve">5.1 Project structure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ai_core/gemini_generator.py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Prompt, Gemini call, retry logic, model fallback, friendly errors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ai_core/generator.py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format_docx, format_pdf, format_html_preview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ai_core/text_utils.py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sanitize_text, split_terms, parse_blocks, slugify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legalEaseAPI/main.py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application and root route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legalEaseAPI/routes.py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DocumentRequest model, POST /generate, GET /health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frontend/app.py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interface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config.py, .env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 and secrets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Image/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Logo.png (documents) and inverseLogo.png (dark web UI)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tests/, scripts/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suite, smoke_test.py, list_models.py, make_logos.py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run.bat, run.sh, .vscode/</w:t>
            </w:r>
          </w:p>
        </w:tc>
        <w:tc>
          <w:tcPr>
            <w:tcW w:type="dxa" w:w="64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One-click start scripts and VS Code debug configurations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5.2 Implementation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Gemini client is created lazily, so the API starts and /health works even before a key is configured.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One edited text drives all three exports, so downloads always match what the user sees.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Preview HTML is escaped, and dollar signs are encoded so Streamlit does not interpret them as math.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Retry logic handles temporary server errors, honours "retry in N seconds" quota messages and can switch to a lighter model.</w:t>
      </w:r>
    </w:p>
    <w:p>
      <w:pPr>
        <w:pStyle w:val="Heading2"/>
      </w:pPr>
      <w:r>
        <w:t xml:space="preserve">5.3 Deviations from the original plan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00"/>
        <w:gridCol w:w="334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gemini-1.5-pro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gemini-flash-latest (configurable)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Gemini 1.5 models are shut down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google-generativeai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google-genai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Old SDK is deprecated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fpdf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fpdf2</w:t>
            </w:r>
          </w:p>
        </w:tc>
        <w:tc>
          <w:tcPr>
            <w:tcW w:type="dxa" w:w="33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Maintained fork with the same module name (install only one)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5.4 Setup and run commands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 environment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-m venv venv   then   venv\Scripts\activate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 packages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 install -r requirements.txt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Configure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Put GEMINI_API_KEY in .env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backend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uvicorn legalEaseAPI.main:app --reload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frontend</w:t>
            </w:r>
          </w:p>
        </w:tc>
        <w:tc>
          <w:tcPr>
            <w:tcW w:type="dxa" w:w="71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streamlit run frontend/app.py</w:t>
            </w:r>
          </w:p>
        </w:tc>
      </w:tr>
    </w:tbl>
    <w:sectPr>
      <w:footerReference w:type="default" r:id="rId7"/>
      <w:pgSz w:w="11906" w:h="16838" w:orient="portrait"/>
      <w:pgMar w:top="1200" w:right="1080" w:bottom="12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LegalEase - Project Lifecycle Documentation  |  Page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Project Development Phase</dc:title>
  <dc:creator>LegalEase</dc:creator>
  <cp:lastModifiedBy>Un-named</cp:lastModifiedBy>
  <cp:revision>1</cp:revision>
  <dcterms:created xsi:type="dcterms:W3CDTF">2026-09-29T09:24:48.600Z</dcterms:created>
  <dcterms:modified xsi:type="dcterms:W3CDTF">2026-09-29T09:24:48.600Z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