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421749">
        <w:pict w14:anchorId="78891194">
          <v:shape id="Picture 24" o:spid="_x0000_i1026" type="#_x0000_t75" style="width:47.65pt;height:47.6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400F59CD"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3B84322"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1C9B303E"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14:paraId="177B6981" w14:textId="77777777" w:rsidTr="00874607">
        <w:trPr>
          <w:trHeight w:val="555"/>
        </w:trPr>
        <w:tc>
          <w:tcPr>
            <w:tcW w:w="1800"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6DC6DF69"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w:t>
            </w:r>
            <w:r w:rsidR="00257E40">
              <w:rPr>
                <w:rFonts w:ascii="Calibri" w:hAnsi="Calibri"/>
                <w:color w:val="535353"/>
                <w:sz w:val="20"/>
                <w:szCs w:val="20"/>
              </w:rPr>
              <w:t>6</w:t>
            </w:r>
            <w:r w:rsidR="002E4A30">
              <w:rPr>
                <w:rFonts w:ascii="Calibri" w:hAnsi="Calibri"/>
                <w:color w:val="535353"/>
                <w:sz w:val="20"/>
                <w:szCs w:val="20"/>
              </w:rPr>
              <w:t>+), PMP (7+)</w:t>
            </w:r>
            <w:r w:rsidR="00D26359">
              <w:rPr>
                <w:rFonts w:ascii="Calibri" w:hAnsi="Calibri"/>
                <w:color w:val="535353"/>
                <w:sz w:val="20"/>
                <w:szCs w:val="20"/>
              </w:rPr>
              <w:t>, CISSP(3)</w:t>
            </w:r>
          </w:p>
        </w:tc>
      </w:tr>
      <w:tr w:rsidR="002E4A30" w14:paraId="12979486" w14:textId="77777777" w:rsidTr="00874607">
        <w:trPr>
          <w:trHeight w:val="323"/>
        </w:trPr>
        <w:tc>
          <w:tcPr>
            <w:tcW w:w="1800"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74607">
        <w:trPr>
          <w:trHeight w:val="530"/>
        </w:trPr>
        <w:tc>
          <w:tcPr>
            <w:tcW w:w="1800"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7777777"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14:paraId="1A33AF8E" w14:textId="77777777" w:rsidTr="00874607">
        <w:trPr>
          <w:trHeight w:val="594"/>
        </w:trPr>
        <w:tc>
          <w:tcPr>
            <w:tcW w:w="1800"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0AB1FA7E"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E647BB">
              <w:rPr>
                <w:rFonts w:ascii="Calibri" w:hAnsi="Calibri"/>
                <w:color w:val="535353"/>
                <w:sz w:val="20"/>
                <w:szCs w:val="20"/>
              </w:rPr>
              <w:t>8</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E647BB">
              <w:rPr>
                <w:rFonts w:ascii="Calibri" w:hAnsi="Calibri"/>
                <w:color w:val="535353"/>
                <w:sz w:val="20"/>
                <w:szCs w:val="20"/>
              </w:rPr>
              <w:t>6</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(2+), Kafka Streams (2+)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74607">
        <w:trPr>
          <w:trHeight w:val="470"/>
        </w:trPr>
        <w:tc>
          <w:tcPr>
            <w:tcW w:w="1800"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08ED6AF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(2+)</w:t>
            </w:r>
          </w:p>
        </w:tc>
      </w:tr>
      <w:tr w:rsidR="002E4A30" w14:paraId="07944AAD" w14:textId="77777777" w:rsidTr="00874607">
        <w:trPr>
          <w:trHeight w:val="323"/>
        </w:trPr>
        <w:tc>
          <w:tcPr>
            <w:tcW w:w="1800"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11AE6248"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PostgreSQL(2+)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p>
        </w:tc>
      </w:tr>
      <w:tr w:rsidR="002E4A30" w14:paraId="24F67ACC" w14:textId="77777777" w:rsidTr="00874607">
        <w:trPr>
          <w:trHeight w:val="418"/>
        </w:trPr>
        <w:tc>
          <w:tcPr>
            <w:tcW w:w="1800"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77777777"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74607">
        <w:trPr>
          <w:trHeight w:val="332"/>
        </w:trPr>
        <w:tc>
          <w:tcPr>
            <w:tcW w:w="1800"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097455">
        <w:trPr>
          <w:trHeight w:val="377"/>
        </w:trPr>
        <w:tc>
          <w:tcPr>
            <w:tcW w:w="1800"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77777777"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14:paraId="20ABBBB2" w14:textId="77777777" w:rsidTr="00874607">
        <w:trPr>
          <w:trHeight w:val="332"/>
        </w:trPr>
        <w:tc>
          <w:tcPr>
            <w:tcW w:w="1800"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7777777"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14:paraId="3F7D1DAB"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DE80FD9"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0AB4D2CC" w14:textId="77777777"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7DA52CB4" w14:textId="77777777"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14:paraId="44B0EE40" w14:textId="77777777"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688C5236">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634E1D60" w14:textId="43C221F9"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64B4FE45"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3C8DE927"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ELK, openshift</w:t>
      </w:r>
      <w:r w:rsidR="00070062">
        <w:rPr>
          <w:rFonts w:ascii="Calibri" w:eastAsia="Times New Roman" w:hAnsi="Calibri"/>
          <w:color w:val="auto"/>
          <w:lang w:eastAsia="ar-SA"/>
        </w:rPr>
        <w:t>, docker</w:t>
      </w:r>
      <w:r w:rsidRPr="00061448">
        <w:rPr>
          <w:rFonts w:ascii="Calibri" w:eastAsia="Times New Roman" w:hAnsi="Calibri"/>
          <w:color w:val="auto"/>
          <w:lang w:eastAsia="ar-SA"/>
        </w:rPr>
        <w:t>.</w:t>
      </w:r>
    </w:p>
    <w:p w14:paraId="7A76D3C4" w14:textId="77777777" w:rsidR="00AB10C9" w:rsidRDefault="00AB10C9" w:rsidP="00AB10C9">
      <w:pPr>
        <w:spacing w:line="240" w:lineRule="auto"/>
        <w:rPr>
          <w:rFonts w:ascii="Calibri" w:eastAsia="Times New Roman" w:hAnsi="Calibri"/>
          <w:color w:val="auto"/>
          <w:lang w:eastAsia="ar-SA"/>
        </w:rPr>
      </w:pP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77777777"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6C58709A">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77777777"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77777777"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14:paraId="0CBE11C8" w14:textId="77777777"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77777777"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3BD8D37D">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77777777"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05A5439" wp14:editId="645DD7C3">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14:paraId="02DE6AF4" w14:textId="77777777"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14:paraId="29B9C7D7" w14:textId="77777777"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lastRenderedPageBreak/>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77777777"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lastRenderedPageBreak/>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77777777"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B9DCFBE">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776EDFEC" w:rsidR="003E2EE9" w:rsidRDefault="003E2EE9" w:rsidP="003325FE">
      <w:pPr>
        <w:ind w:firstLine="720"/>
        <w:rPr>
          <w:rFonts w:ascii="Calibri" w:eastAsia="Calibri" w:hAnsi="Calibri" w:cs="Calibri"/>
          <w:color w:val="444444"/>
          <w:sz w:val="24"/>
          <w:szCs w:val="24"/>
        </w:rPr>
      </w:pPr>
      <w:r w:rsidRPr="008F158A">
        <w:rPr>
          <w:rFonts w:ascii="Calibri" w:eastAsia="Calibri" w:hAnsi="Calibri" w:cs="Calibri"/>
          <w:b/>
          <w:bCs/>
          <w:color w:val="3D85C6"/>
          <w:sz w:val="24"/>
          <w:szCs w:val="24"/>
          <w:lang w:val="fr-FR"/>
        </w:rPr>
        <w:t>Arabic:</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Mother tongue</w:t>
      </w:r>
      <w:r>
        <w:rPr>
          <w:rFonts w:ascii="Calibri" w:eastAsia="Calibri" w:hAnsi="Calibri" w:cs="Calibri"/>
          <w:b/>
          <w:bCs/>
          <w:color w:val="444444"/>
          <w:sz w:val="24"/>
          <w:szCs w:val="24"/>
        </w:rPr>
        <w:tab/>
      </w:r>
      <w:r w:rsidRPr="008F158A">
        <w:rPr>
          <w:rFonts w:ascii="Calibri" w:eastAsia="Calibri" w:hAnsi="Calibri" w:cs="Calibri"/>
          <w:b/>
          <w:bCs/>
          <w:color w:val="3D85C6"/>
          <w:sz w:val="24"/>
          <w:szCs w:val="24"/>
          <w:lang w:val="fr-FR"/>
        </w:rPr>
        <w:t>English:</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B6F6" w14:textId="77777777" w:rsidR="00923323" w:rsidRDefault="00923323" w:rsidP="004D7C8A">
      <w:pPr>
        <w:spacing w:line="240" w:lineRule="auto"/>
      </w:pPr>
      <w:r>
        <w:separator/>
      </w:r>
    </w:p>
  </w:endnote>
  <w:endnote w:type="continuationSeparator" w:id="0">
    <w:p w14:paraId="35F4877A" w14:textId="77777777" w:rsidR="00923323" w:rsidRDefault="00923323"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443C" w14:textId="77777777" w:rsidR="00923323" w:rsidRDefault="00923323" w:rsidP="004D7C8A">
      <w:pPr>
        <w:spacing w:line="240" w:lineRule="auto"/>
      </w:pPr>
      <w:r>
        <w:separator/>
      </w:r>
    </w:p>
  </w:footnote>
  <w:footnote w:type="continuationSeparator" w:id="0">
    <w:p w14:paraId="216649AD" w14:textId="77777777" w:rsidR="00923323" w:rsidRDefault="00923323"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99.8pt;height:599.8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2"/>
  </w:num>
  <w:num w:numId="2" w16cid:durableId="825707269">
    <w:abstractNumId w:val="1"/>
  </w:num>
  <w:num w:numId="3" w16cid:durableId="208132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06B6"/>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749"/>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6718A"/>
    <w:rsid w:val="00575009"/>
    <w:rsid w:val="005755A4"/>
    <w:rsid w:val="005779F0"/>
    <w:rsid w:val="005803B4"/>
    <w:rsid w:val="005823A0"/>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808F0"/>
    <w:rsid w:val="00881865"/>
    <w:rsid w:val="008828D4"/>
    <w:rsid w:val="00883F68"/>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7DC9"/>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17971</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2021-01-27T17:16:00Z</dcterms:created>
  <dcterms:modified xsi:type="dcterms:W3CDTF">2022-09-18T11:18:00Z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