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4f81bd" w:space="4" w:sz="8" w:val="single"/>
        </w:pBdr>
        <w:spacing w:before="180" w:line="240" w:lineRule="auto"/>
        <w:rPr>
          <w:b w:val="1"/>
          <w:bCs w:val="1"/>
          <w:color w:val="256999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749808" cy="7498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9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56999"/>
          <w:sz w:val="38"/>
          <w:szCs w:val="38"/>
          <w:rtl w:val="0"/>
        </w:rPr>
        <w:t xml:space="preserve">   Mohammad Metwally Elkassas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Zaventem, Belgium | +32 470 208 443 | mohammad.metwally@gmail.com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linkedin.com/in/mohammadmetwally | mmetwally.com</w:t>
      </w:r>
    </w:p>
    <w:p w:rsidR="00000000" w:rsidDel="00000000" w:rsidP="00000000" w:rsidRDefault="00000000" w:rsidRPr="00000000" w14:paraId="00000004">
      <w:pPr>
        <w:keepNext w:val="1"/>
        <w:keepLines w:val="1"/>
        <w:spacing w:after="80" w:before="180" w:lineRule="auto"/>
        <w:rPr>
          <w:b w:val="1"/>
          <w:bCs w:val="1"/>
          <w:color w:val="256999"/>
          <w:sz w:val="22"/>
          <w:szCs w:val="22"/>
        </w:rPr>
      </w:pPr>
      <w:r w:rsidDel="00000000" w:rsidR="00000000" w:rsidRPr="00000000">
        <w:rPr>
          <w:b w:val="1"/>
          <w:bCs w:val="1"/>
          <w:color w:val="256999"/>
          <w:sz w:val="22"/>
          <w:szCs w:val="22"/>
          <w:rtl w:val="0"/>
        </w:rPr>
        <w:t xml:space="preserve">PROFESSIONAL PROFILE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Engineering Senior Manager and Enterprise / Solution Architect with 20+ years of experience designing, modernizing and delivering complex enterprise platforms across Europe, the Middle East and Asia. Specializes in enterprise modernization, cloud-native architecture, distributed systems, engineering leadership, architecture governance and pre-sales across EU institutions, insurance, government and telecommunications.</w:t>
      </w:r>
    </w:p>
    <w:p w:rsidR="00000000" w:rsidDel="00000000" w:rsidP="00000000" w:rsidRDefault="00000000" w:rsidRPr="00000000" w14:paraId="00000006">
      <w:pPr>
        <w:keepNext w:val="1"/>
        <w:keepLines w:val="1"/>
        <w:spacing w:after="80" w:before="180" w:lineRule="auto"/>
        <w:rPr>
          <w:b w:val="1"/>
          <w:bCs w:val="1"/>
          <w:color w:val="256999"/>
          <w:sz w:val="22"/>
          <w:szCs w:val="22"/>
        </w:rPr>
      </w:pPr>
      <w:r w:rsidDel="00000000" w:rsidR="00000000" w:rsidRPr="00000000">
        <w:rPr>
          <w:b w:val="1"/>
          <w:bCs w:val="1"/>
          <w:color w:val="256999"/>
          <w:sz w:val="22"/>
          <w:szCs w:val="22"/>
          <w:rtl w:val="0"/>
        </w:rPr>
        <w:t xml:space="preserve">CORE EXPERTISE</w:t>
      </w:r>
    </w:p>
    <w:tbl>
      <w:tblPr>
        <w:tblStyle w:val="Table1"/>
        <w:tblW w:w="9936.0" w:type="dxa"/>
        <w:jc w:val="left"/>
        <w:tblInd w:w="-115.0" w:type="dxa"/>
        <w:tblLayout w:type="fixed"/>
        <w:tblLook w:val="0400"/>
      </w:tblPr>
      <w:tblGrid>
        <w:gridCol w:w="2376"/>
        <w:gridCol w:w="7560"/>
        <w:tblGridChange w:id="0">
          <w:tblGrid>
            <w:gridCol w:w="2376"/>
            <w:gridCol w:w="75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256999"/>
                <w:sz w:val="17"/>
                <w:szCs w:val="17"/>
                <w:rtl w:val="0"/>
              </w:rPr>
              <w:t xml:space="preserve">Architecture &amp;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Enterprise / Solution Architecture (12+); TOGAF (9+); SOA (20+); Microservices (12+); Architecture Governance (9+); Technical Delivery Leadership (14+); Pre-sales &amp; Solution Advisory (9+)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256999"/>
                <w:sz w:val="17"/>
                <w:szCs w:val="17"/>
                <w:rtl w:val="0"/>
              </w:rPr>
              <w:t xml:space="preserve">Cloud &amp; cloud-native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AWS / EC2 (14+); AWS ECS (6+), Lambda (6+), SQS (6+), API Gateway (6+), RDS (8+), DocumentDB (6+); Kubernetes / AKS (6+); OpenShift (6+); Docker (8+); CloudFormation (8+); Terraform (6+); AWS CDK (6+); Helm (6+)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256999"/>
                <w:sz w:val="17"/>
                <w:szCs w:val="17"/>
                <w:rtl w:val="0"/>
              </w:rPr>
              <w:t xml:space="preserve">Integration &amp; distributed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Enterprise Integration Patterns (14+); Apache Camel (10+); Apache CXF (10+); Kafka / Kafka Confluent (8+); Kafka Streams (6+); API Management (8+); REST / SOAP (14+); Event-Driven Architecture (8+)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256999"/>
                <w:sz w:val="17"/>
                <w:szCs w:val="17"/>
                <w:rtl w:val="0"/>
              </w:rPr>
              <w:t xml:space="preserve">Software &amp;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Java / J2EE (20+); Spring / Spring Boot (12+); Angular (7+); Oracle (14+); MySQL (19+); PostgreSQL (9+); DB2 (4+); MongoDB (6+); AWS RDS (8+); DocumentDB (6+); Elasticsearch / OpenSearch (6+)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256999"/>
                <w:sz w:val="17"/>
                <w:szCs w:val="17"/>
                <w:rtl w:val="0"/>
              </w:rPr>
              <w:t xml:space="preserve">Engineering &amp;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CI/CD / Jenkins (10+); Git (12+); Maven (14+); Linux (19+); Infrastructure as Code (9+); Helm (7+); Terraform (2+); CloudFormation (8+); AWS CDK (2+); Security &amp; Quality Governance (6+)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1"/>
        <w:spacing w:after="80" w:before="180" w:lineRule="auto"/>
        <w:rPr>
          <w:b w:val="1"/>
          <w:bCs w:val="1"/>
          <w:color w:val="256999"/>
          <w:sz w:val="22"/>
          <w:szCs w:val="22"/>
        </w:rPr>
      </w:pPr>
      <w:r w:rsidDel="00000000" w:rsidR="00000000" w:rsidRPr="00000000">
        <w:rPr>
          <w:b w:val="1"/>
          <w:bCs w:val="1"/>
          <w:color w:val="256999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spacing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Deloitte Belgium — Engineering Senior Manager</w:t>
      </w:r>
      <w:r w:rsidDel="00000000" w:rsidR="00000000" w:rsidRPr="00000000">
        <w:rPr>
          <w:rtl w:val="0"/>
        </w:rPr>
        <w:t xml:space="preserve"> | September 2026 – Present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  <w:t xml:space="preserve">Provide enterprise and solution architecture advisory, shaping scalable, secure and maintainable technology solutions aligned with client objectives.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  <w:t xml:space="preserve">Support pre-sales engagements through solution approaches, technical proposals, architecture assessments and client discussions.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Contribute engineering leadership and architecture guidance across modernization and transformation opportunities.</w:t>
      </w:r>
    </w:p>
    <w:p w:rsidR="00000000" w:rsidDel="00000000" w:rsidP="00000000" w:rsidRDefault="00000000" w:rsidRPr="00000000" w14:paraId="00000016">
      <w:pPr>
        <w:spacing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Accenture Belgium — Architect Manager</w:t>
      </w:r>
      <w:r w:rsidDel="00000000" w:rsidR="00000000" w:rsidRPr="00000000">
        <w:rPr>
          <w:rtl w:val="0"/>
        </w:rPr>
        <w:t xml:space="preserve"> | October 2019 – August 2026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Led enterprise and solution architecture, target-state design, technical delivery and stakeholder engagement for complex modernization programs; coordinated onshore/offshore teams.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Selected engagements: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  <w:t xml:space="preserve">European Medicines Agency (EMA) — Lead Solution Architect, CTIS modernization: Led target architecture for AWS cloud-native modernization, defining domain boundaries, transition/coexistence and cutover strategy, API and event-driven integration, transactional outbox, data integrity and standardization. Guided technical delivery using ECS, Lambda, SQS, API Gateway, RDS and DocumentDB. Delivered solutions leveraging AI-assisted engineering and Specification-Driven Development (SDD) to support architecture, development and delivery workflows.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  <w:t xml:space="preserve">AXA Belgium — Technical Delivery Manager: Led onshore/offshore engineering teams delivering backend APIs and the underwriter/broker portal integrated with legacy insurance platforms. Owned and led delivery security and quality compliance processes, ensuring architecture, engineering and release standards were met. Technologies: AWS, Java / Spring Boot, Angular, API Gateway, Lambda and RDS.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360"/>
        <w:rPr/>
      </w:pPr>
      <w:r w:rsidDel="00000000" w:rsidR="00000000" w:rsidRPr="00000000">
        <w:rPr>
          <w:rtl w:val="0"/>
        </w:rPr>
        <w:t xml:space="preserve">Allianz Belgium — Enterprise Architect &amp; Delivery Manager: Recruited as Enterprise Architect to define the future target architecture for a major legacy/mainframe modernization program (5+ year horizon; €200m+ scale). Advised C-level client stakeholders on migration strategy, sequencing, transformation roadmap and investment decisions; supported cost-benefit analysis and architecture governance. As Architect and Delivery Lead, guided multiple teams delivering portal strategy, platform modernization and data decoupling, balancing business priorities with delivery execution. Technologies: AKS, OpenShift, Kafka Confluent, Kafka Streams, Spring Boot, Java, microservices and cloud-native integration.</w:t>
      </w:r>
    </w:p>
    <w:p w:rsidR="00000000" w:rsidDel="00000000" w:rsidP="00000000" w:rsidRDefault="00000000" w:rsidRPr="00000000" w14:paraId="0000001C">
      <w:pPr>
        <w:spacing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Atos Origin Dubai — Integration Architect</w:t>
      </w:r>
      <w:r w:rsidDel="00000000" w:rsidR="00000000" w:rsidRPr="00000000">
        <w:rPr>
          <w:rtl w:val="0"/>
        </w:rPr>
        <w:t xml:space="preserve"> | February 2018 – September 2019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Led solution architecture, operation management, platform transformation and pre-sales solution design for clients including Dubai Parks &amp; Resorts, DEWA and Smart Dubai; prepared technical/financial proposals and customer presentations.</w:t>
      </w:r>
    </w:p>
    <w:p w:rsidR="00000000" w:rsidDel="00000000" w:rsidP="00000000" w:rsidRDefault="00000000" w:rsidRPr="00000000" w14:paraId="0000001E">
      <w:pPr>
        <w:spacing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Trianz Dubai— Solution Architect</w:t>
      </w:r>
      <w:r w:rsidDel="00000000" w:rsidR="00000000" w:rsidRPr="00000000">
        <w:rPr>
          <w:rtl w:val="0"/>
        </w:rPr>
        <w:t xml:space="preserve"> | May 2017 – January 2018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Designed enterprise integration solutions and supported RFP/RFI responses, architecture governance, proposals and proof-of-concepts for government and financial-sector clients.</w:t>
      </w:r>
    </w:p>
    <w:p w:rsidR="00000000" w:rsidDel="00000000" w:rsidP="00000000" w:rsidRDefault="00000000" w:rsidRPr="00000000" w14:paraId="00000020">
      <w:pPr>
        <w:spacing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Huawei Technologies Egypt &amp; Oman— Solution / Integration Architect</w:t>
      </w:r>
      <w:r w:rsidDel="00000000" w:rsidR="00000000" w:rsidRPr="00000000">
        <w:rPr>
          <w:rtl w:val="0"/>
        </w:rPr>
        <w:t xml:space="preserve"> | November 2014 – May 2017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Architected BSS integration, order management and transformation solutions for telecom operators, including Omantel (order management / BSS transformation) and VIVA Kuwait (charging and billing transformation); led technical design, delivery and vendor coordination.</w:t>
      </w:r>
    </w:p>
    <w:p w:rsidR="00000000" w:rsidDel="00000000" w:rsidP="00000000" w:rsidRDefault="00000000" w:rsidRPr="00000000" w14:paraId="00000022">
      <w:pPr>
        <w:spacing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ARPU+ (Orascom Telecom Group) Egypt — Development Team Lead / IT Project Manager | September 2007 – November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rtl w:val="0"/>
        </w:rPr>
        <w:t xml:space="preserve">Led architecture, engineering and delivery of content management, mobile internet and carrier-billing platforms integrated with telecom operators across multiple countries.</w:t>
      </w:r>
    </w:p>
    <w:p w:rsidR="00000000" w:rsidDel="00000000" w:rsidP="00000000" w:rsidRDefault="00000000" w:rsidRPr="00000000" w14:paraId="00000024">
      <w:pPr>
        <w:spacing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Earlier experience — Java Developer</w:t>
      </w:r>
      <w:r w:rsidDel="00000000" w:rsidR="00000000" w:rsidRPr="00000000">
        <w:rPr>
          <w:rtl w:val="0"/>
        </w:rPr>
        <w:t xml:space="preserve"> | September 2006 – September 2007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ISource Global and Nordix Computer Corporation — Java development and enterprise application delivery.</w:t>
      </w:r>
    </w:p>
    <w:p w:rsidR="00000000" w:rsidDel="00000000" w:rsidP="00000000" w:rsidRDefault="00000000" w:rsidRPr="00000000" w14:paraId="00000026">
      <w:pPr>
        <w:keepNext w:val="1"/>
        <w:keepLines w:val="1"/>
        <w:spacing w:after="80" w:before="180" w:lineRule="auto"/>
        <w:rPr>
          <w:b w:val="1"/>
          <w:bCs w:val="1"/>
          <w:color w:val="256999"/>
          <w:sz w:val="22"/>
          <w:szCs w:val="22"/>
        </w:rPr>
      </w:pPr>
      <w:r w:rsidDel="00000000" w:rsidR="00000000" w:rsidRPr="00000000">
        <w:rPr>
          <w:b w:val="1"/>
          <w:bCs w:val="1"/>
          <w:color w:val="256999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AWS Certified Solutions Architect – Associate | TOGAF 9.1 Foundation | Professional Scrum Master I | Accenture Senior Technology Architect | MuleSoft Certified Developer | TM Forum Frameworx / eTOM / SID / TAM Foundation | UiPath RPA Developer</w:t>
      </w:r>
    </w:p>
    <w:p w:rsidR="00000000" w:rsidDel="00000000" w:rsidP="00000000" w:rsidRDefault="00000000" w:rsidRPr="00000000" w14:paraId="00000028">
      <w:pPr>
        <w:keepNext w:val="1"/>
        <w:keepLines w:val="1"/>
        <w:spacing w:after="80" w:before="180" w:lineRule="auto"/>
        <w:rPr>
          <w:b w:val="1"/>
          <w:bCs w:val="1"/>
          <w:color w:val="256999"/>
          <w:sz w:val="22"/>
          <w:szCs w:val="22"/>
        </w:rPr>
      </w:pPr>
      <w:r w:rsidDel="00000000" w:rsidR="00000000" w:rsidRPr="00000000">
        <w:rPr>
          <w:b w:val="1"/>
          <w:bCs w:val="1"/>
          <w:color w:val="256999"/>
          <w:sz w:val="22"/>
          <w:szCs w:val="22"/>
          <w:rtl w:val="0"/>
        </w:rPr>
        <w:t xml:space="preserve">EDUCATION &amp; LANGUAGES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Bachelor of Engineering, Cairo University, Egypt (2005) | Arabic: Native | English: Fluent | Dutch: Beginner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936" w:left="1123" w:right="1123" w:header="50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7414c"/>
        <w:sz w:val="18"/>
        <w:szCs w:val="18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Aptos" w:cs="Aptos" w:eastAsia="Aptos" w:hAnsi="Aptos"/>
      <w:color w:val="648c1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648c1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color w:val="425d1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648c1b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648c1b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ptos" w:cs="Aptos" w:eastAsia="Aptos" w:hAnsi="Aptos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60" w:line="276" w:lineRule="auto"/>
    </w:pPr>
    <w:rPr>
      <w:rFonts w:ascii="Calibri" w:cs="Calibri" w:eastAsia="Calibri" w:hAnsi="Calibri"/>
      <w:color w:val="37414c"/>
      <w:sz w:val="18"/>
      <w:szCs w:val="18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