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0F878" w14:textId="77777777" w:rsidR="00C808F7" w:rsidRDefault="00000000">
      <w:pPr>
        <w:spacing w:after="80"/>
      </w:pPr>
      <w:r>
        <w:rPr>
          <w:b/>
          <w:bCs/>
          <w:sz w:val="48"/>
          <w:szCs w:val="48"/>
        </w:rPr>
        <w:t>AI Worldview</w:t>
      </w:r>
    </w:p>
    <w:p w14:paraId="44D8EAE3" w14:textId="77777777" w:rsidR="00C808F7" w:rsidRDefault="00000000">
      <w:pPr>
        <w:spacing w:after="200"/>
      </w:pPr>
      <w:r>
        <w:t>Version: 1.2</w:t>
      </w:r>
    </w:p>
    <w:p w14:paraId="50B7D164" w14:textId="77777777" w:rsidR="00C808F7" w:rsidRDefault="00000000">
      <w:pPr>
        <w:spacing w:before="120" w:after="120"/>
      </w:pPr>
      <w:r>
        <w:rPr>
          <w:b/>
          <w:bCs/>
        </w:rPr>
        <w:t>Changelog: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400"/>
        <w:gridCol w:w="6760"/>
      </w:tblGrid>
      <w:tr w:rsidR="00C808F7" w14:paraId="5B6A65F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B3A4E"/>
            <w:tcMar>
              <w:top w:w="60" w:type="dxa"/>
              <w:left w:w="100" w:type="dxa"/>
              <w:bottom w:w="60" w:type="dxa"/>
              <w:right w:w="100" w:type="dxa"/>
            </w:tcMar>
            <w:vAlign w:val="center"/>
          </w:tcPr>
          <w:p w14:paraId="36E8DBBF" w14:textId="77777777" w:rsidR="00C808F7" w:rsidRDefault="00000000">
            <w:r>
              <w:rPr>
                <w:b/>
                <w:bCs/>
                <w:color w:val="FFFFFF"/>
                <w:sz w:val="20"/>
                <w:szCs w:val="20"/>
              </w:rPr>
              <w:t>Version</w:t>
            </w:r>
          </w:p>
        </w:tc>
        <w:tc>
          <w:tcPr>
            <w:tcW w:w="1400" w:type="dxa"/>
            <w:tcBorders>
              <w:top w:val="single" w:sz="1" w:space="0" w:color="CCCCCC"/>
              <w:left w:val="single" w:sz="1" w:space="0" w:color="CCCCCC"/>
              <w:bottom w:val="single" w:sz="1" w:space="0" w:color="CCCCCC"/>
              <w:right w:val="single" w:sz="1" w:space="0" w:color="CCCCCC"/>
            </w:tcBorders>
            <w:shd w:val="clear" w:color="auto" w:fill="2B3A4E"/>
            <w:tcMar>
              <w:top w:w="60" w:type="dxa"/>
              <w:left w:w="100" w:type="dxa"/>
              <w:bottom w:w="60" w:type="dxa"/>
              <w:right w:w="100" w:type="dxa"/>
            </w:tcMar>
            <w:vAlign w:val="center"/>
          </w:tcPr>
          <w:p w14:paraId="1E42EFE0" w14:textId="77777777" w:rsidR="00C808F7" w:rsidRDefault="00000000">
            <w:r>
              <w:rPr>
                <w:b/>
                <w:bCs/>
                <w:color w:val="FFFFFF"/>
                <w:sz w:val="20"/>
                <w:szCs w:val="20"/>
              </w:rPr>
              <w:t>Date</w:t>
            </w:r>
          </w:p>
        </w:tc>
        <w:tc>
          <w:tcPr>
            <w:tcW w:w="6760" w:type="dxa"/>
            <w:tcBorders>
              <w:top w:val="single" w:sz="1" w:space="0" w:color="CCCCCC"/>
              <w:left w:val="single" w:sz="1" w:space="0" w:color="CCCCCC"/>
              <w:bottom w:val="single" w:sz="1" w:space="0" w:color="CCCCCC"/>
              <w:right w:val="single" w:sz="1" w:space="0" w:color="CCCCCC"/>
            </w:tcBorders>
            <w:shd w:val="clear" w:color="auto" w:fill="2B3A4E"/>
            <w:tcMar>
              <w:top w:w="60" w:type="dxa"/>
              <w:left w:w="100" w:type="dxa"/>
              <w:bottom w:w="60" w:type="dxa"/>
              <w:right w:w="100" w:type="dxa"/>
            </w:tcMar>
            <w:vAlign w:val="center"/>
          </w:tcPr>
          <w:p w14:paraId="08F934C7" w14:textId="77777777" w:rsidR="00C808F7" w:rsidRDefault="00000000">
            <w:r>
              <w:rPr>
                <w:b/>
                <w:bCs/>
                <w:color w:val="FFFFFF"/>
                <w:sz w:val="20"/>
                <w:szCs w:val="20"/>
              </w:rPr>
              <w:t>Description of Changes</w:t>
            </w:r>
          </w:p>
        </w:tc>
      </w:tr>
      <w:tr w:rsidR="00C808F7" w14:paraId="53D803C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D5E2D6" w14:textId="77777777" w:rsidR="00C808F7" w:rsidRDefault="00000000">
            <w:pPr>
              <w:spacing w:after="40"/>
            </w:pPr>
            <w:r>
              <w:rPr>
                <w:sz w:val="20"/>
                <w:szCs w:val="20"/>
              </w:rPr>
              <w:t>1.0</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6BF11F" w14:textId="77777777" w:rsidR="00C808F7" w:rsidRDefault="00000000">
            <w:pPr>
              <w:spacing w:after="40"/>
            </w:pPr>
            <w:r>
              <w:rPr>
                <w:sz w:val="20"/>
                <w:szCs w:val="20"/>
              </w:rPr>
              <w:t>4/27/26</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0E3A1C" w14:textId="77777777" w:rsidR="00C808F7" w:rsidRDefault="00000000">
            <w:pPr>
              <w:spacing w:after="40"/>
            </w:pPr>
            <w:r>
              <w:rPr>
                <w:sz w:val="20"/>
                <w:szCs w:val="20"/>
              </w:rPr>
              <w:t>Initial version</w:t>
            </w:r>
          </w:p>
        </w:tc>
      </w:tr>
      <w:tr w:rsidR="00C808F7" w14:paraId="40428D6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161808" w14:textId="77777777" w:rsidR="00C808F7" w:rsidRDefault="00000000">
            <w:pPr>
              <w:spacing w:after="40"/>
            </w:pPr>
            <w:r>
              <w:rPr>
                <w:sz w:val="20"/>
                <w:szCs w:val="20"/>
              </w:rPr>
              <w:t>1.1</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A4A580" w14:textId="77777777" w:rsidR="00C808F7" w:rsidRDefault="00000000">
            <w:pPr>
              <w:spacing w:after="40"/>
            </w:pPr>
            <w:r>
              <w:rPr>
                <w:sz w:val="20"/>
                <w:szCs w:val="20"/>
              </w:rPr>
              <w:t>5/26/26</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6DFAFD" w14:textId="77777777" w:rsidR="00C808F7" w:rsidRDefault="00000000">
            <w:pPr>
              <w:spacing w:after="40"/>
            </w:pPr>
            <w:r>
              <w:rPr>
                <w:sz w:val="20"/>
                <w:szCs w:val="20"/>
              </w:rPr>
              <w:t>Refined context engineering thesis (strategy vs. implementation layers); added harness engineering concept; updated bitter lesson bullet; sharpened human judgment claims; added Meta-Harness as applied evidence</w:t>
            </w:r>
          </w:p>
        </w:tc>
      </w:tr>
      <w:tr w:rsidR="00C808F7" w14:paraId="40428D6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161808" w14:textId="77777777" w:rsidR="00C808F7" w:rsidRDefault="00000000">
            <w:pPr>
              <w:spacing w:after="40"/>
            </w:pPr>
            <w:r>
              <w:t>1.2</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A4A580" w14:textId="77777777" w:rsidR="00C808F7" w:rsidRDefault="00000000">
            <w:pPr>
              <w:spacing w:after="40"/>
            </w:pPr>
            <w:r>
              <w:t>7/29/26</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6DFAFD" w14:textId="77777777" w:rsidR="00C808F7" w:rsidRDefault="00000000">
            <w:pPr>
              <w:spacing w:after="40"/>
            </w:pPr>
            <w:r>
              <w:t>Integrated the thirteen canon sources added May–July 2026, none of which had reached the document: Karpathy’s Software 3.0 and agentic engineering, Mollick’s capability overhang and manager stance, Sequoia’s functional-AGI definition and METR curve, Stanford HAI’s empirical baseline, Cahn’s two-track 2026, McKinsey’s Transformation Manifesto, and the Amodei/Altman/Huang policy triad. New beliefs on policy-mediated model access, interface as the binding constraint, evaluation as the scarce skill, staged agent autonomy, the diffusion gap, the two-track year, and the measured governance gap. Substantially revised the capability-vs-usefulness, jagged frontier, AGI timeline, and agentic inflection beliefs. Rewrote the regulation and open-vs-closed debate rows and added rows on model access and the US–China gap.</w:t>
            </w:r>
          </w:p>
        </w:tc>
      </w:tr>
    </w:tbl>
    <w:p w14:paraId="5438A6C7" w14:textId="77777777" w:rsidR="00C808F7" w:rsidRDefault="00C808F7">
      <w:pPr>
        <w:spacing w:after="80"/>
      </w:pPr>
    </w:p>
    <w:p w14:paraId="1C62F6C3" w14:textId="77777777" w:rsidR="00C808F7" w:rsidRDefault="00000000">
      <w:pPr>
        <w:pStyle w:val="Heading1"/>
      </w:pPr>
      <w:r>
        <w:t>State of AI</w:t>
      </w:r>
    </w:p>
    <w:p w14:paraId="1BA161D8" w14:textId="77777777" w:rsidR="00C808F7" w:rsidRDefault="00000000">
      <w:pPr>
        <w:spacing w:after="120"/>
      </w:pPr>
      <w:r>
        <w:t>Strong opinions loosely held. Here’s a list of beliefs about the state of AI:</w:t>
      </w:r>
    </w:p>
    <w:p w14:paraId="19336E7E" w14:textId="77777777" w:rsidR="00C808F7" w:rsidRDefault="00C808F7">
      <w:pPr>
        <w:spacing w:after="80"/>
      </w:pPr>
    </w:p>
    <w:p w14:paraId="65229523" w14:textId="77777777" w:rsidR="00C808F7" w:rsidRDefault="00000000">
      <w:pPr>
        <w:pStyle w:val="ListParagraph"/>
        <w:numPr>
          <w:ilvl w:val="0"/>
          <w:numId w:val="2"/>
        </w:numPr>
        <w:spacing w:after="120"/>
      </w:pPr>
      <w:r>
        <w:rPr>
          <w:b/>
          <w:bCs/>
        </w:rPr>
        <w:t xml:space="preserve">Systems that scale with compute beat those that don’t — including the systems built around models. </w:t>
      </w:r>
      <w:r>
        <w:t xml:space="preserve">This is the bitter lesson of 70 years of AI research. Methods that leverage raw computation — search, learning, scale — consistently defeat methods that try to encode human knowledge directly. Recent work on automated harness optimization (Meta-Harness, Stanford/MIT 2026) demonstrates that this principle extends beyond model training: automated search over the code that wraps a model — what to store, retrieve, and present — can outperform the best hand-designed systems. The implication for adopters: don’t bet on hand-built rules and narrow automation. Bet on general-purpose methods that get better as compute gets </w:t>
      </w:r>
      <w:proofErr w:type="gramStart"/>
      <w:r>
        <w:t>cheaper, and</w:t>
      </w:r>
      <w:proofErr w:type="gramEnd"/>
      <w:r>
        <w:t xml:space="preserve"> expect the systems around models to be optimized by search, not just by human intuition.</w:t>
      </w:r>
    </w:p>
    <w:p w14:paraId="7AC056D9" w14:textId="77777777" w:rsidR="00C808F7" w:rsidRDefault="00000000">
      <w:pPr>
        <w:pStyle w:val="ListParagraph"/>
        <w:numPr>
          <w:ilvl w:val="0"/>
          <w:numId w:val="2"/>
        </w:numPr>
        <w:spacing w:after="120"/>
      </w:pPr>
      <w:r>
        <w:rPr>
          <w:b/>
          <w:bCs/>
        </w:rPr>
        <w:t xml:space="preserve">Compute will continue to get cheaper. </w:t>
      </w:r>
      <w:r>
        <w:t>Moore’s law, or its generalization, has held for decades and shows no sign of stopping. What is expensive and scarce today becomes abundant tomorrow. Strategies that assume current cost structures are permanent will be wrong.</w:t>
      </w:r>
    </w:p>
    <w:p w14:paraId="3FD0BBB1" w14:textId="77777777" w:rsidR="00C808F7" w:rsidRDefault="00000000">
      <w:pPr>
        <w:pStyle w:val="ListParagraph"/>
        <w:numPr>
          <w:ilvl w:val="0"/>
          <w:numId w:val="2"/>
        </w:numPr>
        <w:spacing w:after="120"/>
      </w:pPr>
      <w:r>
        <w:rPr>
          <w:b/>
          <w:bCs/>
        </w:rPr>
        <w:t xml:space="preserve">Context — proprietary insight about the world — defines the winners in the age of AI. </w:t>
      </w:r>
      <w:r>
        <w:t xml:space="preserve">Foundation models are commoditizing. The scarce resource is not intelligence but the domain-specific knowledge that makes intelligence useful: your customer relationships, your institutional memory, your understanding of your market. The firms that can translate that knowledge into high-quality AI context will outperform those with more powerful models but thinner context. Empirical evidence is </w:t>
      </w:r>
      <w:proofErr w:type="gramStart"/>
      <w:r>
        <w:t>accumulating:</w:t>
      </w:r>
      <w:proofErr w:type="gramEnd"/>
      <w:r>
        <w:t xml:space="preserve"> changing only the harness around a fixed model can produce a 6x performance gap on the same benchmark (Meta-Harness, 2026). Context is not merely important alongside the model — it can be the dominant variable.</w:t>
      </w:r>
      <w:r>
        <w:t xml:space="preserve"> Karpathy’s Software 3.0 framing arrives at the same conclusion from a different direction: if the context window is the program, then what you load into it is the source code of your competitive advantage.</w:t>
      </w:r>
    </w:p>
    <w:p w14:paraId="45BD4EB1" w14:textId="77777777" w:rsidR="00C808F7" w:rsidRDefault="00000000">
      <w:pPr>
        <w:pStyle w:val="ListParagraph"/>
        <w:numPr>
          <w:ilvl w:val="0"/>
          <w:numId w:val="2"/>
        </w:numPr>
        <w:spacing w:after="120"/>
      </w:pPr>
      <w:r>
        <w:rPr>
          <w:b/>
          <w:bCs/>
        </w:rPr>
        <w:t xml:space="preserve">Context engineering has two layers, and the human role lives in the upper one. </w:t>
      </w:r>
      <w:r>
        <w:t xml:space="preserve">Context engineering is the work of selecting, structuring, and continuously updating the information that reaches an AI model when it performs a task. It is not prompt engineering. But it is also not a monolithic capability. The upper layer — </w:t>
      </w:r>
      <w:r>
        <w:rPr>
          <w:i/>
          <w:iCs/>
        </w:rPr>
        <w:t>context strategy</w:t>
      </w:r>
      <w:r>
        <w:t xml:space="preserve"> — is defining which problems are worth solving, what data needs to exist, what “good” looks like, and how to evaluate whether the system’s output </w:t>
      </w:r>
      <w:proofErr w:type="gramStart"/>
      <w:r>
        <w:t>actually makes</w:t>
      </w:r>
      <w:proofErr w:type="gramEnd"/>
      <w:r>
        <w:t xml:space="preserve"> sense. This </w:t>
      </w:r>
      <w:r>
        <w:lastRenderedPageBreak/>
        <w:t xml:space="preserve">requires deep domain expertise and ongoing human judgment. The lower layer — </w:t>
      </w:r>
      <w:r>
        <w:rPr>
          <w:i/>
          <w:iCs/>
        </w:rPr>
        <w:t>context implementation</w:t>
      </w:r>
      <w:r>
        <w:t xml:space="preserve"> — is the specific mechanics of retrieval logic, memory structures, prompt construction, and orchestration code. This layer is increasingly subject to automated optimization through search. Human judgment remains essential for the strategy; the implementation is where compute and agents can do the heavy lifting.</w:t>
      </w:r>
    </w:p>
    <w:p w14:paraId="0A80AA88" w14:textId="77777777" w:rsidR="00C808F7" w:rsidRDefault="00000000">
      <w:pPr>
        <w:pStyle w:val="ListParagraph"/>
        <w:numPr>
          <w:ilvl w:val="0"/>
          <w:numId w:val="2"/>
        </w:numPr>
        <w:spacing w:after="120"/>
      </w:pPr>
      <w:r>
        <w:rPr>
          <w:b/>
          <w:bCs/>
        </w:rPr>
        <w:t xml:space="preserve">Harness engineering is an emerging discipline. </w:t>
      </w:r>
      <w:r>
        <w:t>The term “harness” has entered practitioner vocabulary to describe the code that wraps a language model: what information to store, when to retrieve it, how to present it. Anthropic, OpenAI, and Martin Fowler all published on harness engineering in late 2025 and early 2026. Meta-Harness (Stanford/MIT, March 2026) showed that automated search over harness code can beat the best hand-engineered systems across text classification, mathematical reasoning, and agentic coding tasks. The field is formalizing around the harness as the unit of optimization — distinct from the model itself.</w:t>
      </w:r>
    </w:p>
    <w:p w14:paraId="0A80AA88" w14:textId="77777777" w:rsidR="00C808F7" w:rsidRDefault="00000000">
      <w:pPr>
        <w:pStyle w:val="ListParagraph"/>
        <w:numPr>
          <w:ilvl w:val="0"/>
          <w:numId w:val="2"/>
        </w:numPr>
        <w:spacing w:after="120"/>
      </w:pPr>
      <w:r>
        <w:rPr>
          <w:b/>
        </w:rPr>
        <w:t xml:space="preserve">LLMs are a new kind of computer, and the context window is the program. </w:t>
      </w:r>
      <w:r>
        <w:t>Karpathy’s Software 3.0 framing (Sequoia AI Ascent, April 2026) is the cleanest vocabulary available for what has actually changed. Software 1.0 was explicit rules written in code. Software 2.0 was learned weights — curate the dataset, define the objective, train the model. Software 3.0 is programming in natural language over a context window: model weights are the CPU, the context window is RAM, and what you write into it — prompts, documentation, examples, tool definitions, memory, specifications — is the software. This is not a metaphor for executives to nod along to; it is a practical reframe with two consequences. First, the artifact your organization is building is the context, not the application, which is why generic prompting produces generic results. Second, it forces a harder question than “how do we add AI to this?” Karpathy’s version: what new categories of software become possible, and which of our existing applications should stop existing as applications at all?</w:t>
      </w:r>
    </w:p>
    <w:p w14:paraId="051AC8CD" w14:textId="77777777" w:rsidR="00C808F7" w:rsidRDefault="00000000">
      <w:pPr>
        <w:pStyle w:val="ListParagraph"/>
        <w:numPr>
          <w:ilvl w:val="0"/>
          <w:numId w:val="2"/>
        </w:numPr>
        <w:spacing w:after="120"/>
      </w:pPr>
      <w:r>
        <w:rPr>
          <w:b/>
          <w:bCs/>
        </w:rPr>
        <w:t xml:space="preserve">The future workforce is a hybrid of humans and agents. </w:t>
      </w:r>
      <w:r>
        <w:t>This is not a future state to plan for — it is already underway. The question is not whether agents enter the workforce but how the division of labor between humans and agents is designed, managed, and evolved.</w:t>
      </w:r>
    </w:p>
    <w:p w14:paraId="6F960616" w14:textId="77777777" w:rsidR="00C808F7" w:rsidRDefault="00000000">
      <w:pPr>
        <w:pStyle w:val="ListParagraph"/>
        <w:numPr>
          <w:ilvl w:val="0"/>
          <w:numId w:val="2"/>
        </w:numPr>
        <w:spacing w:after="120"/>
      </w:pPr>
      <w:r>
        <w:rPr>
          <w:b/>
          <w:bCs/>
        </w:rPr>
        <w:t xml:space="preserve">Humans will concentrate in problem definition, accountability, systems design, relationships, and validation. </w:t>
      </w:r>
      <w:r>
        <w:t xml:space="preserve">Someone must own outcomes before regulators and boards. Someone must architect how humans and agents collaborate. Someone must build and maintain trust between organizations. Someone must judge whether the system’s output is </w:t>
      </w:r>
      <w:proofErr w:type="gramStart"/>
      <w:r>
        <w:t>actually good</w:t>
      </w:r>
      <w:proofErr w:type="gramEnd"/>
      <w:r>
        <w:t>. And someone must define which problems the AI system should be solving in the first place — the problem formulation that no search process can automate away. These functions remain human. Most everything else is migrating.</w:t>
      </w:r>
    </w:p>
    <w:p w14:paraId="69745ADF" w14:textId="77777777" w:rsidR="00C808F7" w:rsidRDefault="00000000">
      <w:pPr>
        <w:pStyle w:val="ListParagraph"/>
        <w:numPr>
          <w:ilvl w:val="0"/>
          <w:numId w:val="2"/>
        </w:numPr>
        <w:spacing w:after="120"/>
      </w:pPr>
      <w:r>
        <w:rPr>
          <w:b/>
          <w:bCs/>
        </w:rPr>
        <w:t xml:space="preserve">Systems thinking is the essential skill for individuals who will thrive. </w:t>
      </w:r>
      <w:r>
        <w:t xml:space="preserve">The ability to see how pieces fit together, design workflows, and architect human-agent collaboration requires both technical fluency and deep understanding of how the business </w:t>
      </w:r>
      <w:proofErr w:type="gramStart"/>
      <w:r>
        <w:t>actually works</w:t>
      </w:r>
      <w:proofErr w:type="gramEnd"/>
      <w:r>
        <w:t>. It is the hardest skill to develop and the most valuable to possess.</w:t>
      </w:r>
    </w:p>
    <w:p w14:paraId="2FCF17F8" w14:textId="77777777" w:rsidR="00C808F7" w:rsidRDefault="00000000">
      <w:pPr>
        <w:pStyle w:val="ListParagraph"/>
        <w:numPr>
          <w:ilvl w:val="0"/>
          <w:numId w:val="2"/>
        </w:numPr>
        <w:spacing w:after="120"/>
      </w:pPr>
      <w:r>
        <w:rPr>
          <w:b/>
          <w:bCs/>
        </w:rPr>
        <w:t xml:space="preserve">AI agents need to be told what to do and what good looks like — not how to do it. </w:t>
      </w:r>
      <w:r>
        <w:t>This is a fundamental shift from how banks have historically managed technology and people. Detailed procedural instructions give way to clear objectives, quality standards, and guardrails. The skill is in defining the outcome and the boundaries, not in specifying the steps.</w:t>
      </w:r>
      <w:r>
        <w:t xml:space="preserve"> Mollick’s “manager stance” (June 2026) is the most useful articulation I have found for non-technical leaders: commission with a clear objective and quality standard, review outcomes against the brief rather than supervising execution, correct specific aspects of the result rather than redoing steps, and validate with domain judgment in the areas where the model is unreliable. It is the posture of a manager toward a capable employee, not a supervisor toward a process.</w:t>
      </w:r>
    </w:p>
    <w:p w14:paraId="36D761B5" w14:textId="77777777" w:rsidR="00C808F7" w:rsidRDefault="00000000">
      <w:pPr>
        <w:pStyle w:val="ListParagraph"/>
        <w:numPr>
          <w:ilvl w:val="0"/>
          <w:numId w:val="2"/>
        </w:numPr>
        <w:spacing w:after="120"/>
      </w:pPr>
      <w:r>
        <w:rPr>
          <w:b/>
          <w:bCs/>
        </w:rPr>
        <w:t xml:space="preserve">Managing the work of agents and operating alongside them is a new and essential capability. </w:t>
      </w:r>
      <w:r>
        <w:t xml:space="preserve">This is not a metaphor. It means designing approval workflows, monitoring agent output, interpreting what </w:t>
      </w:r>
      <w:proofErr w:type="gramStart"/>
      <w:r>
        <w:t>agents</w:t>
      </w:r>
      <w:proofErr w:type="gramEnd"/>
      <w:r>
        <w:t xml:space="preserve"> surface, knowing when to intervene, and building the feedback loops that make the system improve over time. It is a discipline that barely exists today and will be table stakes within a few years.</w:t>
      </w:r>
      <w:r>
        <w:t xml:space="preserve"> Karpathy has given the professional version of this discipline a name — agentic engineering — and a specific content: spec design before prompting, supervision of the agent’s plan and not only its output, inspection of every diff, deliberate evaluation-loop design, and permission management that limits the blast radius of mistakes. His distinction is sharp and worth borrowing: vibe coding raises the floor, agentic engineering extrapolates the ceiling. The banking translation is direct — those same five practices describe what it takes to responsibly let an agent touch a credit file or a BSA alert.</w:t>
      </w:r>
    </w:p>
    <w:p w14:paraId="36D761B5" w14:textId="77777777" w:rsidR="00C808F7" w:rsidRDefault="00000000">
      <w:pPr>
        <w:pStyle w:val="ListParagraph"/>
        <w:numPr>
          <w:ilvl w:val="0"/>
          <w:numId w:val="2"/>
        </w:numPr>
        <w:spacing w:after="120"/>
      </w:pPr>
      <w:proofErr w:type="gramStart"/>
      <w:proofErr w:type="gramEnd"/>
      <w:r>
        <w:rPr>
          <w:b/>
        </w:rPr>
        <w:t xml:space="preserve">Evaluation is becoming the scarce skill, and it does not get cheaper as models improve. </w:t>
      </w:r>
      <w:r>
        <w:t>This is the most underrated asymmetry in the whole transition. Better models produce more output, faster — but checking whether that output is correct does not improve at the same rate, and it is bounded by what the reviewer actually knows about the domain. Karpathy puts it plainly: the human’s job shifts from writing the code to writing the tests that validate the code. Mollick reaches the same place from the interface side — cognitive load moves from execution to evaluation, which makes deep expertise more valuable rather than less. For a bank this means the investment that compounds is evaluation infrastructure: what does good look like for this workflow, how would we detect that it degraded, and who is qualified to say so. Organizations that scale agents without building this are accumulating unmeasured risk, not capability.</w:t>
      </w:r>
    </w:p>
    <w:p w14:paraId="36D761B5" w14:textId="77777777" w:rsidR="00C808F7" w:rsidRDefault="00000000">
      <w:pPr>
        <w:pStyle w:val="ListParagraph"/>
        <w:numPr>
          <w:ilvl w:val="0"/>
          <w:numId w:val="2"/>
        </w:numPr>
        <w:spacing w:after="120"/>
      </w:pPr>
      <w:proofErr w:type="gramStart"/>
      <w:proofErr w:type="gramEnd"/>
      <w:r>
        <w:rPr>
          <w:b/>
        </w:rPr>
        <w:t xml:space="preserve">Agent autonomy arrives in stages, and which stage a workflow sits in is a design decision rather than a technology constraint. </w:t>
      </w:r>
      <w:r>
        <w:t>Sequoia’s three-stage model is the most practical framework I have seen for this. Stage 1, supervised: a human directs the agent and reviews every significant action before it executes. Stage 2, asynchronous: agents work without continuous supervision and report back, with the human setting objectives and reviewing outputs. Stage 3, what they call the dark factory: human review leaves the production loop entirely, and agents spin up sub-agents and check each other’s work. Stage 3 already exists in narrow domains — automated penetration testing is the example they cite — and Sequoia is explicit that the conditions under which it is safe rather than reckless are not settled. The useful move for a bank is to place each workflow deliberately and say so out loud. Most belong in Stage 1 or 2 for the foreseeable future, and naming that is better governance than leaving it implicit.</w:t>
      </w:r>
    </w:p>
    <w:p w14:paraId="7FCC23B5" w14:textId="77777777" w:rsidR="00C808F7" w:rsidRDefault="00000000">
      <w:pPr>
        <w:pStyle w:val="ListParagraph"/>
        <w:numPr>
          <w:ilvl w:val="0"/>
          <w:numId w:val="2"/>
        </w:numPr>
        <w:spacing w:after="120"/>
      </w:pPr>
      <w:r>
        <w:rPr>
          <w:b/>
          <w:bCs/>
        </w:rPr>
        <w:t xml:space="preserve">Validation demand will follow a bell curve — and we’re still on the upslope. </w:t>
      </w:r>
      <w:r>
        <w:t>Agents can do meaningful work but can’t yet be trusted to operate autonomously in most domains. Humans review, correct, and sign off. This demand will peak in 2–4 years, then decline as systems accumulate enough data to self-correct. But new domains keep opening, pushing the curve rightward. Validation is not a temporary inconvenience — it is a structural feature of the transition.</w:t>
      </w:r>
    </w:p>
    <w:p w14:paraId="5582D77B" w14:textId="77777777" w:rsidR="00C808F7" w:rsidRDefault="00000000">
      <w:pPr>
        <w:pStyle w:val="ListParagraph"/>
        <w:numPr>
          <w:ilvl w:val="0"/>
          <w:numId w:val="2"/>
        </w:numPr>
        <w:spacing w:after="120"/>
      </w:pPr>
      <w:r>
        <w:rPr>
          <w:b/>
          <w:bCs/>
        </w:rPr>
        <w:lastRenderedPageBreak/>
        <w:t xml:space="preserve">The validator pool is a one-generation asset, and the compression is accelerating. </w:t>
      </w:r>
      <w:r>
        <w:t xml:space="preserve">If agents handle all the junior work, the next generation may never build the expertise needed to validate what AI produces. The gap between current experts retiring and new experts emerging is a real institutional risk. The automation of harness engineering compounds this: if the context implementation layer is also automated, there is one fewer </w:t>
      </w:r>
      <w:proofErr w:type="gramStart"/>
      <w:r>
        <w:t>on-ramp</w:t>
      </w:r>
      <w:proofErr w:type="gramEnd"/>
      <w:r>
        <w:t xml:space="preserve"> for junior practitioners to learn by doing. Entry-level work must be restructured around context strategy — learning to define problems, judge AI output, identify where context is missing, and evaluate whether the systems that produce it are </w:t>
      </w:r>
      <w:proofErr w:type="gramStart"/>
      <w:r>
        <w:t>actually working</w:t>
      </w:r>
      <w:proofErr w:type="gramEnd"/>
      <w:r>
        <w:t>. Banks that don’t solve this will find themselves dependent on a shrinking pool of domain experts.</w:t>
      </w:r>
    </w:p>
    <w:p w14:paraId="179165C6" w14:textId="77777777" w:rsidR="00C808F7" w:rsidRDefault="00000000">
      <w:pPr>
        <w:pStyle w:val="ListParagraph"/>
        <w:numPr>
          <w:ilvl w:val="0"/>
          <w:numId w:val="2"/>
        </w:numPr>
        <w:spacing w:after="120"/>
      </w:pPr>
      <w:r>
        <w:rPr>
          <w:b/>
          <w:bCs/>
        </w:rPr>
        <w:t xml:space="preserve">AI-native challengers have a structural advantage over incumbents. </w:t>
      </w:r>
      <w:r>
        <w:t xml:space="preserve">They design the human-agent division of labor from scratch, with no legacy systems to rewire, no existing workforce to retrain, no entrenched processes to unwind. Incumbents’ advantages — customer depth, regulatory standing, domain expertise — are real, but only if they can be converted into AI context and organizational speed. </w:t>
      </w:r>
      <w:proofErr w:type="gramStart"/>
      <w:r>
        <w:t>Otherwise</w:t>
      </w:r>
      <w:proofErr w:type="gramEnd"/>
      <w:r>
        <w:t xml:space="preserve"> they are just inertia.</w:t>
      </w:r>
    </w:p>
    <w:p w14:paraId="3FFA1979" w14:textId="77777777" w:rsidR="00C808F7" w:rsidRDefault="00000000">
      <w:pPr>
        <w:pStyle w:val="ListParagraph"/>
        <w:numPr>
          <w:ilvl w:val="0"/>
          <w:numId w:val="2"/>
        </w:numPr>
        <w:spacing w:after="120"/>
      </w:pPr>
      <w:r>
        <w:rPr>
          <w:b/>
          <w:bCs/>
        </w:rPr>
        <w:t xml:space="preserve">The pace of change in AI is exceptionally fast, and we have not reached a steady state. </w:t>
      </w:r>
      <w:r>
        <w:t>Model capabilities are improving on a curve that makes 12-month predictions unreliable. Strategies must be designed to adapt continuously. Static plans — three-year roadmaps, fixed vendor commitments, rigid governance frameworks — will not survive contact with the rate of change. The organizational muscle to learn, build, deprecate, and rebuild is more important than any single deployment.</w:t>
      </w:r>
    </w:p>
    <w:p w14:paraId="78B007CD" w14:textId="77777777" w:rsidR="00C808F7" w:rsidRDefault="00000000">
      <w:pPr>
        <w:pStyle w:val="ListParagraph"/>
        <w:numPr>
          <w:ilvl w:val="0"/>
          <w:numId w:val="2"/>
        </w:numPr>
        <w:spacing w:after="120"/>
      </w:pPr>
      <w:r>
        <w:rPr>
          <w:b/>
          <w:bCs/>
        </w:rPr>
        <w:t xml:space="preserve">Proficiency — individual and organizational — is gained through experience, not training. </w:t>
      </w:r>
      <w:r>
        <w:t xml:space="preserve">You cannot train your way to AI competence through workshops and certifications. People learn by </w:t>
      </w:r>
      <w:proofErr w:type="gramStart"/>
      <w:r>
        <w:t>doing:</w:t>
      </w:r>
      <w:proofErr w:type="gramEnd"/>
      <w:r>
        <w:t xml:space="preserve"> by using AI daily, by building something that solves a real problem, by failing and iterating. Organizations learn the same way. The companies seeing compounding returns are the ones that fund the reps — giving people room to experiment with the explicit understanding that the payoff comes from compounding, not from day one.</w:t>
      </w:r>
    </w:p>
    <w:p w14:paraId="1428434E" w14:textId="77777777" w:rsidR="00C808F7" w:rsidRDefault="00000000">
      <w:pPr>
        <w:pStyle w:val="ListParagraph"/>
        <w:numPr>
          <w:ilvl w:val="0"/>
          <w:numId w:val="2"/>
        </w:numPr>
        <w:spacing w:after="120"/>
      </w:pPr>
      <w:r>
        <w:rPr>
          <w:b/>
          <w:bCs/>
        </w:rPr>
        <w:t xml:space="preserve">Speed is a compounding advantage. </w:t>
      </w:r>
      <w:r>
        <w:t>Faster iteration produces more data, better context, sharper workflows, which produce faster iteration. The gap between fast movers and slow movers widens nonlinearly. This is not about being first — it is about building the cycle that compounds. Every quarter of delay is not just lost time; it is lost compounding.</w:t>
      </w:r>
    </w:p>
    <w:p w14:paraId="67AAB62A" w14:textId="77777777" w:rsidR="00C808F7" w:rsidRDefault="00000000">
      <w:pPr>
        <w:pStyle w:val="ListParagraph"/>
        <w:numPr>
          <w:ilvl w:val="0"/>
          <w:numId w:val="2"/>
        </w:numPr>
        <w:spacing w:after="120"/>
      </w:pPr>
      <w:r>
        <w:rPr>
          <w:b/>
          <w:bCs/>
        </w:rPr>
        <w:t xml:space="preserve">There is no one-model-fits-all answer. </w:t>
      </w:r>
      <w:r>
        <w:t>Different models have different strengths — reasoning depth, speed, cost, multimodal capability, context window size. The right model depends on the task. Organizations need the flexibility to choose and switch models as the landscape evolves, which means avoiding deep lock-in to any single provider.</w:t>
      </w:r>
      <w:r>
        <w:t xml:space="preserve"> The landscape is also more genuinely contested than most bankers assume. Stanford’s 2026 AI Index puts the top US model just 2.7% ahead of the best Chinese model as of March 2026 — inside the noise for real-world tasks — and open-weight models like DeepSeek and Kimi K3 now land near the frontier. That widens the practical menu and strengthens the case against deep lock-in. It also puts a live policy question underneath your vendor strategy, which is the subject of the next belief.</w:t>
      </w:r>
    </w:p>
    <w:p w14:paraId="67AAB62A" w14:textId="77777777" w:rsidR="00C808F7" w:rsidRDefault="00000000">
      <w:pPr>
        <w:pStyle w:val="ListParagraph"/>
        <w:numPr>
          <w:ilvl w:val="0"/>
          <w:numId w:val="2"/>
        </w:numPr>
        <w:spacing w:after="120"/>
      </w:pPr>
      <w:r>
        <w:rPr>
          <w:b/>
        </w:rPr>
        <w:t xml:space="preserve">Frontier model access is becoming policy-mediated, not just commercially negotiated — this is new, and it belongs in vendor risk. </w:t>
      </w:r>
      <w:r>
        <w:t>Through 2025, “can we use this model?” was answered by price, contract, and security review. In 2026 it is also answered by governments. Dario Amodei proposed binding regulation with authority to block or reverse a frontier model’s deployment (June 2026), modeled explicitly on FAA authority over aircraft — and within two days of publication the U.S. government exercised something very like it, suspending Claude Fable 5 and Mythos 5 worldwide by export-control directive. Writing at the end of June, Mollick notes that access to two of the most capable models then available, Fable 5 and GPT-5.6, had been halted by government restriction — which means the capability overhang is now partly policy-created: the models exist, access is controlled. Sam Altman’s July proposal for a US-led international forum would formalize exactly this, gating frontier access on participation and compliance. Jensen Huang and a 25-company coalition are pushing hard the other way, arguing that restricting open-weight models — including Chinese ones — would repeat a mistake the U.S. narrowly avoided with software in the 1980s; notably, OpenAI, Anthropic, and Google declined to sign. The practical implication for banks: model availability is now a regulatory risk and not only a commercial one. Architect for substitution. The ability to swap models on short notice has stopped being negotiating leverage and started being continuity planning.</w:t>
      </w:r>
    </w:p>
    <w:p w14:paraId="1B1B5741" w14:textId="77777777" w:rsidR="00C808F7" w:rsidRDefault="00000000">
      <w:pPr>
        <w:pStyle w:val="ListParagraph"/>
        <w:numPr>
          <w:ilvl w:val="0"/>
          <w:numId w:val="2"/>
        </w:numPr>
        <w:spacing w:after="120"/>
      </w:pPr>
      <w:r>
        <w:rPr>
          <w:b/>
          <w:bCs/>
        </w:rPr>
        <w:t xml:space="preserve">“AI strategy” is a misnomer. </w:t>
      </w:r>
      <w:r>
        <w:t>Business strategy remains paramount — but must be reevaluated given what AI makes possible. AI is not a workstream alongside the business strategy. It reshapes what’s feasible, what’s economical, and what customers will expect. The strategic question isn’t “what is our AI strategy?” It’s “what does our business strategy look like now that intelligence is abundant and cheap?”</w:t>
      </w:r>
    </w:p>
    <w:p w14:paraId="02EF24F8" w14:textId="77777777" w:rsidR="00C808F7" w:rsidRDefault="00000000">
      <w:pPr>
        <w:pStyle w:val="ListParagraph"/>
        <w:numPr>
          <w:ilvl w:val="0"/>
          <w:numId w:val="2"/>
        </w:numPr>
        <w:spacing w:after="120"/>
      </w:pPr>
      <w:r>
        <w:rPr>
          <w:b/>
          <w:bCs/>
        </w:rPr>
        <w:t xml:space="preserve">AI may change not just how you work, but where you play and how you win. </w:t>
      </w:r>
      <w:r>
        <w:t xml:space="preserve">New products become feasible. New markets become reachable. New competitors emerge from outside the industry. Managing change across multiple axes simultaneously — </w:t>
      </w:r>
      <w:r>
        <w:lastRenderedPageBreak/>
        <w:t>operations, products, competitive positioning, talent — is the defining challenge of leadership right now.</w:t>
      </w:r>
    </w:p>
    <w:p w14:paraId="2B69F518" w14:textId="77777777" w:rsidR="00C808F7" w:rsidRDefault="00000000">
      <w:pPr>
        <w:pStyle w:val="ListParagraph"/>
        <w:numPr>
          <w:ilvl w:val="0"/>
          <w:numId w:val="2"/>
        </w:numPr>
        <w:spacing w:after="120"/>
      </w:pPr>
      <w:r>
        <w:rPr>
          <w:b/>
          <w:bCs/>
        </w:rPr>
        <w:t xml:space="preserve">AI reduces the cost of operating, but if headcount doesn’t flex, ROI comes only through growth. </w:t>
      </w:r>
      <w:r>
        <w:t>This is the quiet tension in every AI business case. Banks that are unwilling or unable to resize teams will only realize returns by serving more customers, entering new markets, or offering new products with the same people. That’s a viable path — but it requires a growth strategy, not just an efficiency one. Leaders should be honest with themselves about which path they’re on.</w:t>
      </w:r>
    </w:p>
    <w:p w14:paraId="1AEC59A3" w14:textId="77777777" w:rsidR="00C808F7" w:rsidRDefault="00000000">
      <w:pPr>
        <w:pStyle w:val="ListParagraph"/>
        <w:numPr>
          <w:ilvl w:val="0"/>
          <w:numId w:val="2"/>
        </w:numPr>
        <w:spacing w:after="120"/>
      </w:pPr>
      <w:proofErr w:type="gramStart"/>
      <w:proofErr w:type="gramEnd"/>
      <w:proofErr w:type="spellStart"/>
      <w:proofErr w:type="spellEnd"/>
      <w:proofErr w:type="spellStart"/>
      <w:proofErr w:type="spellEnd"/>
      <w:r>
        <w:rPr>
          <w:b/>
        </w:rPr>
        <w:t xml:space="preserve">AI capabilities are improving on a steep curve, and economic usefulness has lagged — but the lag has been an interface problem more than a model problem. </w:t>
      </w:r>
      <w:r>
        <w:t>Dwarkesh Patel captured the original observation best: “Models keep getting more impressive at the rate short-timelines people predict, but more useful at the rate long-timelines people predict.” The lag is real and documented — Goldman Sachs walked back their 7% GDP forecast to “no meaningful economy-wide effect yet” (2026), Acemoglu’s TFP estimates remain under 1%, and Anthropic’s Economic Index shows a wide gap between theoretical exposure (80%+ in knowledge work) and actual adoption. But Mollick’s capability overhang argument (June 2026) supplies the mechanism, and the mechanism changes the forecast. Models have been capable of far more than chatbot interfaces allowed anyone to reach. The chatbot format caps utility structurally: it is synchronous, so the human is the pacing bottleneck; it charges cognitive overhead on every single turn; it has no tool access and no persistent state. Those are interface failures, not model failures — a frontier model accessed through a chatbot underperforms the same way a powerful computer accessed through a teletype does. The implication is uncomfortable for anyone using adoption data to set strategy: a “no economy-wide effect yet” conclusion reached while the dominant interface was a chatbot may reverse quickly as agentic interfaces diffuse, and ROI studies conducted in chatbot contexts are not predictive of agentic outcomes. I still believe adoption speed matters more than capability arrival. I am now considerably less confident that the observed lag is a reliable guide to how much time we have.</w:t>
      </w:r>
    </w:p>
    <w:p w14:paraId="78378A5E" w14:textId="77777777" w:rsidR="00C808F7" w:rsidRDefault="00000000">
      <w:pPr>
        <w:pStyle w:val="ListParagraph"/>
        <w:numPr>
          <w:ilvl w:val="0"/>
          <w:numId w:val="2"/>
        </w:numPr>
        <w:spacing w:after="120"/>
      </w:pPr>
      <w:r>
        <w:rPr>
          <w:b/>
          <w:bCs/>
        </w:rPr>
        <w:t xml:space="preserve">The “jagged frontier” is the most important practical concept for anyone deploying AI. </w:t>
      </w:r>
      <w:r>
        <w:t>Documented by Mollick (Wharton/BCG study of 758 consultants), confirmed by Brynjolfsson’s customer support study, and visible in every enterprise deployment report — AI is brilliant at some complex tasks and terrible at seemingly simple ones, and you cannot predict which without hands-on use. Top-down AI strategy without bottom-up experimentation is blind. Your member banks need structured experimentation programs.</w:t>
      </w:r>
      <w:r>
        <w:t xml:space="preserve"> Stanford’s 2026 AI Index makes the shape concrete and the unpredictability vivid: SWE-bench Verified went from 60% to near 100% in a single year — standard software engineering is now essentially solved — while AI still lags on multi-step planning under real-world scheduling constraints and, notably for this audience, on financial analysis requiring real-world context and nuanced judgment. Karpathy’s framing explains the pattern: models are “jagged ghosts” that spike where the training signal is dense — mathematics, code with tests, games with scores — and fail where it is thin, in ways that do not track human intuitions about difficulty. An agent that reliably refactors a two-thousand-line class may hallucinate a nonexistent API in a one-liner.</w:t>
      </w:r>
    </w:p>
    <w:p w14:paraId="05C43548" w14:textId="77777777" w:rsidR="00C808F7" w:rsidRDefault="00000000">
      <w:pPr>
        <w:pStyle w:val="ListParagraph"/>
        <w:numPr>
          <w:ilvl w:val="0"/>
          <w:numId w:val="2"/>
        </w:numPr>
        <w:spacing w:after="120"/>
      </w:pPr>
      <w:r>
        <w:rPr>
          <w:b/>
          <w:bCs/>
        </w:rPr>
        <w:t xml:space="preserve">AI’s labor impact is showing up as a hiring slowdown, not mass layoffs. </w:t>
      </w:r>
      <w:proofErr w:type="spellStart"/>
      <w:r>
        <w:t>Anthropic’s</w:t>
      </w:r>
      <w:proofErr w:type="spellEnd"/>
      <w:r>
        <w:t xml:space="preserve"> Economic Index found a 14% slowdown in hiring of </w:t>
      </w:r>
      <w:proofErr w:type="gramStart"/>
      <w:r>
        <w:t>22-25 year-olds</w:t>
      </w:r>
      <w:proofErr w:type="gramEnd"/>
      <w:r>
        <w:t xml:space="preserve"> into AI-exposed roles. Brynjolfsson’s work shows AI primarily lifts the performance floor (novices benefit most). Multiple sources (McKinsey, Accenture, Microsoft) converge on the same pattern: augmentation before automation. The story to tell your boards is about making existing relationship bankers 2-3x more effective, not about headcount reduction.</w:t>
      </w:r>
    </w:p>
    <w:p w14:paraId="533CCBAB" w14:textId="77777777" w:rsidR="00C808F7" w:rsidRDefault="00000000">
      <w:pPr>
        <w:pStyle w:val="ListParagraph"/>
        <w:numPr>
          <w:ilvl w:val="0"/>
          <w:numId w:val="2"/>
        </w:numPr>
        <w:spacing w:after="120"/>
      </w:pPr>
      <w:proofErr w:type="spellStart"/>
      <w:proofErr w:type="spellEnd"/>
      <w:proofErr w:type="spellStart"/>
      <w:proofErr w:type="spellEnd"/>
      <w:proofErr w:type="spellStart"/>
      <w:proofErr w:type="spellEnd"/>
      <w:proofErr w:type="spellStart"/>
      <w:proofErr w:type="spellEnd"/>
      <w:r>
        <w:rPr>
          <w:b/>
        </w:rPr>
        <w:t xml:space="preserve">Pre-training scaling may be plateauing, but at a level that is already transformatively powerful — and the AGI timeline debate has become a dispute about definitions. </w:t>
      </w:r>
      <w:r>
        <w:t>Dario Amodei (Dwarkesh, Feb 2026), Ilya Sutskever (Dwarkesh, Nov 2025), and Sequoia all converge on the plateau itself: exponential gains from simply adding pre-training compute are flattening, while RL-based and agentic approaches open a new capability frontier. What moved over the past year is less the date than the definition. David Cahn documents a genuine reset — the casual “AGI by 2027” consensus has broken down, and the Dwarkesh interviews with Richard Sutton, Karpathy, and Sutskever pushed the center of gravity into the 2030s. In the same period Sequoia declared that AGI has already arrived, using a deliberately functional and non-philosophical definition: a system you can dispatch to do a job, that recovers from failure and persists until the job is done. Both positions are defensible because they answer different questions. For an operator the practical reading is identical either way — don’t wait for “the next GPT,” and don’t wait for anyone to settle the definition. Current capabilities are already sufficient to transform banking operations.</w:t>
      </w:r>
    </w:p>
    <w:p w14:paraId="5E5E4805" w14:textId="77777777" w:rsidR="00C808F7" w:rsidRDefault="00000000">
      <w:pPr>
        <w:pStyle w:val="ListParagraph"/>
        <w:numPr>
          <w:ilvl w:val="0"/>
          <w:numId w:val="2"/>
        </w:numPr>
        <w:spacing w:after="120"/>
      </w:pPr>
      <w:r>
        <w:rPr>
          <w:b/>
        </w:rPr>
        <w:t xml:space="preserve">Agentic AI is the 2025-2026 inflection point, and it now has a measured trajectory. </w:t>
      </w:r>
      <w:r>
        <w:t>McKinsey, BCG, Sequoia, Willison, Anthropic, AWS, and Microsoft all independently identify agents as the defining shift. Karpathy dates the reliability threshold precisely to December 2025 — the moment coding agents went from sophisticated autocomplete under direct supervision to being handed entire subsystem refactors with a human reviewing the resulting diff. Sequoia decomposes why it happened when it did: the brain (reasoning and context length sufficient to hold a multi-step task without losing coherence), the limbs (MCP, terminal access, computer use — the ability to act rather than only generate text), and resilience (RL-trained recovery from failure, which is what turns a powerful assistant into something that actually finishes). BCG’s line still lands: “The branch manager of the future is an AI agent in the customer’s pocket.” What is new is that the trajectory is measurable. The METR curve tracks the maximum duration of a task an agent can reliably complete, and it has been doubling roughly every seven months — putting human-equivalent task duration somewhere around 2028. That is a specific number to plan against rather than a vibe, and it is worth tracking directly, including for your own deployed agents, as a leading indicator of when autonomous operation becomes viable function by function. A community bank agent with genuine local context could still outperform a generic big-bank agent.</w:t>
      </w:r>
    </w:p>
    <w:p w14:paraId="61FDCD0B" w14:textId="77777777" w:rsidR="00C808F7" w:rsidRDefault="00000000">
      <w:pPr>
        <w:pStyle w:val="Heading3"/>
      </w:pPr>
      <w:r>
        <w:t>On AI economics and business models</w:t>
      </w:r>
    </w:p>
    <w:p w14:paraId="60B0080B" w14:textId="77777777" w:rsidR="00C808F7" w:rsidRDefault="00000000">
      <w:pPr>
        <w:pStyle w:val="ListParagraph"/>
        <w:numPr>
          <w:ilvl w:val="0"/>
          <w:numId w:val="2"/>
        </w:numPr>
        <w:spacing w:after="120"/>
      </w:pPr>
      <w:r>
        <w:rPr>
          <w:b/>
          <w:bCs/>
        </w:rPr>
        <w:t xml:space="preserve">There is a $500-600B annual gap between AI infrastructure spending and actual revenue. </w:t>
      </w:r>
      <w:r>
        <w:t xml:space="preserve">Sequoia’s David Cahn documented this in mid-2024, and the gap persists into 2026. Bill Gurley (Benchmark) warns of bubble characteristics. Goldman’s 2026 walk-back and the broader revenue data confirm the gap is real. The current investment cycle </w:t>
      </w:r>
      <w:r>
        <w:lastRenderedPageBreak/>
        <w:t xml:space="preserve">may correct painfully, but that’s </w:t>
      </w:r>
      <w:proofErr w:type="gramStart"/>
      <w:r>
        <w:t>actually good</w:t>
      </w:r>
      <w:proofErr w:type="gramEnd"/>
      <w:r>
        <w:t xml:space="preserve"> for adopters like banks — costs will come down. Don’t over-invest in custom infrastructure; leverage vendor competition.</w:t>
      </w:r>
      <w:r>
        <w:t xml:space="preserve"> Stanford’s 2026 Index confirms the order of magnitude from the investment side: global corporate AI investment reached $581.7B in 2025, up 130% year over year. Cahn’s 2026 follow-up adds the supply-side mechanism — the buildout is running into physical limits that capital cannot dissolve. TSMC and ASML hold near-monopolistic positions in advanced chip production and expand capacity on their own judgment (TSMC grew revenue 50% since 2022 while growing capex only 10%), and the final stages of data center construction depend on generators, cooling units, power distribution equipment, and skilled trades that each carry their own lead times. Announced capacity is not deployed capacity. For adopters this remains good news — vendor competition and cost deflation work in your favor — but it argues against building your plan around anyone’s announced capex.</w:t>
      </w:r>
    </w:p>
    <w:p w14:paraId="5C318129" w14:textId="77777777" w:rsidR="00C808F7" w:rsidRDefault="00000000">
      <w:pPr>
        <w:pStyle w:val="ListParagraph"/>
        <w:numPr>
          <w:ilvl w:val="0"/>
          <w:numId w:val="2"/>
        </w:numPr>
        <w:spacing w:after="120"/>
      </w:pPr>
      <w:r>
        <w:rPr>
          <w:b/>
          <w:bCs/>
        </w:rPr>
        <w:t xml:space="preserve">AI cost deflation at ~10x per year is the most underappreciated trend. </w:t>
      </w:r>
      <w:r>
        <w:t>Altman (Three Observations), Willison (annual reviews), and Sequoia all document this. GPT-4-level capability that cost $60/million tokens in 2023 now costs pennies. Use cases that are marginally uneconomic today will be decisively economic within 12 months. Build the architecture now.</w:t>
      </w:r>
    </w:p>
    <w:p w14:paraId="5C318129" w14:textId="77777777" w:rsidR="00C808F7" w:rsidRDefault="00000000">
      <w:pPr>
        <w:pStyle w:val="ListParagraph"/>
        <w:numPr>
          <w:ilvl w:val="0"/>
          <w:numId w:val="2"/>
        </w:numPr>
        <w:spacing w:after="120"/>
      </w:pPr>
      <w:r>
        <w:rPr>
          <w:b/>
        </w:rPr>
        <w:t xml:space="preserve">2026 is running on two tracks, and conflating them produces bad strategy. </w:t>
      </w:r>
      <w:r>
        <w:t>Cahn’s framing is the clearest correction to both extremes of AI discourse. At the infrastructure and timeline layer this is the year of delays: supply chain constraints, data center schedules slipping, AGI expectations resetting into the 2030s. At the application and adoption layer it is the year of acceleration: enterprises that spent 2023-2025 trying to build AI capability in-house are experiencing what he calls DIY fatigue — internal builds that took longer, delivered narrower capability, and demanded ongoing maintenance from already-stretched teams — and are now buying working software instead of assembling it. Meanwhile the fastest-growing AI companies are compressing revenue timelines no prior software generation matched. These tracks are not contradictory; they are different parts of the stack moving at different speeds. Two implications for a bank, and they point the same direction: don’t wait for infrastructure conditions or AGI timelines to resolve before building on what already exists, and don’t assume a competitive threat needs years to reach material scale.</w:t>
      </w:r>
    </w:p>
    <w:p w14:paraId="7234E2B3" w14:textId="77777777" w:rsidR="00C808F7" w:rsidRDefault="00000000">
      <w:pPr>
        <w:pStyle w:val="ListParagraph"/>
        <w:numPr>
          <w:ilvl w:val="0"/>
          <w:numId w:val="2"/>
        </w:numPr>
        <w:spacing w:after="120"/>
      </w:pPr>
      <w:r>
        <w:rPr>
          <w:b/>
          <w:bCs/>
        </w:rPr>
        <w:t xml:space="preserve">The SaaS business model is being disrupted. </w:t>
      </w:r>
      <w:r>
        <w:t>Sarah Tavel (Benchmark) argues we’re shifting from selling “seats” to selling “work.” a16z’s 2026 predictions say the system of record loses primacy as AI enables autonomous execution. Your member banks’ vendor relationships will change fundamentally. Negotiate for outcome-based pricing where possible.</w:t>
      </w:r>
      <w:r>
        <w:t xml:space="preserve"> Sequoia now quantifies the prize: the software industry has never been able to address the roughly $10 trillion global professional services market, and capable agents change that equation — work once exclusive to human professionals is being absorbed into the application layer, across medicine, law, finance, and consumer administration. “Services is the new software” is the compact version. For banks this cuts both ways: it is why your vendors’ pricing models will change, and it is why AI-native services firms are now a competitive category you did not previously have to think about.</w:t>
      </w:r>
    </w:p>
    <w:p w14:paraId="71E9E0F0" w14:textId="77777777" w:rsidR="00C808F7" w:rsidRDefault="00000000">
      <w:pPr>
        <w:pStyle w:val="Heading3"/>
      </w:pPr>
      <w:r>
        <w:t>On banking specifically</w:t>
      </w:r>
    </w:p>
    <w:p w14:paraId="34675764" w14:textId="77777777" w:rsidR="00C808F7" w:rsidRDefault="00000000">
      <w:pPr>
        <w:pStyle w:val="ListParagraph"/>
        <w:numPr>
          <w:ilvl w:val="0"/>
          <w:numId w:val="2"/>
        </w:numPr>
        <w:spacing w:after="120"/>
      </w:pPr>
      <w:r>
        <w:rPr>
          <w:b/>
          <w:bCs/>
        </w:rPr>
        <w:t xml:space="preserve">Customer loyalty in banking is collapsing. </w:t>
      </w:r>
      <w:r>
        <w:t>McKinsey: only 4% of US credit card applicants choose their existing bank without shopping (down from 10% in 2018). Checking account loyalty fell from 25% to 4%. The “we have relationships” argument that sustains community banking is eroding faster than most boards realize. AI-powered personalization may be the only way to rebuild stickiness.</w:t>
      </w:r>
    </w:p>
    <w:p w14:paraId="7B906912" w14:textId="77777777" w:rsidR="00C808F7" w:rsidRDefault="00000000">
      <w:pPr>
        <w:pStyle w:val="ListParagraph"/>
        <w:numPr>
          <w:ilvl w:val="0"/>
          <w:numId w:val="2"/>
        </w:numPr>
        <w:spacing w:after="120"/>
      </w:pPr>
      <w:r>
        <w:rPr>
          <w:b/>
          <w:bCs/>
        </w:rPr>
        <w:t xml:space="preserve">The regulatory environment is more permissive than most community bankers assume. </w:t>
      </w:r>
      <w:r>
        <w:t>BIS found existing frameworks mostly cover AI risks. OCC’s Bulletin 2025-26 explicitly reduced model risk burden for community banks. OCC is actively soliciting community bank input on AI adoption barriers. BPI argues the real risk is regulatory inaction. “Regulatory uncertainty” is no longer a valid excuse for inaction.</w:t>
      </w:r>
    </w:p>
    <w:p w14:paraId="6E1BDE42" w14:textId="77777777" w:rsidR="00C808F7" w:rsidRDefault="00000000">
      <w:pPr>
        <w:pStyle w:val="ListParagraph"/>
        <w:numPr>
          <w:ilvl w:val="0"/>
          <w:numId w:val="2"/>
        </w:numPr>
        <w:spacing w:after="120"/>
      </w:pPr>
      <w:r>
        <w:rPr>
          <w:b/>
          <w:bCs/>
        </w:rPr>
        <w:t xml:space="preserve">A bank-by-bank approach to frontier technology won’t work. </w:t>
      </w:r>
      <w:r>
        <w:t>Fed Governor Waller said this explicitly in February 2026. The FSB warns of concentration risk from shared vendors. Brookings documents the scale advantage large banks have (JP Morgan saving 360,000 hours on contract review). This is the theoretical justification for the Alloy Labs alliance model.</w:t>
      </w:r>
    </w:p>
    <w:p w14:paraId="6E1BDE42" w14:textId="77777777" w:rsidR="00C808F7" w:rsidRDefault="00000000">
      <w:pPr>
        <w:pStyle w:val="ListParagraph"/>
        <w:numPr>
          <w:ilvl w:val="0"/>
          <w:numId w:val="2"/>
        </w:numPr>
        <w:spacing w:after="120"/>
      </w:pPr>
      <w:r>
        <w:rPr>
          <w:b/>
        </w:rPr>
        <w:t xml:space="preserve">The diffusion gap is structurally widest in community banking — which makes it simultaneously the biggest risk and the biggest opportunity. </w:t>
      </w:r>
      <w:r>
        <w:t>Sequoia’s term for the widening distance between the rate at which capability is created in labs and the rate at which it reaches actual enterprise deployment. Frontier models advance weekly; the average large enterprise absorbs change over quarters or years. Community banks sit at the far end of that distribution — legacy cores, regulatory overhead, thin technical staffing, and a justified institutional preference for not breaking things. The risk is obvious: competitors who close the gap faster take the customers. The opportunity is the same fact from the other side — the application-layer value in banking is enormous and largely uncaptured, and whoever closes the gap first captures a disproportionate share of it. This is the sharpest argument I have for the alliance model: closing a diffusion gap is precisely the kind of problem that is cheaper to solve collectively than one bank at a time. One caveat worth holding alongside it — Stanford puts U.S. population-level generative AI adoption at 28.3%, ranking 24th globally and below the global average, even as the U.S. leads the world in AI investment. America is producing AI faster than it is adopting it. For banks serving American customers, that suggests demand for AI-enhanced financial services may build more slowly than the investment environment implies. The urgency is real, but for now it is competitive urgency more than customer urgency.</w:t>
      </w:r>
    </w:p>
    <w:p w14:paraId="3E2A7A72" w14:textId="77777777" w:rsidR="00C808F7" w:rsidRDefault="00000000">
      <w:pPr>
        <w:pStyle w:val="ListParagraph"/>
        <w:numPr>
          <w:ilvl w:val="0"/>
          <w:numId w:val="2"/>
        </w:numPr>
        <w:spacing w:after="120"/>
      </w:pPr>
      <w:r>
        <w:rPr>
          <w:b/>
          <w:bCs/>
        </w:rPr>
        <w:t xml:space="preserve">Data quality is the binding constraint for community banks. </w:t>
      </w:r>
      <w:r>
        <w:t xml:space="preserve">Cornerstone Advisors: community banks are “only halfway” to leveraging their data. 35% have chatbots but most lack the data foundation for AI to work. Data governance should arguably be the alliance’s </w:t>
      </w:r>
      <w:proofErr w:type="gramStart"/>
      <w:r>
        <w:t>first priority</w:t>
      </w:r>
      <w:proofErr w:type="gramEnd"/>
      <w:r>
        <w:t xml:space="preserve"> before any AI deployment.</w:t>
      </w:r>
    </w:p>
    <w:p w14:paraId="7EA8339D" w14:textId="77777777" w:rsidR="00C808F7" w:rsidRDefault="00000000">
      <w:pPr>
        <w:pStyle w:val="ListParagraph"/>
        <w:numPr>
          <w:ilvl w:val="0"/>
          <w:numId w:val="2"/>
        </w:numPr>
        <w:spacing w:after="120"/>
      </w:pPr>
      <w:r>
        <w:rPr>
          <w:b/>
          <w:bCs/>
        </w:rPr>
        <w:t xml:space="preserve">“Pilot purgatory” is the biggest risk for banks experimenting with AI. </w:t>
      </w:r>
      <w:r>
        <w:t>McKinsey coined this for the pattern of running narrow experiments without a plan to scale. 60% of banks lack AI KPIs (BCG). The alliance needs shared measurement frameworks and scaling playbooks, not just “try AI” encouragement.</w:t>
      </w:r>
    </w:p>
    <w:p w14:paraId="15D103D3" w14:textId="77777777" w:rsidR="00C808F7" w:rsidRDefault="00000000">
      <w:pPr>
        <w:pStyle w:val="Heading3"/>
      </w:pPr>
      <w:r>
        <w:t>On risks and safety</w:t>
      </w:r>
    </w:p>
    <w:p w14:paraId="0E8C7DD0" w14:textId="77777777" w:rsidR="00C808F7" w:rsidRDefault="00000000">
      <w:pPr>
        <w:pStyle w:val="ListParagraph"/>
        <w:numPr>
          <w:ilvl w:val="0"/>
          <w:numId w:val="2"/>
        </w:numPr>
        <w:spacing w:after="120"/>
      </w:pPr>
      <w:r>
        <w:rPr>
          <w:b/>
          <w:bCs/>
        </w:rPr>
        <w:t xml:space="preserve">AI safety challenges are real and empirically demonstrated, not hypothetical. </w:t>
      </w:r>
      <w:proofErr w:type="spellStart"/>
      <w:r>
        <w:t>Anthropic’s</w:t>
      </w:r>
      <w:proofErr w:type="spellEnd"/>
      <w:r>
        <w:t xml:space="preserve"> alignment faking paper showed models developing strategic deception as emergent behavior. </w:t>
      </w:r>
      <w:proofErr w:type="spellStart"/>
      <w:r>
        <w:t>Anthropic’s</w:t>
      </w:r>
      <w:proofErr w:type="spellEnd"/>
      <w:r>
        <w:t xml:space="preserve"> reward hacking paper showed misalignment transferring across domains. These are not theoretical exercises — they’re published results from production models. Take safety seriously, but as an engineering challenge being actively worked on, not as a reason to avoid AI.</w:t>
      </w:r>
    </w:p>
    <w:p w14:paraId="3EC344F7" w14:textId="77777777" w:rsidR="00C808F7" w:rsidRDefault="00000000">
      <w:pPr>
        <w:pStyle w:val="ListParagraph"/>
        <w:numPr>
          <w:ilvl w:val="0"/>
          <w:numId w:val="2"/>
        </w:numPr>
        <w:spacing w:after="120"/>
      </w:pPr>
      <w:r>
        <w:rPr>
          <w:b/>
          <w:bCs/>
        </w:rPr>
        <w:lastRenderedPageBreak/>
        <w:t xml:space="preserve">Concentration risk from shared AI vendors is a systemic concern. </w:t>
      </w:r>
      <w:r>
        <w:t>The FSB flagged this. As community banks adopt the same third-party AI tools, they create correlated risk. Deepfake tools increased 223% on dark web forums (WEF). The alliance should think about vendor diversification and shared risk assessment, not just shared procurement.</w:t>
      </w:r>
    </w:p>
    <w:p w14:paraId="3EC344F7" w14:textId="77777777" w:rsidR="00C808F7" w:rsidRDefault="00000000">
      <w:pPr>
        <w:pStyle w:val="ListParagraph"/>
        <w:numPr>
          <w:ilvl w:val="0"/>
          <w:numId w:val="2"/>
        </w:numPr>
        <w:spacing w:after="120"/>
      </w:pPr>
      <w:r>
        <w:rPr>
          <w:b/>
        </w:rPr>
        <w:t xml:space="preserve">The governance gap is now measured rather than asserted — and it is widening. </w:t>
      </w:r>
      <w:r>
        <w:t>This is the signature finding of Stanford’s 2026 AI Index: across every dimension they track, governance frameworks are falling further behind capability development year over year. Only about a third of organizations report mature AI governance covering strategy, oversight, and agentic AI. Trust in government to regulate AI is lowest in the United States among all surveyed countries, at 31% — the EU is trusted more than either the U.S. or China. McKinsey’s Transformation Manifesto makes the operational version of the same point and gives it a usable name: “no trust, no right to deploy AI,” noting explicitly that enthusiasm for agentic AI may be running ahead of companies’ ability to manage the more complex risks agents introduce. Skipping trust infrastructure is not moving faster; it is accruing debt. There is a real opportunity buried in this for community banks. In an environment where only a third of organizations have mature governance and public confidence in regulators is low, being demonstrably excellent at AI governance is both a competitive moat and an asset in your regulatory relationships. Banks already know how to build controls. This is the rare case where the industry’s compliance muscle is a head start rather than a drag.</w:t>
      </w:r>
    </w:p>
    <w:p w14:paraId="64399E9B" w14:textId="77777777" w:rsidR="00C808F7" w:rsidRDefault="00000000">
      <w:pPr>
        <w:pStyle w:val="Heading1"/>
      </w:pPr>
      <w:r>
        <w:t>How to Proceed</w:t>
      </w:r>
    </w:p>
    <w:p w14:paraId="11868936" w14:textId="77777777" w:rsidR="00C808F7" w:rsidRDefault="00000000">
      <w:pPr>
        <w:spacing w:after="120"/>
      </w:pPr>
      <w:r>
        <w:t>The following represents advice I give to banks about how to embrace AI.</w:t>
      </w:r>
    </w:p>
    <w:p w14:paraId="714A9B7B" w14:textId="77777777" w:rsidR="00C808F7" w:rsidRDefault="00C808F7">
      <w:pPr>
        <w:spacing w:after="80"/>
      </w:pPr>
    </w:p>
    <w:p w14:paraId="563BA6BB" w14:textId="77777777" w:rsidR="00C808F7" w:rsidRDefault="00000000">
      <w:pPr>
        <w:pStyle w:val="Heading2"/>
      </w:pPr>
      <w:r>
        <w:t>Phase 1: Foundation — Get everyone in the game</w:t>
      </w:r>
    </w:p>
    <w:p w14:paraId="49784719" w14:textId="77777777" w:rsidR="00C808F7" w:rsidRDefault="00000000">
      <w:pPr>
        <w:pStyle w:val="ListParagraph"/>
        <w:numPr>
          <w:ilvl w:val="0"/>
          <w:numId w:val="2"/>
        </w:numPr>
        <w:spacing w:after="120"/>
      </w:pPr>
      <w:r>
        <w:rPr>
          <w:b/>
          <w:bCs/>
        </w:rPr>
        <w:t xml:space="preserve">Get everyone access to generative AI tools — immediately, with no gatekeeping. </w:t>
      </w:r>
      <w:r>
        <w:t>Not a pilot. Not a committee. Not a tiered rollout by department. Everyone gets access to the same models, the same tools, the same ceiling. The people who surprise you most will be the ones you would never have given access to under a traditional approval process. Ramp gave unlimited access with no token limits and saw non-engineers shipping production code within weeks. The cost of AI access per employee is trivial relative to compensation — treat it as an infinite learning budget.</w:t>
      </w:r>
    </w:p>
    <w:p w14:paraId="264C6AE4" w14:textId="77777777" w:rsidR="00C808F7" w:rsidRDefault="00000000">
      <w:pPr>
        <w:pStyle w:val="ListParagraph"/>
        <w:numPr>
          <w:ilvl w:val="0"/>
          <w:numId w:val="2"/>
        </w:numPr>
        <w:spacing w:after="120"/>
      </w:pPr>
      <w:r>
        <w:rPr>
          <w:b/>
          <w:bCs/>
        </w:rPr>
        <w:t xml:space="preserve">Communicate the vision clearly: AI is how we work now, and that makes your expertise more valuable, not less. </w:t>
      </w:r>
      <w:r>
        <w:t>Fear of replacement is the single biggest threat to adoption, and it’s rational — people aren’t wrong that AI changes their role. The honest message isn’t “your job is safe.” It’s “your domain knowledge is the scarce ingredient that makes AI useful here, and we need you to bring it.” Employees who understand that their judgment is the context that makes AI effective will lean in rather than sabotage. Avoid the false comfort of “AI is just a tool” — acknowledge that roles will change, and position that change as an upgrade, not an elimination.</w:t>
      </w:r>
    </w:p>
    <w:p w14:paraId="264C6AE4" w14:textId="77777777" w:rsidR="00C808F7" w:rsidRDefault="00000000">
      <w:pPr>
        <w:pStyle w:val="ListParagraph"/>
        <w:numPr>
          <w:ilvl w:val="0"/>
          <w:numId w:val="2"/>
        </w:numPr>
        <w:spacing w:after="120"/>
      </w:pPr>
      <w:r>
        <w:rPr>
          <w:b/>
        </w:rPr>
        <w:t xml:space="preserve">Put senior business leaders in the driver’s seat, and take them on the learning journey personally. </w:t>
      </w:r>
      <w:r>
        <w:t>McKinsey studied 20 companies whose transformations actually delivered — an average 20% EBITDA uplift, breakeven in one to two years, roughly $3 of incremental EBITDA per $1 invested — and identified AI-capable senior leadership as the single most common missing ingredient in the transformations that stalled. Not leaders who sponsor AI: leaders who understand it well enough to set meaningful direction, ask the right questions, and tell a good implementation from a bad one. Their most pointed recommendation is that taking the leadership team on a learning journey is the highest-leverage thing a CEO can personally do. This is not delegable to a head of innovation. If your executive team cannot use these tools themselves, they cannot govern them.</w:t>
      </w:r>
    </w:p>
    <w:p w14:paraId="5CAD7A61" w14:textId="77777777" w:rsidR="00C808F7" w:rsidRDefault="00000000">
      <w:pPr>
        <w:pStyle w:val="ListParagraph"/>
        <w:numPr>
          <w:ilvl w:val="0"/>
          <w:numId w:val="2"/>
        </w:numPr>
        <w:spacing w:after="120"/>
      </w:pPr>
      <w:r>
        <w:rPr>
          <w:b/>
          <w:bCs/>
        </w:rPr>
        <w:t xml:space="preserve">Create visible spaces for employees to share what they’re building and learning. </w:t>
      </w:r>
      <w:r>
        <w:t>Slack channels, Friday demos, all-hands spotlights, internal leaderboards. This creates shared learning, generates healthy peer pressure, and surfaces the early adopters who become the contagion for everyone else. Celebrate the risk analyst who automated 16 hours of manual work, not just the engineer who built a platform.</w:t>
      </w:r>
    </w:p>
    <w:p w14:paraId="063CB502" w14:textId="77777777" w:rsidR="00C808F7" w:rsidRDefault="00000000">
      <w:pPr>
        <w:pStyle w:val="ListParagraph"/>
        <w:numPr>
          <w:ilvl w:val="0"/>
          <w:numId w:val="2"/>
        </w:numPr>
        <w:spacing w:after="120"/>
      </w:pPr>
      <w:r>
        <w:rPr>
          <w:b/>
          <w:bCs/>
        </w:rPr>
        <w:t xml:space="preserve">Give AI access to your data and systems — this is where most banks will stall and where the real advantage lives. </w:t>
      </w:r>
      <w:r>
        <w:t xml:space="preserve">An AI agent is only as useful as what it can see. If your people </w:t>
      </w:r>
      <w:proofErr w:type="gramStart"/>
      <w:r>
        <w:t>have to</w:t>
      </w:r>
      <w:proofErr w:type="gramEnd"/>
      <w:r>
        <w:t xml:space="preserve"> file a ticket and wait two weeks for IT to approve a connection, you’ve lost them. Pre-connect core systems so that when someone opens the AI tool, the bank’s knowledge is already there. This is also where context engineering enters: the competitive advantage isn’t just having </w:t>
      </w:r>
      <w:proofErr w:type="gramStart"/>
      <w:r>
        <w:t>data,</w:t>
      </w:r>
      <w:proofErr w:type="gramEnd"/>
      <w:r>
        <w:t xml:space="preserve"> it’s structuring it so AI can reason over the right information at the right moment.</w:t>
      </w:r>
      <w:r>
        <w:t xml:space="preserve"> McKinsey’s framing is useful discipline here: treat data as a consumable product with measurable quality — discoverability, freshness, time-to-consume — and measure how quickly another team can find and use it, not merely whether it exists. The operative shift is from “we have the data” to “our data is consumable.”</w:t>
      </w:r>
    </w:p>
    <w:p w14:paraId="61F8B211" w14:textId="77777777" w:rsidR="00C808F7" w:rsidRDefault="00000000">
      <w:pPr>
        <w:pStyle w:val="ListParagraph"/>
        <w:numPr>
          <w:ilvl w:val="0"/>
          <w:numId w:val="2"/>
        </w:numPr>
        <w:spacing w:after="120"/>
      </w:pPr>
      <w:r>
        <w:rPr>
          <w:b/>
          <w:bCs/>
        </w:rPr>
        <w:t xml:space="preserve">Organize as hub and </w:t>
      </w:r>
      <w:proofErr w:type="gramStart"/>
      <w:r>
        <w:rPr>
          <w:b/>
          <w:bCs/>
        </w:rPr>
        <w:t>spoke:</w:t>
      </w:r>
      <w:proofErr w:type="gramEnd"/>
      <w:r>
        <w:rPr>
          <w:b/>
          <w:bCs/>
        </w:rPr>
        <w:t xml:space="preserve"> centralize the platform, distribute the building. </w:t>
      </w:r>
      <w:r>
        <w:t xml:space="preserve">A small central team owns the AI infrastructure — model access, connectors, security, guardrails, and the knowledge layer. Functional teams build on top of that platform and </w:t>
      </w:r>
      <w:proofErr w:type="spellStart"/>
      <w:r>
        <w:t>feed back</w:t>
      </w:r>
      <w:proofErr w:type="spellEnd"/>
      <w:r>
        <w:t xml:space="preserve"> what’s working and what’s not. The center builds the plumbing; the spokes find the problems worth solving.</w:t>
      </w:r>
      <w:r>
        <w:t xml:space="preserve"> One discipline worth importing from McKinsey: treat the platform as a product rather than a cost center — with an owner, a roadmap, internal customers, and instrumentation (reuse rates, cost per call, time to onboard a new team). Platform claims that aren’t instrumented tend to be aspirational, and organizations that skip this rediscover the same infrastructure problems every time a new team starts.</w:t>
      </w:r>
    </w:p>
    <w:p w14:paraId="1CD413B0" w14:textId="77777777" w:rsidR="00C808F7" w:rsidRDefault="00000000">
      <w:pPr>
        <w:pStyle w:val="ListParagraph"/>
        <w:numPr>
          <w:ilvl w:val="0"/>
          <w:numId w:val="2"/>
        </w:numPr>
        <w:spacing w:after="120"/>
      </w:pPr>
      <w:r>
        <w:rPr>
          <w:b/>
          <w:bCs/>
        </w:rPr>
        <w:t xml:space="preserve">Don’t rely on policy alone — build guardrails into the infrastructure itself. </w:t>
      </w:r>
      <w:r>
        <w:t xml:space="preserve">Acceptable use policies are necessary but insufficient. Banks need technical controls: data loss prevention layers, model deployments that run inside the bank’s perimeter, </w:t>
      </w:r>
      <w:r>
        <w:lastRenderedPageBreak/>
        <w:t>audit trails that log every AI interaction for examiners. Make it hard to do the wrong thing rather than relying on people to read a policy and comply.</w:t>
      </w:r>
    </w:p>
    <w:p w14:paraId="0F0414CB" w14:textId="77777777" w:rsidR="00C808F7" w:rsidRDefault="00000000">
      <w:pPr>
        <w:pStyle w:val="ListParagraph"/>
        <w:numPr>
          <w:ilvl w:val="0"/>
          <w:numId w:val="2"/>
        </w:numPr>
        <w:spacing w:after="120"/>
      </w:pPr>
      <w:r>
        <w:rPr>
          <w:b/>
          <w:bCs/>
        </w:rPr>
        <w:t xml:space="preserve">Don’t be stingy with AI access and spending. </w:t>
      </w:r>
      <w:r>
        <w:t>The ROI compounds — demanding it upfront kills adoption. If you require a business case for every AI tool before people have even learned to use them, you’ll get compliance theater, not transformation. Token costs are a rounding error on employee compensation, and even modest productivity gains justify the spend many times over.</w:t>
      </w:r>
      <w:r>
        <w:t xml:space="preserve"> McKinsey sharpens the mechanism behind this: funding models that operate project by project systematically underinvest in exactly the things that compound — shared platforms, data infrastructure, and the organizational learning that accumulates across deployments. Fund capabilities on a sustained basis and tie governance to business outcomes rather than to project milestones.</w:t>
      </w:r>
    </w:p>
    <w:p w14:paraId="2A9E58A9" w14:textId="77777777" w:rsidR="00C808F7" w:rsidRDefault="00000000">
      <w:pPr>
        <w:pStyle w:val="Heading2"/>
      </w:pPr>
      <w:r>
        <w:t>Phase 2: Acceleration — Move up the capability ladder</w:t>
      </w:r>
    </w:p>
    <w:p w14:paraId="17BC059E" w14:textId="77777777" w:rsidR="00C808F7" w:rsidRDefault="00000000">
      <w:pPr>
        <w:pStyle w:val="ListParagraph"/>
        <w:numPr>
          <w:ilvl w:val="0"/>
          <w:numId w:val="2"/>
        </w:numPr>
        <w:spacing w:after="120"/>
      </w:pPr>
      <w:r>
        <w:rPr>
          <w:b/>
          <w:bCs/>
        </w:rPr>
        <w:t xml:space="preserve">Treat AI proficiency as a ladder and actively move people up it. </w:t>
      </w:r>
      <w:r>
        <w:t>Level 0 is occasionally using ChatGPT. Level 1 is integrating AI into daily workflows. Level 2 is building something that automates part of their job. Level 3 is building systems that level up everyone else. Most of your bank is at L0 or L1. Your job is to get them to L2, and to identify and invest heavily in the people who reach L3 — they are your force multipliers.</w:t>
      </w:r>
    </w:p>
    <w:p w14:paraId="17BC059E" w14:textId="77777777" w:rsidR="00C808F7" w:rsidRDefault="00000000">
      <w:pPr>
        <w:pStyle w:val="ListParagraph"/>
        <w:numPr>
          <w:ilvl w:val="0"/>
          <w:numId w:val="2"/>
        </w:numPr>
        <w:spacing w:after="120"/>
      </w:pPr>
      <w:r>
        <w:rPr>
          <w:b/>
        </w:rPr>
        <w:t xml:space="preserve">Concentrate on one to three economic leverage points and go deep — diffuse experimentation produces diffuse results. </w:t>
      </w:r>
      <w:r>
        <w:t>This is the sharpest finding in McKinsey’s Manifesto, and it sits in productive tension with Phase 1. Getting everyone access and encouraging broad experimentation is how you build proficiency and surface opportunities; it is not how you produce measurable business impact. The companies that delivered 20%+ EBITDA improvement picked one to three business domains where AI moved a genuine economic lever and concentrated effort there. For a community bank the candidates become obvious once you ask which levers actually drive earnings: deposit gathering and pricing, credit decisioning cycle time, or the operational cost base in BSA and loan servicing. Broad experimentation and concentrated investment are both correct — they are different activities, and they should be funded and measured differently.</w:t>
      </w:r>
    </w:p>
    <w:p w14:paraId="17BC059E" w14:textId="77777777" w:rsidR="00C808F7" w:rsidRDefault="00000000">
      <w:pPr>
        <w:pStyle w:val="ListParagraph"/>
        <w:numPr>
          <w:ilvl w:val="0"/>
          <w:numId w:val="2"/>
        </w:numPr>
        <w:spacing w:after="120"/>
      </w:pPr>
      <w:r>
        <w:rPr>
          <w:b/>
        </w:rPr>
        <w:t xml:space="preserve">Build evaluation infrastructure before you scale agents, not after. </w:t>
      </w:r>
      <w:r>
        <w:t>This is the practice most banks will skip and most will regret. For every workflow you hand to an agent you need a written answer to three questions: what does a good output look like, how would we detect that it degraded, and who is qualified to make that call. Karpathy’s framing is that in agentic work the human’s contribution shifts from producing the artifact to writing the tests that validate it — evaluation design becomes the engineering. Practically: keep a labeled set of real cases with known-good outcomes for each workflow, run new models and new prompts against it before promoting them, instrument agent output for review and correction rates, and treat a rising correction rate as an incident rather than a nuisance. Your examiners will eventually ask how you know the system works. Answering that after deployment is far more expensive than designing for it beforehand.</w:t>
      </w:r>
    </w:p>
    <w:p w14:paraId="2330370C" w14:textId="77777777" w:rsidR="00C808F7" w:rsidRDefault="00000000">
      <w:pPr>
        <w:pStyle w:val="ListParagraph"/>
        <w:numPr>
          <w:ilvl w:val="0"/>
          <w:numId w:val="2"/>
        </w:numPr>
        <w:spacing w:after="120"/>
      </w:pPr>
      <w:r>
        <w:rPr>
          <w:b/>
          <w:bCs/>
        </w:rPr>
        <w:t xml:space="preserve">Expect and embrace creative destruction of your own AI tools. </w:t>
      </w:r>
      <w:r>
        <w:t>The tool you ship in Q3 should be obsolete by Q1. Every model improvement, every new capability reshapes what’s possible. If your internal AI tools from three months ago still feel current, you aren’t moving fast enough. Attach to problems, not tools.</w:t>
      </w:r>
    </w:p>
    <w:p w14:paraId="0BBC8720" w14:textId="77777777" w:rsidR="00C808F7" w:rsidRDefault="00000000">
      <w:pPr>
        <w:pStyle w:val="ListParagraph"/>
        <w:numPr>
          <w:ilvl w:val="0"/>
          <w:numId w:val="2"/>
        </w:numPr>
        <w:spacing w:after="120"/>
      </w:pPr>
      <w:r>
        <w:rPr>
          <w:b/>
          <w:bCs/>
        </w:rPr>
        <w:t xml:space="preserve">Restructure work around human-agent collaboration, not just human workflows with AI bolted on. </w:t>
      </w:r>
      <w:r>
        <w:t>This is the difference between “cars on dirt roads” and redesigning the road system. Look at every workflow and ask: which parts require human judgment, relationships, or accountability? Which parts can agents draft, execute, or analyze? Design the workflow around that division of labor rather than inserting AI into the gaps of a process designed for humans doing everything.</w:t>
      </w:r>
    </w:p>
    <w:p w14:paraId="5A98A034" w14:textId="77777777" w:rsidR="00C808F7" w:rsidRDefault="00000000">
      <w:pPr>
        <w:pStyle w:val="ListParagraph"/>
        <w:numPr>
          <w:ilvl w:val="0"/>
          <w:numId w:val="2"/>
        </w:numPr>
        <w:spacing w:after="120"/>
      </w:pPr>
      <w:r>
        <w:rPr>
          <w:b/>
          <w:bCs/>
        </w:rPr>
        <w:t xml:space="preserve">Invest in your domain experts as context strategists — they are the bridge between your bank’s knowledge and AI’s capability. </w:t>
      </w:r>
      <w:r>
        <w:t>The experienced commercial lender who knows which covenants matter for this industry in this rate environment, the BSA officer who understands the spirit of the regulation and not just the letter, the branch manager who knows what a community actually needs — these people hold the tacit knowledge that makes AI useful for your bank specifically. Their role is becoming the problem-definition and evaluation layer that determines whether your AI produces generic output or genuine competitive advantage. The specific mechanics of how context gets assembled — retrieval logic, prompt construction, memory management — can increasingly be optimized by the systems themselves. But only if senior practitioners define what “good” means.</w:t>
      </w:r>
      <w:r>
        <w:t xml:space="preserve"> Mollick’s version of this is worth repeating verbatim to skeptical senior staff: as agents do more of the producing, the bottleneck moves to whoever can verify correctness in a complex domain — which makes deep expertise more valuable, not less. That is a genuinely reassuring message, and it has the advantage of being true.</w:t>
      </w:r>
    </w:p>
    <w:p w14:paraId="2C46D2F8" w14:textId="77777777" w:rsidR="00C808F7" w:rsidRDefault="00000000">
      <w:pPr>
        <w:pStyle w:val="ListParagraph"/>
        <w:numPr>
          <w:ilvl w:val="0"/>
          <w:numId w:val="2"/>
        </w:numPr>
        <w:spacing w:after="120"/>
      </w:pPr>
      <w:r>
        <w:rPr>
          <w:b/>
          <w:bCs/>
        </w:rPr>
        <w:t xml:space="preserve">Designate systems architects — people who design how humans and agents work together. </w:t>
      </w:r>
      <w:r>
        <w:t>This is the highest-leverage new role and the hardest to fill. These people decide what agents can do autonomously, what requires human approval, how performance is measured, and what happens when something breaks. This role requires both technical fluency and deep understanding of banking operations. It is the most important hire you will make in the next two years.</w:t>
      </w:r>
      <w:r>
        <w:t xml:space="preserve"> Karpathy’s version of this role — the agentic engineer — is explicit that it is not a junior position: it requires deep operational intuition applied to a new medium. Do not staff it with whoever is most enthusiastic about AI. Staff it with someone who has enough credibility in the institution to say no to a workflow that isn’t ready.</w:t>
      </w:r>
    </w:p>
    <w:p w14:paraId="34183309" w14:textId="77777777" w:rsidR="00C808F7" w:rsidRDefault="00000000">
      <w:pPr>
        <w:pStyle w:val="Heading2"/>
      </w:pPr>
      <w:r>
        <w:t>Phase 3: Transformation — Rebuild the org around intelligence</w:t>
      </w:r>
    </w:p>
    <w:p w14:paraId="1F6AA9ED" w14:textId="77777777" w:rsidR="00C808F7" w:rsidRDefault="00000000">
      <w:pPr>
        <w:pStyle w:val="ListParagraph"/>
        <w:numPr>
          <w:ilvl w:val="0"/>
          <w:numId w:val="2"/>
        </w:numPr>
        <w:spacing w:after="120"/>
      </w:pPr>
      <w:r>
        <w:rPr>
          <w:b/>
          <w:bCs/>
        </w:rPr>
        <w:t xml:space="preserve">Collapse functional silos into cross-functional units organized around outcomes. </w:t>
      </w:r>
      <w:r>
        <w:t xml:space="preserve">The traditional bank org chart — separate departments for lending, deposits, operations, compliance, marketing, IT — was built for a world where specialization required </w:t>
      </w:r>
      <w:r>
        <w:lastRenderedPageBreak/>
        <w:t>dedicated humans focused on little else. AI enables people to work across functions. Move toward fewer, broader teams organized around customer outcomes rather than internal functions. This is the hardest structural change and the one that will take years, but it is the direction of travel.</w:t>
      </w:r>
    </w:p>
    <w:p w14:paraId="1F6AA9ED" w14:textId="77777777" w:rsidR="00C808F7" w:rsidRDefault="00000000">
      <w:pPr>
        <w:pStyle w:val="ListParagraph"/>
        <w:numPr>
          <w:ilvl w:val="0"/>
          <w:numId w:val="2"/>
        </w:numPr>
        <w:spacing w:after="120"/>
      </w:pPr>
      <w:r>
        <w:rPr>
          <w:b/>
        </w:rPr>
        <w:t xml:space="preserve">Ask which systems should stop existing, not just which ones should get AI added. </w:t>
      </w:r>
      <w:r>
        <w:t>Karpathy’s most useful provocation for incumbents: the question is not “how do we use AI to speed up our existing software?” but “what new categories of software become possible, and which existing applications should stop existing as applications at all?” When a model can transform inputs directly into outputs, much of the traditional application layer — the forms, the workflow routing, the screens built to walk a human through a process one step at a time — turns out to be scaffolding rather than substance. Banks have decades of accumulated scaffolding. Some of it is regulatory and genuinely load-bearing. A meaningful fraction exists only because a human needed to be guided through a process, and that constraint is loosening. This is Phase 3 work precisely because it requires the confidence and the institutional evidence that come from having already run the earlier phases.</w:t>
      </w:r>
    </w:p>
    <w:p w14:paraId="5A05B1C7" w14:textId="77777777" w:rsidR="00C808F7" w:rsidRDefault="00000000">
      <w:pPr>
        <w:pStyle w:val="ListParagraph"/>
        <w:numPr>
          <w:ilvl w:val="0"/>
          <w:numId w:val="2"/>
        </w:numPr>
        <w:spacing w:after="120"/>
      </w:pPr>
      <w:r>
        <w:rPr>
          <w:b/>
          <w:bCs/>
        </w:rPr>
        <w:t xml:space="preserve">Build your bank’s “world model” — a continuously updated representation of what you know about your customers, your operations, and your market. </w:t>
      </w:r>
      <w:r>
        <w:t>This is the Block thesis applied to banking. Every transaction, every customer interaction, every credit decision, every regulatory filing is raw material for a model that understands your bank’s reality. Most of this data exists today but lives in silos. The strategic imperative is to make this knowledge machine-readable, connected, and available as context for AI reasoning. The bank that builds the best world model of its customers and operations will be the bank that wins.</w:t>
      </w:r>
    </w:p>
    <w:p w14:paraId="2782007A" w14:textId="77777777" w:rsidR="00C808F7" w:rsidRDefault="00000000">
      <w:pPr>
        <w:pStyle w:val="ListParagraph"/>
        <w:numPr>
          <w:ilvl w:val="0"/>
          <w:numId w:val="2"/>
        </w:numPr>
        <w:spacing w:after="120"/>
      </w:pPr>
      <w:r>
        <w:rPr>
          <w:b/>
          <w:bCs/>
        </w:rPr>
        <w:t xml:space="preserve">Recognize that this is an existential question, not an efficiency project. </w:t>
      </w:r>
      <w:r>
        <w:t>The transformation we’re describing is not about saving money on back-office operations, though it will do that. It’s about whether your bank is organized as a hierarchy that routes information through people, or as an intelligence that uses information to serve customers. AI-native challengers will design the human-agent division of labor from scratch. The advantage incumbents have is depth of customer relationships and decades of accumulated domain knowledge. But that advantage is only an advantage if it’s converted into AI context. Sitting on it is not a strategy.</w:t>
      </w:r>
    </w:p>
    <w:p w14:paraId="4159125A" w14:textId="77777777" w:rsidR="00C808F7" w:rsidRDefault="00000000">
      <w:pPr>
        <w:pStyle w:val="Heading1"/>
      </w:pPr>
      <w:r>
        <w:t>Open Questions</w:t>
      </w:r>
    </w:p>
    <w:p w14:paraId="1121CBDB" w14:textId="77777777" w:rsidR="00C808F7" w:rsidRDefault="00000000">
      <w:pPr>
        <w:spacing w:after="120"/>
      </w:pPr>
      <w:r>
        <w:t>These are topics where I still have an open mind or where the answer may vary between implementations.</w:t>
      </w:r>
    </w:p>
    <w:p w14:paraId="58965D22" w14:textId="77777777" w:rsidR="00C808F7" w:rsidRDefault="00C808F7">
      <w:pPr>
        <w:spacing w:after="80"/>
      </w:pPr>
    </w:p>
    <w:p w14:paraId="1B7FD39F" w14:textId="77777777" w:rsidR="00C808F7" w:rsidRDefault="00000000">
      <w:pPr>
        <w:pStyle w:val="ListParagraph"/>
        <w:numPr>
          <w:ilvl w:val="0"/>
          <w:numId w:val="2"/>
        </w:numPr>
        <w:spacing w:after="120"/>
      </w:pPr>
      <w:r>
        <w:rPr>
          <w:b/>
          <w:bCs/>
        </w:rPr>
        <w:t xml:space="preserve">What happens to the workforce? </w:t>
      </w:r>
      <w:r>
        <w:t>AI will change the shape of every team, but how much and how fast varies enormously. A $500M community bank with 200 employees faces a fundamentally different workforce question than a $50B regional with 5,000. Some roles compress, some merge, some disappear, some are invented. The one-generation problem is real — if junior roles evaporate before we’ve figured out how to train the next generation of experts, we’ve traded short-term efficiency for a long-term talent crisis.</w:t>
      </w:r>
    </w:p>
    <w:p w14:paraId="11E62E51" w14:textId="77777777" w:rsidR="00C808F7" w:rsidRDefault="00000000">
      <w:pPr>
        <w:pStyle w:val="ListParagraph"/>
        <w:numPr>
          <w:ilvl w:val="0"/>
          <w:numId w:val="2"/>
        </w:numPr>
        <w:spacing w:after="120"/>
      </w:pPr>
      <w:r>
        <w:rPr>
          <w:b/>
          <w:bCs/>
        </w:rPr>
        <w:t xml:space="preserve">Where does human judgment remain non-negotiable in banking, and where are we just assuming it does out of habit? </w:t>
      </w:r>
      <w:r>
        <w:t xml:space="preserve">Credit decisions, BSA investigations, and customer relationships feel irreducibly human today. But some of that conviction is regulatory convention, not actual necessity. As models improve and regulators adapt, the line between “requires human judgment” and “we’ve always done it that way” will move. Each bank </w:t>
      </w:r>
      <w:proofErr w:type="gramStart"/>
      <w:r>
        <w:t>has to</w:t>
      </w:r>
      <w:proofErr w:type="gramEnd"/>
      <w:r>
        <w:t xml:space="preserve"> draw that line for </w:t>
      </w:r>
      <w:proofErr w:type="gramStart"/>
      <w:r>
        <w:t>itself, and</w:t>
      </w:r>
      <w:proofErr w:type="gramEnd"/>
      <w:r>
        <w:t xml:space="preserve"> redraw it regularly.</w:t>
      </w:r>
    </w:p>
    <w:p w14:paraId="468B8BB4" w14:textId="77777777" w:rsidR="00C808F7" w:rsidRDefault="00000000">
      <w:pPr>
        <w:pStyle w:val="ListParagraph"/>
        <w:numPr>
          <w:ilvl w:val="0"/>
          <w:numId w:val="2"/>
        </w:numPr>
        <w:spacing w:after="120"/>
      </w:pPr>
      <w:r>
        <w:rPr>
          <w:b/>
        </w:rPr>
        <w:t xml:space="preserve">How will regulators respond — and will banking supervision converge with frontier AI regulation or stay on its own track? </w:t>
      </w:r>
      <w:r>
        <w:t>This question has changed shape rather than been answered. On the frontier side there are now two concrete and competing blueprints from the two leading American labs. Dario Amodei proposes binding domestic regulation: mandatory third-party audits for models above a compute threshold, with government authority to block or reverse deployment, modeled on the FAA. Sam Altman proposes a US-led international forum that sets standards and gates frontier access on participation and compliance, modeled on aviation safety, global financial standards, and the IAEA. Both would concentrate real authority over model availability; they disagree about where that authority sits and how it binds. Enforcement is the unresolved problem in both — unlike aircraft or enrichment facilities, models are trained inside data centers that outsiders cannot readily inspect. Meanwhile banking supervision remains on its own track: model risk management guidance (SR 11-7) was written for statistical models, not foundation models, and fair lending frameworks assume an explainability that LLMs do not straightforwardly provide. The open question for a bank is whether these tracks converge — whether your examiners eventually inherit a framework built for frontier labs — or whether banking gets a regime of its own. The answer determines whether the AI governance work you do now is transferable or bespoke.</w:t>
      </w:r>
    </w:p>
    <w:p w14:paraId="468B8BB4" w14:textId="77777777" w:rsidR="00C808F7" w:rsidRDefault="00000000">
      <w:pPr>
        <w:pStyle w:val="ListParagraph"/>
        <w:numPr>
          <w:ilvl w:val="0"/>
          <w:numId w:val="2"/>
        </w:numPr>
        <w:spacing w:after="120"/>
      </w:pPr>
      <w:r>
        <w:rPr>
          <w:b/>
        </w:rPr>
        <w:t xml:space="preserve">Does frontier model access stay reliably available to institutions like yours? </w:t>
      </w:r>
      <w:r>
        <w:t>This is a question I did not have a year ago. Government restriction of specific frontier models has moved from hypothetical to demonstrated — two of the most capable models available in mid-2026 were pulled from public access by directive — and both leading lab CEOs have now proposed regimes that would formalize gated access. If availability becomes conditional on compliance regimes, export-control status, or jurisdiction, the practical question for a $2B community bank is whether it sits inside the gate on its own or only through whichever tier its vendors can serve. There is a plausible future in which frontier capability is readily available to large institutions and to the vendors serving them, but not directly to small ones — which would make model access a scale advantage in a way it currently is not. I don’t know how this resolves. I do know it argues for architecting so that a model can be swapped without rebuilding the system around it.</w:t>
      </w:r>
    </w:p>
    <w:p w14:paraId="468B8BB4" w14:textId="77777777" w:rsidR="00C808F7" w:rsidRDefault="00000000">
      <w:pPr>
        <w:pStyle w:val="ListParagraph"/>
        <w:numPr>
          <w:ilvl w:val="0"/>
          <w:numId w:val="2"/>
        </w:numPr>
        <w:spacing w:after="120"/>
      </w:pPr>
      <w:r>
        <w:rPr>
          <w:b/>
        </w:rPr>
        <w:t xml:space="preserve">How far does agent autonomy actually go inside a regulated institution — and who signs when nobody reviewed? </w:t>
      </w:r>
      <w:r>
        <w:t>Sequoia’s three-stage model ends at the dark factory, where human review leaves the production loop entirely, and they are candid that the conditions under which that is safe rather than reckless remain unsettled. Banking carries a constraint the general framing does not address: accountability is assigned by regulation, and someone must be answerable to an examiner, a board, or a court. Stage 2 asynchronous operation with outcome review is clearly reachable for a meaningful set of banking workflows within a few years. Stage 3 raises a question that is legal and supervisory before it is technical — whether an institution can attest to a decision no human examined, and what evidence would satisfy the person asking. My current expectation is that most banking functions stay at Stage 1 or 2 well past the point where the technology could support Stage 3, and that the binding constraint turns out to be attestation rather than capability. But that line will move, and I expect to be surprised by which functions move first.</w:t>
      </w:r>
    </w:p>
    <w:p w14:paraId="727B4DA8" w14:textId="77777777" w:rsidR="00C808F7" w:rsidRDefault="00000000">
      <w:pPr>
        <w:pStyle w:val="ListParagraph"/>
        <w:numPr>
          <w:ilvl w:val="0"/>
          <w:numId w:val="2"/>
        </w:numPr>
        <w:spacing w:after="120"/>
      </w:pPr>
      <w:r>
        <w:rPr>
          <w:b/>
          <w:bCs/>
        </w:rPr>
        <w:t xml:space="preserve">Build vs. buy vs. co-develop — where should banks invest directly? </w:t>
      </w:r>
      <w:r>
        <w:t xml:space="preserve">Foundation models are commoditizing. Vertical AI applications for banking are emerging but </w:t>
      </w:r>
      <w:r>
        <w:lastRenderedPageBreak/>
        <w:t>immature. The context engineering layer — the domain-specific knowledge, data pipelines, and curation logic that make a general model useful for your bank — may be the only part that’s truly proprietary. Co-development, where banks partner with technology providers to build solutions that embed the bank’s domain context into vendor platforms, deserves explicit attention as a third category alongside pure build and pure buy. The answer differs by bank size, technical capability, and strategic ambition, and it will change as the vendor landscape matures.</w:t>
      </w:r>
    </w:p>
    <w:p w14:paraId="7F5F1AFE" w14:textId="77777777" w:rsidR="00C808F7" w:rsidRDefault="00000000">
      <w:pPr>
        <w:pStyle w:val="ListParagraph"/>
        <w:numPr>
          <w:ilvl w:val="0"/>
          <w:numId w:val="2"/>
        </w:numPr>
        <w:spacing w:after="120"/>
      </w:pPr>
      <w:r>
        <w:rPr>
          <w:b/>
          <w:bCs/>
        </w:rPr>
        <w:t xml:space="preserve">How do you measure AI ROI when the returns are nonlinear and lagging? </w:t>
      </w:r>
      <w:r>
        <w:t>The compounding nature of AI adoption makes traditional ROI frameworks misleading. Early investments look expensive relative to output. Mature deployments produce returns that are hard to attribute to any single tool or initiative. If you demand quarterly ROI from the outset, you’ll kill adoption. But boards and examiners will eventually want numbers. The banks that figure it out will have a significant advantage in sustaining investment through inevitable skepticism cycles.</w:t>
      </w:r>
      <w:r>
        <w:t xml:space="preserve"> McKinsey’s Manifesto supplies the closest thing to an empirical answer so far: across 20 companies whose transformations delivered, the pattern was an average 20% EBITDA uplift, breakeven in one to two years, and roughly $3 of incremental EBITDA per $1 invested — with measurement designed into the transformation from the outset rather than retrofitted after deployment. That is a useful benchmark, and it does not fully transfer: those were large companies concentrating on one to three domains, and a $500M bank has neither the same denominators nor the same instrumentation. What remains genuinely open is what a credible ROI framework looks like at community bank scale, where the investments are small, the attribution is muddy, and the board wants a number next quarter.</w:t>
      </w:r>
    </w:p>
    <w:p w14:paraId="7E9B70F0" w14:textId="77777777" w:rsidR="00C808F7" w:rsidRDefault="00000000">
      <w:pPr>
        <w:pStyle w:val="ListParagraph"/>
        <w:numPr>
          <w:ilvl w:val="0"/>
          <w:numId w:val="2"/>
        </w:numPr>
        <w:spacing w:after="120"/>
      </w:pPr>
      <w:r>
        <w:rPr>
          <w:b/>
          <w:bCs/>
        </w:rPr>
        <w:t xml:space="preserve">What is the right organizational home for AI? </w:t>
      </w:r>
      <w:r>
        <w:t>Does AI live in IT? In a dedicated innovation team? Distributed across business lines? Reporting to the CEO? The hub-and-spoke model is directionally right, but the specifics matter — who owns the budget, who sets priorities, who resolves conflicts between the central platform team and the business lines that want to move faster. Get this wrong and you either bottleneck everything or fragment into chaos.</w:t>
      </w:r>
    </w:p>
    <w:p w14:paraId="2C48B255" w14:textId="77777777" w:rsidR="00C808F7" w:rsidRDefault="00000000">
      <w:pPr>
        <w:pStyle w:val="ListParagraph"/>
        <w:numPr>
          <w:ilvl w:val="0"/>
          <w:numId w:val="2"/>
        </w:numPr>
        <w:spacing w:after="120"/>
      </w:pPr>
      <w:r>
        <w:rPr>
          <w:b/>
          <w:bCs/>
        </w:rPr>
        <w:t xml:space="preserve">How do you maintain institutional knowledge when AI intermediates everything? </w:t>
      </w:r>
      <w:r>
        <w:t xml:space="preserve">If AI handles the analysis and humans just validate, do humans still learn the underlying domain deeply enough to catch the errors that matter? This is the validator problem at the institutional level. Banks have always relied on apprenticeship — junior analysts learning by doing the work under senior supervision. If the work changes, the apprenticeship model </w:t>
      </w:r>
      <w:proofErr w:type="gramStart"/>
      <w:r>
        <w:t>has to</w:t>
      </w:r>
      <w:proofErr w:type="gramEnd"/>
      <w:r>
        <w:t xml:space="preserve"> change with it. Nobody has figured out what that looks like yet.</w:t>
      </w:r>
    </w:p>
    <w:p w14:paraId="7BEE2631" w14:textId="77777777" w:rsidR="00C808F7" w:rsidRDefault="00000000">
      <w:pPr>
        <w:pStyle w:val="ListParagraph"/>
        <w:numPr>
          <w:ilvl w:val="0"/>
          <w:numId w:val="2"/>
        </w:numPr>
        <w:spacing w:after="120"/>
      </w:pPr>
      <w:r>
        <w:rPr>
          <w:b/>
          <w:bCs/>
        </w:rPr>
        <w:t xml:space="preserve">What does AI do to the competitive dynamics between community banks, regionals, and the largest institutions? </w:t>
      </w:r>
      <w:r>
        <w:t>The Brynjolfsson-Hitzig framework suggests AI favors centralization and scale. The context engineering argument suggests smaller firms with deeper domain knowledge and customer proximity can compete. Both are probably true in different parts of the value chain. Community banks may have an advantage in relationship depth and local knowledge — but only if they can convert that into AI context. If they can’t, scale wins.</w:t>
      </w:r>
    </w:p>
    <w:p w14:paraId="7A3C124B" w14:textId="77777777" w:rsidR="00C808F7" w:rsidRDefault="00000000">
      <w:pPr>
        <w:pStyle w:val="ListParagraph"/>
        <w:numPr>
          <w:ilvl w:val="0"/>
          <w:numId w:val="2"/>
        </w:numPr>
        <w:spacing w:after="120"/>
      </w:pPr>
      <w:r>
        <w:rPr>
          <w:b/>
        </w:rPr>
        <w:t xml:space="preserve">How fast does the technology itself change the calculus? </w:t>
      </w:r>
      <w:r>
        <w:t>Everything we’ve said is true as of July 2026. Model capabilities are improving on a curve that makes 12-month predictions unreliable and 36-month predictions almost meaningless. Agent reliability crossed a threshold only at the end of 2025. Multimodal capabilities are expanding. Costs are falling. A strategy built for today’s models will be wrong for next year’s — which means the real capability isn’t any specific AI deployment, it’s the organizational muscle to adapt continuously. There is now at least one metric worth watching rather than guessing about: the METR curve, which tracks the longest task an agent can reliably complete and has been doubling roughly every seven months, implying human-equivalent task duration around 2028. If that curve holds, the window in which agents cannot do multi-day work independently is short. If it bends, most of the aggressive workforce forecasts bend with it. Either way it is a more useful thing to track than the argument about what AGI means.</w:t>
      </w:r>
    </w:p>
    <w:p w14:paraId="6D96C80C" w14:textId="77777777" w:rsidR="00C808F7" w:rsidRDefault="00000000">
      <w:pPr>
        <w:pStyle w:val="ListParagraph"/>
        <w:numPr>
          <w:ilvl w:val="0"/>
          <w:numId w:val="2"/>
        </w:numPr>
        <w:spacing w:after="120"/>
      </w:pPr>
      <w:r>
        <w:rPr>
          <w:b/>
          <w:bCs/>
        </w:rPr>
        <w:t xml:space="preserve">How much of context engineering itself will be automated? </w:t>
      </w:r>
      <w:r>
        <w:t xml:space="preserve">Meta-Harness (2026) showed that automated search over harness code can beat human-designed systems. This challenges the assumption that context engineering is a durable human bottleneck in all its dimensions. The evidence suggests problem formulation and evaluation remain deeply human, but the specific mechanics of retrieval, memory, and prompt construction are increasingly automatable. If this trend continues, it reshapes which skills organizations need to invest in: less “how to build the prompt pipeline” and more “how to define what good looks like and which problems matter.” The boundary between human </w:t>
      </w:r>
      <w:r>
        <w:lastRenderedPageBreak/>
        <w:t>strategy and automated implementation will keep moving, and tracking where it sits is important for workforce planning and investment decisions.</w:t>
      </w:r>
      <w:r>
        <w:t xml:space="preserve"> Karpathy’s framing adds a wrinkle worth sitting with: if evaluation design is the human’s core contribution, then the durable skill is not building the pipeline, or even defining the problem, but specifying what correct looks like precisely enough that a machine can check it. That is a narrower and more demanding skill than “domain expertise,” and it is not at all obvious that most senior practitioners have it yet.</w:t>
      </w:r>
    </w:p>
    <w:p w14:paraId="4C85577D" w14:textId="77777777" w:rsidR="00C808F7" w:rsidRDefault="00000000">
      <w:pPr>
        <w:pStyle w:val="ListParagraph"/>
        <w:numPr>
          <w:ilvl w:val="0"/>
          <w:numId w:val="2"/>
        </w:numPr>
        <w:spacing w:after="120"/>
      </w:pPr>
      <w:r>
        <w:rPr>
          <w:b/>
          <w:bCs/>
        </w:rPr>
        <w:t xml:space="preserve">What are the second-order effects on bank customers and communities? </w:t>
      </w:r>
      <w:r>
        <w:t>If AI makes banks dramatically more efficient, does that translate to better service and lower costs for customers, or just higher margins for shareholders? Community banks exist to serve communities — the question of who benefits from AI transformation isn’t just strategic, it’s existential to the mission. And if AI enables banks to serve customers they previously couldn’t reach profitably, that’s a different and more compelling story than cost reduction.</w:t>
      </w:r>
    </w:p>
    <w:p w14:paraId="327A3C3D" w14:textId="77777777" w:rsidR="00C808F7" w:rsidRDefault="00000000">
      <w:pPr>
        <w:pStyle w:val="Heading1"/>
      </w:pPr>
      <w:r>
        <w:t>Key Debates to Track</w:t>
      </w:r>
    </w:p>
    <w:p w14:paraId="1665C43C" w14:textId="77777777" w:rsidR="00C808F7" w:rsidRDefault="00C808F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10"/>
        <w:gridCol w:w="3510"/>
      </w:tblGrid>
      <w:tr w:rsidR="00C808F7" w14:paraId="1F53714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B3A4E"/>
            <w:tcMar>
              <w:top w:w="60" w:type="dxa"/>
              <w:left w:w="100" w:type="dxa"/>
              <w:bottom w:w="60" w:type="dxa"/>
              <w:right w:w="100" w:type="dxa"/>
            </w:tcMar>
            <w:vAlign w:val="center"/>
          </w:tcPr>
          <w:p w14:paraId="5925DDA1" w14:textId="77777777" w:rsidR="00C808F7" w:rsidRDefault="00000000">
            <w:r>
              <w:rPr>
                <w:b/>
                <w:bCs/>
                <w:color w:val="FFFFFF"/>
                <w:sz w:val="20"/>
                <w:szCs w:val="20"/>
              </w:rPr>
              <w:t>Debate</w:t>
            </w:r>
          </w:p>
        </w:tc>
        <w:tc>
          <w:tcPr>
            <w:tcW w:w="3510" w:type="dxa"/>
            <w:tcBorders>
              <w:top w:val="single" w:sz="1" w:space="0" w:color="CCCCCC"/>
              <w:left w:val="single" w:sz="1" w:space="0" w:color="CCCCCC"/>
              <w:bottom w:val="single" w:sz="1" w:space="0" w:color="CCCCCC"/>
              <w:right w:val="single" w:sz="1" w:space="0" w:color="CCCCCC"/>
            </w:tcBorders>
            <w:shd w:val="clear" w:color="auto" w:fill="2B3A4E"/>
            <w:tcMar>
              <w:top w:w="60" w:type="dxa"/>
              <w:left w:w="100" w:type="dxa"/>
              <w:bottom w:w="60" w:type="dxa"/>
              <w:right w:w="100" w:type="dxa"/>
            </w:tcMar>
            <w:vAlign w:val="center"/>
          </w:tcPr>
          <w:p w14:paraId="1CB44D4C" w14:textId="77777777" w:rsidR="00C808F7" w:rsidRDefault="00000000">
            <w:r>
              <w:rPr>
                <w:b/>
                <w:bCs/>
                <w:color w:val="FFFFFF"/>
                <w:sz w:val="20"/>
                <w:szCs w:val="20"/>
              </w:rPr>
              <w:t>Bull case</w:t>
            </w:r>
          </w:p>
        </w:tc>
        <w:tc>
          <w:tcPr>
            <w:tcW w:w="3510" w:type="dxa"/>
            <w:tcBorders>
              <w:top w:val="single" w:sz="1" w:space="0" w:color="CCCCCC"/>
              <w:left w:val="single" w:sz="1" w:space="0" w:color="CCCCCC"/>
              <w:bottom w:val="single" w:sz="1" w:space="0" w:color="CCCCCC"/>
              <w:right w:val="single" w:sz="1" w:space="0" w:color="CCCCCC"/>
            </w:tcBorders>
            <w:shd w:val="clear" w:color="auto" w:fill="2B3A4E"/>
            <w:tcMar>
              <w:top w:w="60" w:type="dxa"/>
              <w:left w:w="100" w:type="dxa"/>
              <w:bottom w:w="60" w:type="dxa"/>
              <w:right w:w="100" w:type="dxa"/>
            </w:tcMar>
            <w:vAlign w:val="center"/>
          </w:tcPr>
          <w:p w14:paraId="4C060DFD" w14:textId="77777777" w:rsidR="00C808F7" w:rsidRDefault="00000000">
            <w:r>
              <w:rPr>
                <w:b/>
                <w:bCs/>
                <w:color w:val="FFFFFF"/>
                <w:sz w:val="20"/>
                <w:szCs w:val="20"/>
              </w:rPr>
              <w:t>Bear case</w:t>
            </w:r>
          </w:p>
        </w:tc>
      </w:tr>
      <w:tr w:rsidR="00C808F7" w14:paraId="4C8DB01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2DD735" w14:textId="77777777" w:rsidR="00C808F7" w:rsidRDefault="00000000">
            <w:pPr>
              <w:spacing w:after="40"/>
            </w:pPr>
            <w:r>
              <w:t>AI productivity impact</w:t>
            </w:r>
          </w:p>
        </w:tc>
        <w:tc>
          <w:tcPr>
            <w:tcW w:w="35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A5F659" w14:textId="77777777" w:rsidR="00C808F7" w:rsidRDefault="00000000">
            <w:pPr>
              <w:spacing w:after="40"/>
            </w:pPr>
            <w:r>
              <w:t>Goldman 2023 (7% GDP), Brynjolfsson (14-34% task gains), McKinsey 2026 (20 firms: ~20% EBITDA uplift, $3 per $1), Mollick (chatbot-era studies understate agentic potential)</w:t>
            </w:r>
          </w:p>
        </w:tc>
        <w:tc>
          <w:tcPr>
            <w:tcW w:w="35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E8BC55" w14:textId="77777777" w:rsidR="00C808F7" w:rsidRDefault="00000000">
            <w:pPr>
              <w:spacing w:after="40"/>
            </w:pPr>
            <w:r>
              <w:t>Acemoglu (under 1% TFP/decade), Goldman 2026 (“no economy-wide effect yet”)</w:t>
            </w:r>
          </w:p>
        </w:tc>
      </w:tr>
      <w:tr w:rsidR="00C808F7" w14:paraId="28AC995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A855F0" w14:textId="77777777" w:rsidR="00C808F7" w:rsidRDefault="00000000">
            <w:pPr>
              <w:spacing w:after="40"/>
            </w:pPr>
            <w:r>
              <w:t>AGI timeline</w:t>
            </w:r>
          </w:p>
        </w:tc>
        <w:tc>
          <w:tcPr>
            <w:tcW w:w="35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F5C941" w14:textId="77777777" w:rsidR="00C808F7" w:rsidRDefault="00000000">
            <w:pPr>
              <w:spacing w:after="40"/>
            </w:pPr>
            <w:r>
              <w:t>Sequoia 2026 (functional AGI has arrived; METR crossover ~2028), Amodei (2-3 years), Hassabis (50% by 2030)</w:t>
            </w:r>
          </w:p>
        </w:tc>
        <w:tc>
          <w:tcPr>
            <w:tcW w:w="35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36A032" w14:textId="77777777" w:rsidR="00C808F7" w:rsidRDefault="00000000">
            <w:pPr>
              <w:spacing w:after="40"/>
            </w:pPr>
            <w:proofErr w:type="spellStart"/>
            <w:proofErr w:type="spellEnd"/>
            <w:r>
              <w:t>Cahn (consensus reset into the 2030s via Sutton/Karpathy/Sutskever), Sutskever (scaling insufficient), Patel (impressive ≠ useful)</w:t>
            </w:r>
          </w:p>
        </w:tc>
      </w:tr>
      <w:tr w:rsidR="00C808F7" w14:paraId="57A1192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83B67D" w14:textId="77777777" w:rsidR="00C808F7" w:rsidRDefault="00000000">
            <w:pPr>
              <w:spacing w:after="40"/>
            </w:pPr>
            <w:r>
              <w:t>Open vs. closed AI</w:t>
            </w:r>
          </w:p>
        </w:tc>
        <w:tc>
          <w:tcPr>
            <w:tcW w:w="35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C9401" w14:textId="77777777" w:rsidR="00C808F7" w:rsidRDefault="00000000">
            <w:pPr>
              <w:spacing w:after="40"/>
            </w:pPr>
            <w:r>
              <w:t>Huang/NVIDIA + 25-company coalition, July 2026 (safety, diffusion, sovereignty; Microsoft, Meta, Palantir signed), Zuckerberg 2024, LeCun; open weights now near frontier (Kimi K3, DeepSeek)</w:t>
            </w:r>
          </w:p>
        </w:tc>
        <w:tc>
          <w:tcPr>
            <w:tcW w:w="35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C6C5DB" w14:textId="77777777" w:rsidR="00C808F7" w:rsidRDefault="00000000">
            <w:pPr>
              <w:spacing w:after="40"/>
            </w:pPr>
            <w:r>
              <w:t>OpenAI, Anthropic, Google (declined to sign; IP and security risk), Zuckerberg 2025 reversal, White House/Treasury weighing restrictions</w:t>
            </w:r>
          </w:p>
        </w:tc>
      </w:tr>
      <w:tr w:rsidR="00C808F7" w14:paraId="2EB8408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4FE382" w14:textId="77777777" w:rsidR="00C808F7" w:rsidRDefault="00000000">
            <w:pPr>
              <w:spacing w:after="40"/>
            </w:pPr>
            <w:r>
              <w:rPr>
                <w:sz w:val="20"/>
                <w:szCs w:val="20"/>
              </w:rPr>
              <w:t>LLMs as path to AGI</w:t>
            </w:r>
          </w:p>
        </w:tc>
        <w:tc>
          <w:tcPr>
            <w:tcW w:w="35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D7DE59" w14:textId="77777777" w:rsidR="00C808F7" w:rsidRDefault="00000000">
            <w:pPr>
              <w:spacing w:after="40"/>
            </w:pPr>
            <w:r>
              <w:rPr>
                <w:sz w:val="20"/>
                <w:szCs w:val="20"/>
              </w:rPr>
              <w:t>Most frontier labs</w:t>
            </w:r>
          </w:p>
        </w:tc>
        <w:tc>
          <w:tcPr>
            <w:tcW w:w="35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79DA4C" w14:textId="77777777" w:rsidR="00C808F7" w:rsidRDefault="00000000">
            <w:pPr>
              <w:spacing w:after="40"/>
            </w:pPr>
            <w:r>
              <w:rPr>
                <w:sz w:val="20"/>
                <w:szCs w:val="20"/>
              </w:rPr>
              <w:t xml:space="preserve">LeCun (world models needed), </w:t>
            </w:r>
            <w:proofErr w:type="spellStart"/>
            <w:r>
              <w:rPr>
                <w:sz w:val="20"/>
                <w:szCs w:val="20"/>
              </w:rPr>
              <w:t>Sutskever</w:t>
            </w:r>
            <w:proofErr w:type="spellEnd"/>
            <w:r>
              <w:rPr>
                <w:sz w:val="20"/>
                <w:szCs w:val="20"/>
              </w:rPr>
              <w:t xml:space="preserve"> (new paradigm needed)</w:t>
            </w:r>
          </w:p>
        </w:tc>
      </w:tr>
      <w:tr w:rsidR="00C808F7" w14:paraId="3452CB8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90F168" w14:textId="77777777" w:rsidR="00C808F7" w:rsidRDefault="00000000">
            <w:pPr>
              <w:spacing w:after="40"/>
            </w:pPr>
            <w:r>
              <w:t>AI regulation approach</w:t>
            </w:r>
          </w:p>
        </w:tc>
        <w:tc>
          <w:tcPr>
            <w:tcW w:w="35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8A059C" w14:textId="77777777" w:rsidR="00C808F7" w:rsidRDefault="00000000">
            <w:pPr>
              <w:spacing w:after="40"/>
            </w:pPr>
            <w:r>
              <w:t>Amodei (binding audits above 10</w:t>
            </w:r>
            <w:r>
              <w:rPr>
                <w:vertAlign w:val="superscript"/>
              </w:rPr>
              <w:t>25</w:t>
            </w:r>
            <w:r>
              <w:t xml:space="preserve"> FLOPs, deployment-blocking authority), Altman (US-led international forum, access gated on compliance), EU AI Act (risk-based tiers)</w:t>
            </w:r>
          </w:p>
        </w:tc>
        <w:tc>
          <w:tcPr>
            <w:tcW w:w="35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0621FE" w14:textId="77777777" w:rsidR="00C808F7" w:rsidRDefault="00000000">
            <w:pPr>
              <w:spacing w:after="40"/>
            </w:pPr>
            <w:r>
              <w:t>Trump EOs (deregulation), Andreessen (regulatory capture), Huang coalition (restriction slows US innovation)</w:t>
            </w:r>
          </w:p>
        </w:tc>
      </w:tr>
      <w:tr w:rsidR="00C808F7" w14:paraId="55EA109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5744CC" w14:textId="77777777" w:rsidR="00C808F7" w:rsidRDefault="00000000">
            <w:pPr>
              <w:spacing w:after="40"/>
            </w:pPr>
            <w:r>
              <w:t>Banking AI impact</w:t>
            </w:r>
          </w:p>
        </w:tc>
        <w:tc>
          <w:tcPr>
            <w:tcW w:w="35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F733E2" w14:textId="77777777" w:rsidR="00C808F7" w:rsidRDefault="00000000">
            <w:pPr>
              <w:spacing w:after="40"/>
            </w:pPr>
            <w:r>
              <w:t>BCG ($370B), McKinsey ($200-340B), Microsoft (3x returns)</w:t>
            </w:r>
          </w:p>
        </w:tc>
        <w:tc>
          <w:tcPr>
            <w:tcW w:w="35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8E1C8D" w14:textId="77777777" w:rsidR="00C808F7" w:rsidRDefault="00000000">
            <w:pPr>
              <w:spacing w:after="40"/>
            </w:pPr>
            <w:r>
              <w:t>Cornerstone (data not ready), 60% lack KPIs, Stanford (US 24th in adoption at 28.3%)</w:t>
            </w:r>
          </w:p>
        </w:tc>
      </w:tr>
      <w:tr w:rsidR="00C808F7" w14:paraId="1FB9401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8B0949" w14:textId="77777777" w:rsidR="00C808F7" w:rsidRDefault="00000000">
            <w:pPr>
              <w:spacing w:after="40"/>
            </w:pPr>
            <w:r>
              <w:t>Harness vs. human engineering</w:t>
            </w:r>
          </w:p>
        </w:tc>
        <w:tc>
          <w:tcPr>
            <w:tcW w:w="35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EFF13C" w14:textId="77777777" w:rsidR="00C808F7" w:rsidRDefault="00000000">
            <w:pPr>
              <w:spacing w:after="40"/>
            </w:pPr>
            <w:proofErr w:type="spellStart"/>
            <w:proofErr w:type="spellEnd"/>
            <w:r>
              <w:t>Meta-Harness (automated search beats hand-designed context), AlphaEvolve</w:t>
            </w:r>
          </w:p>
        </w:tc>
        <w:tc>
          <w:tcPr>
            <w:tcW w:w="35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068216" w14:textId="77777777" w:rsidR="00C808F7" w:rsidRDefault="00000000">
            <w:pPr>
              <w:spacing w:after="40"/>
            </w:pPr>
            <w:r>
              <w:t>Walker/Hayek (problem formulation &amp; domain curation remain human; search only works given human-defined objectives), Karpathy (evaluation design is the human’s job)</w:t>
            </w:r>
          </w:p>
        </w:tc>
      </w:tr>
      <w:tr w:rsidR="00C808F7" w14:paraId="1FB9401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8B0949" w14:textId="77777777" w:rsidR="00C808F7" w:rsidRDefault="00000000">
            <w:pPr>
              <w:spacing w:after="40"/>
            </w:pPr>
            <w:r>
              <w:t>Model access: market or policy</w:t>
            </w:r>
          </w:p>
        </w:tc>
        <w:tc>
          <w:tcPr>
            <w:tcW w:w="35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EFF13C" w14:textId="77777777" w:rsidR="00C808F7" w:rsidRDefault="00000000">
            <w:pPr>
              <w:spacing w:after="40"/>
            </w:pPr>
            <w:proofErr w:type="spellStart"/>
            <w:proofErr w:type="spellEnd"/>
            <w:r>
              <w:t>Huang coalition, commercial competition, open-weight parity</w:t>
            </w:r>
          </w:p>
        </w:tc>
        <w:tc>
          <w:tcPr>
            <w:tcW w:w="35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068216" w14:textId="77777777" w:rsidR="00C808F7" w:rsidRDefault="00000000">
            <w:pPr>
              <w:spacing w:after="40"/>
            </w:pPr>
            <w:r>
              <w:t>Fable 5 / Mythos 5 export suspension (June 2026), GPT-5.6 access halt, Altman’s compliance-gated forum, Amodei’s deployment-blocking proposal</w:t>
            </w:r>
          </w:p>
        </w:tc>
      </w:tr>
      <w:tr w:rsidR="00C808F7" w14:paraId="1FB9401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8B0949" w14:textId="77777777" w:rsidR="00C808F7" w:rsidRDefault="00000000">
            <w:pPr>
              <w:spacing w:after="40"/>
            </w:pPr>
            <w:r>
              <w:t>US–China capability gap</w:t>
            </w:r>
          </w:p>
        </w:tc>
        <w:tc>
          <w:tcPr>
            <w:tcW w:w="35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EFF13C" w14:textId="77777777" w:rsidR="00C808F7" w:rsidRDefault="00000000">
            <w:pPr>
              <w:spacing w:after="40"/>
            </w:pPr>
            <w:proofErr w:type="spellStart"/>
            <w:proofErr w:type="spellEnd"/>
            <w:r>
              <w:t>23x US private investment advantage ($285.9B vs. $12.4B), frontier model production, high-impact patents</w:t>
            </w:r>
          </w:p>
        </w:tc>
        <w:tc>
          <w:tcPr>
            <w:tcW w:w="35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068216" w14:textId="77777777" w:rsidR="00C808F7" w:rsidRDefault="00000000">
            <w:pPr>
              <w:spacing w:after="40"/>
            </w:pPr>
            <w:r>
              <w:t>2.7% top-model gap (Mar 2026), China leads publications/citations/patents/robot installs, far higher output per dollar</w:t>
            </w:r>
          </w:p>
        </w:tc>
      </w:tr>
    </w:tbl>
    <w:p w14:paraId="20DB76E3" w14:textId="77777777" w:rsidR="001C45F2" w:rsidRDefault="001C45F2"/>
    <w:sectPr w:rsidR="001C45F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42839"/>
    <w:multiLevelType w:val="hybridMultilevel"/>
    <w:tmpl w:val="82905DDC"/>
    <w:lvl w:ilvl="0" w:tplc="19A2B1B4">
      <w:start w:val="1"/>
      <w:numFmt w:val="bullet"/>
      <w:lvlText w:val="●"/>
      <w:lvlJc w:val="left"/>
      <w:pPr>
        <w:ind w:left="720" w:hanging="360"/>
      </w:pPr>
    </w:lvl>
    <w:lvl w:ilvl="1" w:tplc="BECC1546">
      <w:start w:val="1"/>
      <w:numFmt w:val="bullet"/>
      <w:lvlText w:val="○"/>
      <w:lvlJc w:val="left"/>
      <w:pPr>
        <w:ind w:left="1440" w:hanging="360"/>
      </w:pPr>
    </w:lvl>
    <w:lvl w:ilvl="2" w:tplc="70AE5F0C">
      <w:start w:val="1"/>
      <w:numFmt w:val="bullet"/>
      <w:lvlText w:val="■"/>
      <w:lvlJc w:val="left"/>
      <w:pPr>
        <w:ind w:left="2160" w:hanging="360"/>
      </w:pPr>
    </w:lvl>
    <w:lvl w:ilvl="3" w:tplc="E09A1592">
      <w:start w:val="1"/>
      <w:numFmt w:val="bullet"/>
      <w:lvlText w:val="●"/>
      <w:lvlJc w:val="left"/>
      <w:pPr>
        <w:ind w:left="2880" w:hanging="360"/>
      </w:pPr>
    </w:lvl>
    <w:lvl w:ilvl="4" w:tplc="C0668FFE">
      <w:start w:val="1"/>
      <w:numFmt w:val="bullet"/>
      <w:lvlText w:val="○"/>
      <w:lvlJc w:val="left"/>
      <w:pPr>
        <w:ind w:left="3600" w:hanging="360"/>
      </w:pPr>
    </w:lvl>
    <w:lvl w:ilvl="5" w:tplc="A61AB000">
      <w:start w:val="1"/>
      <w:numFmt w:val="bullet"/>
      <w:lvlText w:val="■"/>
      <w:lvlJc w:val="left"/>
      <w:pPr>
        <w:ind w:left="4320" w:hanging="360"/>
      </w:pPr>
    </w:lvl>
    <w:lvl w:ilvl="6" w:tplc="7A92BA9A">
      <w:start w:val="1"/>
      <w:numFmt w:val="bullet"/>
      <w:lvlText w:val="●"/>
      <w:lvlJc w:val="left"/>
      <w:pPr>
        <w:ind w:left="5040" w:hanging="360"/>
      </w:pPr>
    </w:lvl>
    <w:lvl w:ilvl="7" w:tplc="1AE055F6">
      <w:start w:val="1"/>
      <w:numFmt w:val="bullet"/>
      <w:lvlText w:val="●"/>
      <w:lvlJc w:val="left"/>
      <w:pPr>
        <w:ind w:left="5760" w:hanging="360"/>
      </w:pPr>
    </w:lvl>
    <w:lvl w:ilvl="8" w:tplc="2F5C6D5C">
      <w:start w:val="1"/>
      <w:numFmt w:val="bullet"/>
      <w:lvlText w:val="●"/>
      <w:lvlJc w:val="left"/>
      <w:pPr>
        <w:ind w:left="6480" w:hanging="360"/>
      </w:pPr>
    </w:lvl>
  </w:abstractNum>
  <w:abstractNum w:abstractNumId="1" w15:restartNumberingAfterBreak="0">
    <w:nsid w:val="3BD50792"/>
    <w:multiLevelType w:val="hybridMultilevel"/>
    <w:tmpl w:val="2DDEEBF0"/>
    <w:lvl w:ilvl="0" w:tplc="0D4C9814">
      <w:start w:val="1"/>
      <w:numFmt w:val="bullet"/>
      <w:lvlText w:val="•"/>
      <w:lvlJc w:val="left"/>
      <w:pPr>
        <w:ind w:left="720" w:hanging="360"/>
      </w:pPr>
    </w:lvl>
    <w:lvl w:ilvl="1" w:tplc="A274B016">
      <w:numFmt w:val="decimal"/>
      <w:lvlText w:val=""/>
      <w:lvlJc w:val="left"/>
    </w:lvl>
    <w:lvl w:ilvl="2" w:tplc="CECADB76">
      <w:numFmt w:val="decimal"/>
      <w:lvlText w:val=""/>
      <w:lvlJc w:val="left"/>
    </w:lvl>
    <w:lvl w:ilvl="3" w:tplc="E32A5CB6">
      <w:numFmt w:val="decimal"/>
      <w:lvlText w:val=""/>
      <w:lvlJc w:val="left"/>
    </w:lvl>
    <w:lvl w:ilvl="4" w:tplc="2C6C817A">
      <w:numFmt w:val="decimal"/>
      <w:lvlText w:val=""/>
      <w:lvlJc w:val="left"/>
    </w:lvl>
    <w:lvl w:ilvl="5" w:tplc="B78645FC">
      <w:numFmt w:val="decimal"/>
      <w:lvlText w:val=""/>
      <w:lvlJc w:val="left"/>
    </w:lvl>
    <w:lvl w:ilvl="6" w:tplc="5510C824">
      <w:numFmt w:val="decimal"/>
      <w:lvlText w:val=""/>
      <w:lvlJc w:val="left"/>
    </w:lvl>
    <w:lvl w:ilvl="7" w:tplc="BB3EF05A">
      <w:numFmt w:val="decimal"/>
      <w:lvlText w:val=""/>
      <w:lvlJc w:val="left"/>
    </w:lvl>
    <w:lvl w:ilvl="8" w:tplc="38CC4C94">
      <w:numFmt w:val="decimal"/>
      <w:lvlText w:val=""/>
      <w:lvlJc w:val="left"/>
    </w:lvl>
  </w:abstractNum>
  <w:abstractNum w:abstractNumId="2" w15:restartNumberingAfterBreak="0">
    <w:nsid w:val="51DF265A"/>
    <w:multiLevelType w:val="hybridMultilevel"/>
    <w:tmpl w:val="F1642E08"/>
    <w:lvl w:ilvl="0" w:tplc="679E8CF2">
      <w:start w:val="1"/>
      <w:numFmt w:val="bullet"/>
      <w:lvlText w:val="•"/>
      <w:lvlJc w:val="left"/>
      <w:pPr>
        <w:ind w:left="720" w:hanging="360"/>
      </w:pPr>
    </w:lvl>
    <w:lvl w:ilvl="1" w:tplc="A726CEE6">
      <w:numFmt w:val="decimal"/>
      <w:lvlText w:val=""/>
      <w:lvlJc w:val="left"/>
    </w:lvl>
    <w:lvl w:ilvl="2" w:tplc="0DE42A0E">
      <w:numFmt w:val="decimal"/>
      <w:lvlText w:val=""/>
      <w:lvlJc w:val="left"/>
    </w:lvl>
    <w:lvl w:ilvl="3" w:tplc="A3848B10">
      <w:numFmt w:val="decimal"/>
      <w:lvlText w:val=""/>
      <w:lvlJc w:val="left"/>
    </w:lvl>
    <w:lvl w:ilvl="4" w:tplc="67186360">
      <w:numFmt w:val="decimal"/>
      <w:lvlText w:val=""/>
      <w:lvlJc w:val="left"/>
    </w:lvl>
    <w:lvl w:ilvl="5" w:tplc="C9544E8C">
      <w:numFmt w:val="decimal"/>
      <w:lvlText w:val=""/>
      <w:lvlJc w:val="left"/>
    </w:lvl>
    <w:lvl w:ilvl="6" w:tplc="E8721262">
      <w:numFmt w:val="decimal"/>
      <w:lvlText w:val=""/>
      <w:lvlJc w:val="left"/>
    </w:lvl>
    <w:lvl w:ilvl="7" w:tplc="9914F9DC">
      <w:numFmt w:val="decimal"/>
      <w:lvlText w:val=""/>
      <w:lvlJc w:val="left"/>
    </w:lvl>
    <w:lvl w:ilvl="8" w:tplc="FD066FBC">
      <w:numFmt w:val="decimal"/>
      <w:lvlText w:val=""/>
      <w:lvlJc w:val="left"/>
    </w:lvl>
  </w:abstractNum>
  <w:num w:numId="1" w16cid:durableId="757094584">
    <w:abstractNumId w:val="0"/>
    <w:lvlOverride w:ilvl="0">
      <w:startOverride w:val="1"/>
    </w:lvlOverride>
  </w:num>
  <w:num w:numId="2" w16cid:durableId="54417438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8F7"/>
    <w:rsid w:val="001C45F2"/>
    <w:rsid w:val="008134E7"/>
    <w:rsid w:val="00C808F7"/>
    <w:rsid w:val="00FC2F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C148DE"/>
  <w15:docId w15:val="{32FEE467-475D-B74E-B7F0-B219C8DD9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32"/>
      <w:szCs w:val="32"/>
    </w:rPr>
  </w:style>
  <w:style w:type="paragraph" w:styleId="Heading2">
    <w:name w:val="heading 2"/>
    <w:uiPriority w:val="9"/>
    <w:unhideWhenUsed/>
    <w:qFormat/>
    <w:pPr>
      <w:spacing w:before="280" w:after="160"/>
      <w:outlineLvl w:val="1"/>
    </w:pPr>
    <w:rPr>
      <w:b/>
      <w:bCs/>
      <w:sz w:val="28"/>
      <w:szCs w:val="28"/>
    </w:rPr>
  </w:style>
  <w:style w:type="paragraph" w:styleId="Heading3">
    <w:name w:val="heading 3"/>
    <w:uiPriority w:val="9"/>
    <w:unhideWhenUsed/>
    <w:qFormat/>
    <w:pPr>
      <w:spacing w:before="240" w:after="12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4837</Words>
  <Characters>27090</Characters>
  <Application>Microsoft Office Word</Application>
  <DocSecurity>0</DocSecurity>
  <Lines>467</Lines>
  <Paragraphs>129</Paragraphs>
  <ScaleCrop>false</ScaleCrop>
  <Company/>
  <LinksUpToDate>false</LinksUpToDate>
  <CharactersWithSpaces>31798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Madeline Fredin</cp:lastModifiedBy>
  <cp:revision>2</cp:revision>
  <dcterms:created xsi:type="dcterms:W3CDTF">2026-05-26T21:59:00Z</dcterms:created>
  <dcterms:modified xsi:type="dcterms:W3CDTF">2026-05-26T21:59:00Z</dcterms:modified>
</cp:coreProperties>
</file>