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0F878" w14:textId="77777777" w:rsidR="00C808F7" w:rsidRDefault="00000000">
      <w:pPr>
        <w:spacing w:after="80"/>
      </w:pPr>
      <w:r>
        <w:rPr>
          <w:b/>
          <w:bCs/>
          <w:sz w:val="48"/>
          <w:szCs w:val="48"/>
        </w:rPr>
        <w:t>AI Worldview</w:t>
      </w:r>
    </w:p>
    <w:p w14:paraId="44D8EAE3" w14:textId="77777777" w:rsidR="00C808F7" w:rsidRDefault="00000000">
      <w:pPr>
        <w:spacing w:after="200"/>
      </w:pPr>
      <w:r>
        <w:rPr>
          <w:color w:val="666666"/>
        </w:rPr>
        <w:t>Version: 1.1</w:t>
      </w:r>
    </w:p>
    <w:p w14:paraId="50B7D164" w14:textId="77777777" w:rsidR="00C808F7" w:rsidRDefault="00000000">
      <w:pPr>
        <w:spacing w:before="120" w:after="120"/>
      </w:pPr>
      <w:r>
        <w:rPr>
          <w:b/>
          <w:bCs/>
        </w:rPr>
        <w:t>Changelog: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400"/>
        <w:gridCol w:w="6760"/>
      </w:tblGrid>
      <w:tr w:rsidR="00C808F7" w14:paraId="5B6A65F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2B3A4E"/>
            <w:tcMar>
              <w:top w:w="60" w:type="dxa"/>
              <w:left w:w="100" w:type="dxa"/>
              <w:bottom w:w="60" w:type="dxa"/>
              <w:right w:w="100" w:type="dxa"/>
            </w:tcMar>
            <w:vAlign w:val="center"/>
          </w:tcPr>
          <w:p w14:paraId="36E8DBBF" w14:textId="77777777" w:rsidR="00C808F7" w:rsidRDefault="00000000">
            <w:r>
              <w:rPr>
                <w:b/>
                <w:bCs/>
                <w:color w:val="FFFFFF"/>
                <w:sz w:val="20"/>
                <w:szCs w:val="20"/>
              </w:rPr>
              <w:t>Version</w:t>
            </w:r>
          </w:p>
        </w:tc>
        <w:tc>
          <w:tcPr>
            <w:tcW w:w="1400" w:type="dxa"/>
            <w:tcBorders>
              <w:top w:val="single" w:sz="1" w:space="0" w:color="CCCCCC"/>
              <w:left w:val="single" w:sz="1" w:space="0" w:color="CCCCCC"/>
              <w:bottom w:val="single" w:sz="1" w:space="0" w:color="CCCCCC"/>
              <w:right w:val="single" w:sz="1" w:space="0" w:color="CCCCCC"/>
            </w:tcBorders>
            <w:shd w:val="clear" w:color="auto" w:fill="2B3A4E"/>
            <w:tcMar>
              <w:top w:w="60" w:type="dxa"/>
              <w:left w:w="100" w:type="dxa"/>
              <w:bottom w:w="60" w:type="dxa"/>
              <w:right w:w="100" w:type="dxa"/>
            </w:tcMar>
            <w:vAlign w:val="center"/>
          </w:tcPr>
          <w:p w14:paraId="1E42EFE0" w14:textId="77777777" w:rsidR="00C808F7" w:rsidRDefault="00000000">
            <w:r>
              <w:rPr>
                <w:b/>
                <w:bCs/>
                <w:color w:val="FFFFFF"/>
                <w:sz w:val="20"/>
                <w:szCs w:val="20"/>
              </w:rPr>
              <w:t>Date</w:t>
            </w:r>
          </w:p>
        </w:tc>
        <w:tc>
          <w:tcPr>
            <w:tcW w:w="6760" w:type="dxa"/>
            <w:tcBorders>
              <w:top w:val="single" w:sz="1" w:space="0" w:color="CCCCCC"/>
              <w:left w:val="single" w:sz="1" w:space="0" w:color="CCCCCC"/>
              <w:bottom w:val="single" w:sz="1" w:space="0" w:color="CCCCCC"/>
              <w:right w:val="single" w:sz="1" w:space="0" w:color="CCCCCC"/>
            </w:tcBorders>
            <w:shd w:val="clear" w:color="auto" w:fill="2B3A4E"/>
            <w:tcMar>
              <w:top w:w="60" w:type="dxa"/>
              <w:left w:w="100" w:type="dxa"/>
              <w:bottom w:w="60" w:type="dxa"/>
              <w:right w:w="100" w:type="dxa"/>
            </w:tcMar>
            <w:vAlign w:val="center"/>
          </w:tcPr>
          <w:p w14:paraId="08F934C7" w14:textId="77777777" w:rsidR="00C808F7" w:rsidRDefault="00000000">
            <w:r>
              <w:rPr>
                <w:b/>
                <w:bCs/>
                <w:color w:val="FFFFFF"/>
                <w:sz w:val="20"/>
                <w:szCs w:val="20"/>
              </w:rPr>
              <w:t>Description of Changes</w:t>
            </w:r>
          </w:p>
        </w:tc>
      </w:tr>
      <w:tr w:rsidR="00C808F7" w14:paraId="53D803C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D5E2D6" w14:textId="77777777" w:rsidR="00C808F7" w:rsidRDefault="00000000">
            <w:pPr>
              <w:spacing w:after="40"/>
            </w:pPr>
            <w:r>
              <w:rPr>
                <w:sz w:val="20"/>
                <w:szCs w:val="20"/>
              </w:rPr>
              <w:t>1.0</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BF11F" w14:textId="77777777" w:rsidR="00C808F7" w:rsidRDefault="00000000">
            <w:pPr>
              <w:spacing w:after="40"/>
            </w:pPr>
            <w:r>
              <w:rPr>
                <w:sz w:val="20"/>
                <w:szCs w:val="20"/>
              </w:rPr>
              <w:t>4/27/26</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0E3A1C" w14:textId="77777777" w:rsidR="00C808F7" w:rsidRDefault="00000000">
            <w:pPr>
              <w:spacing w:after="40"/>
            </w:pPr>
            <w:r>
              <w:rPr>
                <w:sz w:val="20"/>
                <w:szCs w:val="20"/>
              </w:rPr>
              <w:t>Initial version</w:t>
            </w:r>
          </w:p>
        </w:tc>
      </w:tr>
      <w:tr w:rsidR="00C808F7" w14:paraId="40428D6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161808" w14:textId="77777777" w:rsidR="00C808F7" w:rsidRDefault="00000000">
            <w:pPr>
              <w:spacing w:after="40"/>
            </w:pPr>
            <w:r>
              <w:rPr>
                <w:sz w:val="20"/>
                <w:szCs w:val="20"/>
              </w:rPr>
              <w:t>1.1</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A4A580" w14:textId="77777777" w:rsidR="00C808F7" w:rsidRDefault="00000000">
            <w:pPr>
              <w:spacing w:after="40"/>
            </w:pPr>
            <w:r>
              <w:rPr>
                <w:sz w:val="20"/>
                <w:szCs w:val="20"/>
              </w:rPr>
              <w:t>5/26/26</w:t>
            </w:r>
          </w:p>
        </w:tc>
        <w:tc>
          <w:tcPr>
            <w:tcW w:w="6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6DFAFD" w14:textId="77777777" w:rsidR="00C808F7" w:rsidRDefault="00000000">
            <w:pPr>
              <w:spacing w:after="40"/>
            </w:pPr>
            <w:r>
              <w:rPr>
                <w:sz w:val="20"/>
                <w:szCs w:val="20"/>
              </w:rPr>
              <w:t>Refined context engineering thesis (strategy vs. implementation layers); added harness engineering concept; updated bitter lesson bullet; sharpened human judgment claims; added Meta-Harness as applied evidence</w:t>
            </w:r>
          </w:p>
        </w:tc>
      </w:tr>
      <w:tr>
        <w:tc>
          <w:tcPr>
            <w:tcW w:type="dxa" w:w="1200"/>
          </w:tcPr>
          <w:p>
            <w:r>
              <w:t>1.2</w:t>
            </w:r>
          </w:p>
        </w:tc>
        <w:tc>
          <w:tcPr>
            <w:tcW w:type="dxa" w:w="1400"/>
          </w:tcPr>
          <w:p>
            <w:r>
              <w:t>6/22/26</w:t>
            </w:r>
          </w:p>
        </w:tc>
        <w:tc>
          <w:tcPr>
            <w:tcW w:type="dxa" w:w="6760"/>
          </w:tcPr>
          <w:p>
            <w:r>
              <w:t>Incorporated three new canon sources (June 2026 scan): Amodei 'Policy on the AI Exponential' (binding regulation, permanent job displacement acknowledgment, democratic AI coalition); Sequoia AI Ascent 2026 (METR curve, functional AGI declaration, three-stage agent autonomy model, $10T services opportunity); Stanford HAI 2026 AI Index (updated investment figures, SWE-bench milestone, US-China convergence data, 56% AI wage premium). Updated agentic AI bullet, investment gap figure, labor impact framing, regulation open question, and Key Debates table.</w:t>
            </w:r>
          </w:p>
        </w:tc>
      </w:tr>
    </w:tbl>
    <w:p w14:paraId="5438A6C7" w14:textId="77777777" w:rsidR="00C808F7" w:rsidRDefault="00C808F7">
      <w:pPr>
        <w:spacing w:after="80"/>
      </w:pPr>
    </w:p>
    <w:p w14:paraId="1C62F6C3" w14:textId="77777777" w:rsidR="00C808F7" w:rsidRDefault="00000000">
      <w:pPr>
        <w:pStyle w:val="Heading1"/>
      </w:pPr>
      <w:r>
        <w:t>State of AI</w:t>
      </w:r>
    </w:p>
    <w:p w14:paraId="1BA161D8" w14:textId="77777777" w:rsidR="00C808F7" w:rsidRDefault="00000000">
      <w:pPr>
        <w:spacing w:after="120"/>
      </w:pPr>
      <w:r>
        <w:t>Strong opinions loosely held. Here’s a list of beliefs about the state of AI:</w:t>
      </w:r>
    </w:p>
    <w:p w14:paraId="19336E7E" w14:textId="77777777" w:rsidR="00C808F7" w:rsidRDefault="00C808F7">
      <w:pPr>
        <w:spacing w:after="80"/>
      </w:pPr>
    </w:p>
    <w:p w14:paraId="65229523" w14:textId="77777777" w:rsidR="00C808F7" w:rsidRDefault="00000000">
      <w:pPr>
        <w:pStyle w:val="ListParagraph"/>
        <w:numPr>
          <w:ilvl w:val="0"/>
          <w:numId w:val="2"/>
        </w:numPr>
        <w:spacing w:after="120"/>
      </w:pPr>
      <w:r>
        <w:rPr>
          <w:b/>
          <w:bCs/>
        </w:rPr>
        <w:t xml:space="preserve">Systems that scale with compute beat those that don’t — including the systems built around models. </w:t>
      </w:r>
      <w:r>
        <w:t xml:space="preserve">This is the bitter lesson of 70 years of AI research. Methods that leverage raw computation — search, learning, scale — consistently defeat methods that try to encode human knowledge directly. Recent work on automated harness optimization (Meta-Harness, Stanford/MIT 2026) demonstrates that this principle extends beyond model training: automated search over the code that wraps a model — what to store, retrieve, and present — can outperform the best hand-designed systems. The implication for adopters: don’t bet on hand-built rules and narrow automation. Bet on general-purpose methods that get better as compute gets </w:t>
      </w:r>
      <w:proofErr w:type="gramStart"/>
      <w:r>
        <w:t>cheaper, and</w:t>
      </w:r>
      <w:proofErr w:type="gramEnd"/>
      <w:r>
        <w:t xml:space="preserve"> expect the systems around models to be optimized by search, not just by human intuition.</w:t>
      </w:r>
    </w:p>
    <w:p w14:paraId="7AC056D9" w14:textId="77777777" w:rsidR="00C808F7" w:rsidRDefault="00000000">
      <w:pPr>
        <w:pStyle w:val="ListParagraph"/>
        <w:numPr>
          <w:ilvl w:val="0"/>
          <w:numId w:val="2"/>
        </w:numPr>
        <w:spacing w:after="120"/>
      </w:pPr>
      <w:r>
        <w:rPr>
          <w:b/>
          <w:bCs/>
        </w:rPr>
        <w:t xml:space="preserve">Compute will continue to get cheaper. </w:t>
      </w:r>
      <w:r>
        <w:t>Moore’s law, or its generalization, has held for decades and shows no sign of stopping. What is expensive and scarce today becomes abundant tomorrow. Strategies that assume current cost structures are permanent will be wrong.</w:t>
      </w:r>
    </w:p>
    <w:p w14:paraId="3FD0BBB1" w14:textId="77777777" w:rsidR="00C808F7" w:rsidRDefault="00000000">
      <w:pPr>
        <w:pStyle w:val="ListParagraph"/>
        <w:numPr>
          <w:ilvl w:val="0"/>
          <w:numId w:val="2"/>
        </w:numPr>
        <w:spacing w:after="120"/>
      </w:pPr>
      <w:r>
        <w:rPr>
          <w:b/>
          <w:bCs/>
        </w:rPr>
        <w:t xml:space="preserve">Context — proprietary insight about the world — defines the winners in the age of AI. </w:t>
      </w:r>
      <w:r>
        <w:t xml:space="preserve">Foundation models are commoditizing. The scarce resource is not intelligence but the domain-specific knowledge that makes intelligence useful: your customer relationships, your institutional memory, your understanding of your market. The firms that can translate that knowledge into high-quality AI context will outperform those with more powerful models but thinner context. Empirical evidence is </w:t>
      </w:r>
      <w:proofErr w:type="gramStart"/>
      <w:r>
        <w:t>accumulating:</w:t>
      </w:r>
      <w:proofErr w:type="gramEnd"/>
      <w:r>
        <w:t xml:space="preserve"> changing only the harness around a fixed model can produce a 6x performance gap on the same benchmark (Meta-Harness, 2026). Context is not merely important alongside the model — it can be the dominant variable.</w:t>
      </w:r>
    </w:p>
    <w:p w14:paraId="45BD4EB1" w14:textId="77777777" w:rsidR="00C808F7" w:rsidRDefault="00000000">
      <w:pPr>
        <w:pStyle w:val="ListParagraph"/>
        <w:numPr>
          <w:ilvl w:val="0"/>
          <w:numId w:val="2"/>
        </w:numPr>
        <w:spacing w:after="120"/>
      </w:pPr>
      <w:r>
        <w:rPr>
          <w:b/>
          <w:bCs/>
        </w:rPr>
        <w:t xml:space="preserve">Context engineering has two layers, and the human role lives in the upper one. </w:t>
      </w:r>
      <w:r>
        <w:t xml:space="preserve">Context engineering is the work of selecting, structuring, and continuously updating the information that reaches an AI model when it performs a task. It is not prompt engineering. But it is also not a monolithic capability. The upper layer — </w:t>
      </w:r>
      <w:r>
        <w:rPr>
          <w:i/>
          <w:iCs/>
        </w:rPr>
        <w:t>context strategy</w:t>
      </w:r>
      <w:r>
        <w:t xml:space="preserve"> — is defining which problems are worth solving, what data needs to exist, what “good” looks like, and how to evaluate whether the system’s output </w:t>
      </w:r>
      <w:proofErr w:type="gramStart"/>
      <w:r>
        <w:t>actually makes</w:t>
      </w:r>
      <w:proofErr w:type="gramEnd"/>
      <w:r>
        <w:t xml:space="preserve"> sense. This </w:t>
      </w:r>
      <w:r>
        <w:lastRenderedPageBreak/>
        <w:t xml:space="preserve">requires deep domain expertise and ongoing human judgment. The lower layer — </w:t>
      </w:r>
      <w:r>
        <w:rPr>
          <w:i/>
          <w:iCs/>
        </w:rPr>
        <w:t>context implementation</w:t>
      </w:r>
      <w:r>
        <w:t xml:space="preserve"> — is the specific mechanics of retrieval logic, memory structures, prompt construction, and orchestration code. This layer is increasingly subject to automated optimization through search. Human judgment remains essential for the strategy; the implementation is where compute and agents can do the heavy lifting.</w:t>
      </w:r>
    </w:p>
    <w:p w14:paraId="0A80AA88" w14:textId="77777777" w:rsidR="00C808F7" w:rsidRDefault="00000000">
      <w:pPr>
        <w:pStyle w:val="ListParagraph"/>
        <w:numPr>
          <w:ilvl w:val="0"/>
          <w:numId w:val="2"/>
        </w:numPr>
        <w:spacing w:after="120"/>
      </w:pPr>
      <w:r>
        <w:rPr>
          <w:b/>
          <w:bCs/>
        </w:rPr>
        <w:t xml:space="preserve">Harness engineering is an emerging discipline. </w:t>
      </w:r>
      <w:r>
        <w:t>The term “harness” has entered practitioner vocabulary to describe the code that wraps a language model: what information to store, when to retrieve it, how to present it. Anthropic, OpenAI, and Martin Fowler all published on harness engineering in late 2025 and early 2026. Meta-Harness (Stanford/MIT, March 2026) showed that automated search over harness code can beat the best hand-engineered systems across text classification, mathematical reasoning, and agentic coding tasks. The field is formalizing around the harness as the unit of optimization — distinct from the model itself.</w:t>
      </w:r>
    </w:p>
    <w:p w14:paraId="051AC8CD" w14:textId="77777777" w:rsidR="00C808F7" w:rsidRDefault="00000000">
      <w:pPr>
        <w:pStyle w:val="ListParagraph"/>
        <w:numPr>
          <w:ilvl w:val="0"/>
          <w:numId w:val="2"/>
        </w:numPr>
        <w:spacing w:after="120"/>
      </w:pPr>
      <w:r>
        <w:rPr>
          <w:b/>
          <w:bCs/>
        </w:rPr>
        <w:t xml:space="preserve">The future workforce is a hybrid of humans and agents. </w:t>
      </w:r>
      <w:r>
        <w:t>This is not a future state to plan for — it is already underway. The question is not whether agents enter the workforce but how the division of labor between humans and agents is designed, managed, and evolved.</w:t>
      </w:r>
    </w:p>
    <w:p w14:paraId="6F960616" w14:textId="77777777" w:rsidR="00C808F7" w:rsidRDefault="00000000">
      <w:pPr>
        <w:pStyle w:val="ListParagraph"/>
        <w:numPr>
          <w:ilvl w:val="0"/>
          <w:numId w:val="2"/>
        </w:numPr>
        <w:spacing w:after="120"/>
      </w:pPr>
      <w:r>
        <w:rPr>
          <w:b/>
          <w:bCs/>
        </w:rPr>
        <w:t xml:space="preserve">Humans will concentrate in problem definition, accountability, systems design, relationships, and validation. </w:t>
      </w:r>
      <w:r>
        <w:t xml:space="preserve">Someone must own outcomes before regulators and boards. Someone must architect how humans and agents collaborate. Someone must build and maintain trust between organizations. Someone must judge whether the system’s output is </w:t>
      </w:r>
      <w:proofErr w:type="gramStart"/>
      <w:r>
        <w:t>actually good</w:t>
      </w:r>
      <w:proofErr w:type="gramEnd"/>
      <w:r>
        <w:t>. And someone must define which problems the AI system should be solving in the first place — the problem formulation that no search process can automate away. These functions remain human. Most everything else is migrating.</w:t>
      </w:r>
    </w:p>
    <w:p w14:paraId="69745ADF" w14:textId="77777777" w:rsidR="00C808F7" w:rsidRDefault="00000000">
      <w:pPr>
        <w:pStyle w:val="ListParagraph"/>
        <w:numPr>
          <w:ilvl w:val="0"/>
          <w:numId w:val="2"/>
        </w:numPr>
        <w:spacing w:after="120"/>
      </w:pPr>
      <w:r>
        <w:rPr>
          <w:b/>
          <w:bCs/>
        </w:rPr>
        <w:t xml:space="preserve">Systems thinking is the essential skill for individuals who will thrive. </w:t>
      </w:r>
      <w:r>
        <w:t xml:space="preserve">The ability to see how pieces fit together, design workflows, and architect human-agent collaboration requires both technical fluency and deep understanding of how the business </w:t>
      </w:r>
      <w:proofErr w:type="gramStart"/>
      <w:r>
        <w:t>actually works</w:t>
      </w:r>
      <w:proofErr w:type="gramEnd"/>
      <w:r>
        <w:t>. It is the hardest skill to develop and the most valuable to possess.</w:t>
      </w:r>
    </w:p>
    <w:p w14:paraId="2FCF17F8" w14:textId="77777777" w:rsidR="00C808F7" w:rsidRDefault="00000000">
      <w:pPr>
        <w:pStyle w:val="ListParagraph"/>
        <w:numPr>
          <w:ilvl w:val="0"/>
          <w:numId w:val="2"/>
        </w:numPr>
        <w:spacing w:after="120"/>
      </w:pPr>
      <w:r>
        <w:rPr>
          <w:b/>
          <w:bCs/>
        </w:rPr>
        <w:t xml:space="preserve">AI agents need to be told what to do and what good looks like — not how to do it. </w:t>
      </w:r>
      <w:r>
        <w:t>This is a fundamental shift from how banks have historically managed technology and people. Detailed procedural instructions give way to clear objectives, quality standards, and guardrails. The skill is in defining the outcome and the boundaries, not in specifying the steps.</w:t>
      </w:r>
    </w:p>
    <w:p w14:paraId="36D761B5" w14:textId="77777777" w:rsidR="00C808F7" w:rsidRDefault="00000000">
      <w:pPr>
        <w:pStyle w:val="ListParagraph"/>
        <w:numPr>
          <w:ilvl w:val="0"/>
          <w:numId w:val="2"/>
        </w:numPr>
        <w:spacing w:after="120"/>
      </w:pPr>
      <w:r>
        <w:rPr>
          <w:b/>
          <w:bCs/>
        </w:rPr>
        <w:t xml:space="preserve">Managing the work of agents and operating alongside them is a new and essential capability. </w:t>
      </w:r>
      <w:r>
        <w:t xml:space="preserve">This is not a metaphor. It means designing approval workflows, monitoring agent output, interpreting what </w:t>
      </w:r>
      <w:proofErr w:type="gramStart"/>
      <w:r>
        <w:t>agents</w:t>
      </w:r>
      <w:proofErr w:type="gramEnd"/>
      <w:r>
        <w:t xml:space="preserve"> surface, knowing when to intervene, and building the feedback loops that make the system improve over time. It is a discipline that barely exists today and will be table stakes within a few years.</w:t>
      </w:r>
    </w:p>
    <w:p w14:paraId="7FCC23B5" w14:textId="77777777" w:rsidR="00C808F7" w:rsidRDefault="00000000">
      <w:pPr>
        <w:pStyle w:val="ListParagraph"/>
        <w:numPr>
          <w:ilvl w:val="0"/>
          <w:numId w:val="2"/>
        </w:numPr>
        <w:spacing w:after="120"/>
      </w:pPr>
      <w:r>
        <w:rPr>
          <w:b/>
          <w:bCs/>
        </w:rPr>
        <w:t xml:space="preserve">Validation demand will follow a bell curve — and we’re still on the upslope. </w:t>
      </w:r>
      <w:r>
        <w:t>Agents can do meaningful work but can’t yet be trusted to operate autonomously in most domains. Humans review, correct, and sign off. This demand will peak in 2–4 years, then decline as systems accumulate enough data to self-correct. But new domains keep opening, pushing the curve rightward. Validation is not a temporary inconvenience — it is a structural feature of the transition.</w:t>
      </w:r>
    </w:p>
    <w:p w14:paraId="5582D77B" w14:textId="77777777" w:rsidR="00C808F7" w:rsidRDefault="00000000">
      <w:pPr>
        <w:pStyle w:val="ListParagraph"/>
        <w:numPr>
          <w:ilvl w:val="0"/>
          <w:numId w:val="2"/>
        </w:numPr>
        <w:spacing w:after="120"/>
      </w:pPr>
      <w:r>
        <w:rPr>
          <w:b/>
          <w:bCs/>
        </w:rPr>
        <w:lastRenderedPageBreak/>
        <w:t xml:space="preserve">The validator pool is a one-generation asset, and the compression is accelerating. </w:t>
      </w:r>
      <w:r>
        <w:t xml:space="preserve">If agents handle all the junior work, the next generation may never build the expertise needed to validate what AI produces. The gap between current experts retiring and new experts emerging is a real institutional risk. The automation of harness engineering compounds this: if the context implementation layer is also automated, there is one fewer </w:t>
      </w:r>
      <w:proofErr w:type="gramStart"/>
      <w:r>
        <w:t>on-ramp</w:t>
      </w:r>
      <w:proofErr w:type="gramEnd"/>
      <w:r>
        <w:t xml:space="preserve"> for junior practitioners to learn by doing. Entry-level work must be restructured around context strategy — learning to define problems, judge AI output, identify where context is missing, and evaluate whether the systems that produce it are </w:t>
      </w:r>
      <w:proofErr w:type="gramStart"/>
      <w:r>
        <w:t>actually working</w:t>
      </w:r>
      <w:proofErr w:type="gramEnd"/>
      <w:r>
        <w:t>. Banks that don’t solve this will find themselves dependent on a shrinking pool of domain experts.</w:t>
      </w:r>
    </w:p>
    <w:p w14:paraId="179165C6" w14:textId="77777777" w:rsidR="00C808F7" w:rsidRDefault="00000000">
      <w:pPr>
        <w:pStyle w:val="ListParagraph"/>
        <w:numPr>
          <w:ilvl w:val="0"/>
          <w:numId w:val="2"/>
        </w:numPr>
        <w:spacing w:after="120"/>
      </w:pPr>
      <w:r>
        <w:rPr>
          <w:b/>
          <w:bCs/>
        </w:rPr>
        <w:t xml:space="preserve">AI-native challengers have a structural advantage over incumbents. </w:t>
      </w:r>
      <w:r>
        <w:t xml:space="preserve">They design the human-agent division of labor from scratch, with no legacy systems to rewire, no existing workforce to retrain, no entrenched processes to unwind. Incumbents’ advantages — customer depth, regulatory standing, domain expertise — are real, but only if they can be converted into AI context and organizational speed. </w:t>
      </w:r>
      <w:proofErr w:type="gramStart"/>
      <w:r>
        <w:t>Otherwise</w:t>
      </w:r>
      <w:proofErr w:type="gramEnd"/>
      <w:r>
        <w:t xml:space="preserve"> they are just inertia.</w:t>
      </w:r>
    </w:p>
    <w:p w14:paraId="3FFA1979" w14:textId="77777777" w:rsidR="00C808F7" w:rsidRDefault="00000000">
      <w:pPr>
        <w:pStyle w:val="ListParagraph"/>
        <w:numPr>
          <w:ilvl w:val="0"/>
          <w:numId w:val="2"/>
        </w:numPr>
        <w:spacing w:after="120"/>
      </w:pPr>
      <w:r>
        <w:rPr>
          <w:b/>
          <w:bCs/>
        </w:rPr>
        <w:t xml:space="preserve">The pace of change in AI is exceptionally fast, and we have not reached a steady state. </w:t>
      </w:r>
      <w:r>
        <w:t>Model capabilities are improving on a curve that makes 12-month predictions unreliable. Strategies must be designed to adapt continuously. Static plans — three-year roadmaps, fixed vendor commitments, rigid governance frameworks — will not survive contact with the rate of change. The organizational muscle to learn, build, deprecate, and rebuild is more important than any single deployment.</w:t>
      </w:r>
    </w:p>
    <w:p w14:paraId="78B007CD" w14:textId="77777777" w:rsidR="00C808F7" w:rsidRDefault="00000000">
      <w:pPr>
        <w:pStyle w:val="ListParagraph"/>
        <w:numPr>
          <w:ilvl w:val="0"/>
          <w:numId w:val="2"/>
        </w:numPr>
        <w:spacing w:after="120"/>
      </w:pPr>
      <w:r>
        <w:rPr>
          <w:b/>
          <w:bCs/>
        </w:rPr>
        <w:t xml:space="preserve">Proficiency — individual and organizational — is gained through experience, not training. </w:t>
      </w:r>
      <w:r>
        <w:t xml:space="preserve">You cannot train your way to AI competence through workshops and certifications. People learn by </w:t>
      </w:r>
      <w:proofErr w:type="gramStart"/>
      <w:r>
        <w:t>doing:</w:t>
      </w:r>
      <w:proofErr w:type="gramEnd"/>
      <w:r>
        <w:t xml:space="preserve"> by using AI daily, by building something that solves a real problem, by failing and iterating. Organizations learn the same way. The companies seeing compounding returns are the ones that fund the reps — giving people room to experiment with the explicit understanding that the payoff comes from compounding, not from day one.</w:t>
      </w:r>
      <w:r>
        <w:rPr>
          <w:b w:val="0"/>
          <w:i w:val="0"/>
        </w:rPr>
        <w:t xml:space="preserve"> The Stanford HAI 2026 AI Index provides empirical grounding: workers with advanced AI skills earn 56% more than peers in the same roles. This is among the strongest data points yet for the compounding advantage of early investment in AI proficiency.</w:t>
      </w:r>
    </w:p>
    <w:p w14:paraId="1428434E" w14:textId="77777777" w:rsidR="00C808F7" w:rsidRDefault="00000000">
      <w:pPr>
        <w:pStyle w:val="ListParagraph"/>
        <w:numPr>
          <w:ilvl w:val="0"/>
          <w:numId w:val="2"/>
        </w:numPr>
        <w:spacing w:after="120"/>
      </w:pPr>
      <w:r>
        <w:rPr>
          <w:b/>
          <w:bCs/>
        </w:rPr>
        <w:t xml:space="preserve">Speed is a compounding advantage. </w:t>
      </w:r>
      <w:r>
        <w:t>Faster iteration produces more data, better context, sharper workflows, which produce faster iteration. The gap between fast movers and slow movers widens nonlinearly. This is not about being first — it is about building the cycle that compounds. Every quarter of delay is not just lost time; it is lost compounding.</w:t>
      </w:r>
    </w:p>
    <w:p w14:paraId="67AAB62A" w14:textId="77777777" w:rsidR="00C808F7" w:rsidRDefault="00000000">
      <w:pPr>
        <w:pStyle w:val="ListParagraph"/>
        <w:numPr>
          <w:ilvl w:val="0"/>
          <w:numId w:val="2"/>
        </w:numPr>
        <w:spacing w:after="120"/>
      </w:pPr>
      <w:r>
        <w:rPr>
          <w:b/>
          <w:bCs/>
        </w:rPr>
        <w:t xml:space="preserve">There is no one-model-fits-all answer. </w:t>
      </w:r>
      <w:r>
        <w:t>Different models have different strengths — reasoning depth, speed, cost, multimodal capability, context window size. The right model depends on the task. Organizations need the flexibility to choose and switch models as the landscape evolves, which means avoiding deep lock-in to any single provider.</w:t>
      </w:r>
    </w:p>
    <w:p w14:paraId="1B1B5741" w14:textId="77777777" w:rsidR="00C808F7" w:rsidRDefault="00000000">
      <w:pPr>
        <w:pStyle w:val="ListParagraph"/>
        <w:numPr>
          <w:ilvl w:val="0"/>
          <w:numId w:val="2"/>
        </w:numPr>
        <w:spacing w:after="120"/>
      </w:pPr>
      <w:r>
        <w:rPr>
          <w:b/>
          <w:bCs/>
        </w:rPr>
        <w:t xml:space="preserve">“AI strategy” is a misnomer. </w:t>
      </w:r>
      <w:r>
        <w:t>Business strategy remains paramount — but must be reevaluated given what AI makes possible. AI is not a workstream alongside the business strategy. It reshapes what’s feasible, what’s economical, and what customers will expect. The strategic question isn’t “what is our AI strategy?” It’s “what does our business strategy look like now that intelligence is abundant and cheap?”</w:t>
      </w:r>
    </w:p>
    <w:p w14:paraId="02EF24F8" w14:textId="77777777" w:rsidR="00C808F7" w:rsidRDefault="00000000">
      <w:pPr>
        <w:pStyle w:val="ListParagraph"/>
        <w:numPr>
          <w:ilvl w:val="0"/>
          <w:numId w:val="2"/>
        </w:numPr>
        <w:spacing w:after="120"/>
      </w:pPr>
      <w:r>
        <w:rPr>
          <w:b/>
          <w:bCs/>
        </w:rPr>
        <w:t xml:space="preserve">AI may change not just how you work, but where you play and how you win. </w:t>
      </w:r>
      <w:r>
        <w:t xml:space="preserve">New products become feasible. New markets become reachable. New competitors emerge from outside the industry. Managing change across multiple axes simultaneously — </w:t>
      </w:r>
      <w:r>
        <w:lastRenderedPageBreak/>
        <w:t>operations, products, competitive positioning, talent — is the defining challenge of leadership right now.</w:t>
      </w:r>
    </w:p>
    <w:p w14:paraId="2B69F518" w14:textId="77777777" w:rsidR="00C808F7" w:rsidRDefault="00000000">
      <w:pPr>
        <w:pStyle w:val="ListParagraph"/>
        <w:numPr>
          <w:ilvl w:val="0"/>
          <w:numId w:val="2"/>
        </w:numPr>
        <w:spacing w:after="120"/>
      </w:pPr>
      <w:r>
        <w:rPr>
          <w:b/>
          <w:bCs/>
        </w:rPr>
        <w:t xml:space="preserve">AI reduces the cost of operating, but if headcount doesn’t flex, ROI comes only through growth. </w:t>
      </w:r>
      <w:r>
        <w:t>This is the quiet tension in every AI business case. Banks that are unwilling or unable to resize teams will only realize returns by serving more customers, entering new markets, or offering new products with the same people. That’s a viable path — but it requires a growth strategy, not just an efficiency one. Leaders should be honest with themselves about which path they’re on.</w:t>
      </w:r>
    </w:p>
    <w:p w14:paraId="1AEC59A3" w14:textId="77777777" w:rsidR="00C808F7" w:rsidRDefault="00000000">
      <w:pPr>
        <w:pStyle w:val="ListParagraph"/>
        <w:numPr>
          <w:ilvl w:val="0"/>
          <w:numId w:val="2"/>
        </w:numPr>
        <w:spacing w:after="120"/>
      </w:pPr>
      <w:r>
        <w:rPr>
          <w:b/>
          <w:bCs/>
        </w:rPr>
        <w:t xml:space="preserve">AI capabilities are improving on a steep curve, but economic usefulness </w:t>
      </w:r>
      <w:proofErr w:type="gramStart"/>
      <w:r>
        <w:rPr>
          <w:b/>
          <w:bCs/>
        </w:rPr>
        <w:t>lags behind</w:t>
      </w:r>
      <w:proofErr w:type="gramEnd"/>
      <w:r>
        <w:rPr>
          <w:b/>
          <w:bCs/>
        </w:rPr>
        <w:t xml:space="preserve">. </w:t>
      </w:r>
      <w:proofErr w:type="spellStart"/>
      <w:r>
        <w:t>Dwarkesh</w:t>
      </w:r>
      <w:proofErr w:type="spellEnd"/>
      <w:r>
        <w:t xml:space="preserve"> Patel captured this best: “Models keep getting more impressive at the rate short-timelines people predict, but more useful at the rate long-timelines people predict.” This is substantiated by Goldman Sachs walking back their 7% GDP forecast to “no meaningful economy-wide effect yet” (2026), by Acemoglu’s sub-1% TFP estimates, and by </w:t>
      </w:r>
      <w:proofErr w:type="spellStart"/>
      <w:r>
        <w:t>Anthropic’s</w:t>
      </w:r>
      <w:proofErr w:type="spellEnd"/>
      <w:r>
        <w:t xml:space="preserve"> own Economic Index showing the gap between theoretical AI exposure (80%+ in knowledge work) and actual adoption. Capability demos will continue to dazzle, but the real strategic question is adoption speed, not capability arrival.</w:t>
      </w:r>
    </w:p>
    <w:p w14:paraId="78378A5E" w14:textId="77777777" w:rsidR="00C808F7" w:rsidRDefault="00000000">
      <w:pPr>
        <w:pStyle w:val="ListParagraph"/>
        <w:numPr>
          <w:ilvl w:val="0"/>
          <w:numId w:val="2"/>
        </w:numPr>
        <w:spacing w:after="120"/>
      </w:pPr>
      <w:r>
        <w:rPr>
          <w:b/>
          <w:bCs/>
        </w:rPr>
        <w:t xml:space="preserve">The “jagged frontier” is the most important practical concept for anyone deploying AI. </w:t>
      </w:r>
      <w:r>
        <w:t>Documented by Mollick (Wharton/BCG study of 758 consultants), confirmed by Brynjolfsson’s customer support study, and visible in every enterprise deployment report — AI is brilliant at some complex tasks and terrible at seemingly simple ones, and you cannot predict which without hands-on use. Top-down AI strategy without bottom-up experimentation is blind. Your member banks need structured experimentation programs.</w:t>
      </w:r>
      <w:r>
        <w:t xml:space="preserve"> The SWE-bench coding benchmark provides the starkest recent data point on the jagged frontier in motion: AI performance rose from 60% to near 100% in a single year (Stanford HAI 2026 AI Index). An entire category of tasks — software engineering on standard benchmarks — crossed from meaningfully-below-human to effectively-at-human in twelve months. The frontier is not just jagged — it is moving jaggedly, with sudden step-changes rather than smooth progress. Hands-on use is required not just to discover where AI is strong today, but to detect when it has vaulted over a threshold it could not clear last quarter.</w:t>
      </w:r>
    </w:p>
    <w:p w14:paraId="05C43548" w14:textId="77777777" w:rsidR="00C808F7" w:rsidRDefault="00000000">
      <w:pPr>
        <w:pStyle w:val="ListParagraph"/>
        <w:numPr>
          <w:ilvl w:val="0"/>
          <w:numId w:val="2"/>
        </w:numPr>
        <w:spacing w:after="120"/>
      </w:pPr>
      <w:r>
        <w:rPr>
          <w:b/>
          <w:bCs/>
        </w:rPr>
        <w:t xml:space="preserve">AI’s labor impact is showing up as a hiring slowdown, not mass layoffs. </w:t>
      </w:r>
      <w:proofErr w:type="spellStart"/>
      <w:r>
        <w:t>Anthropic’s</w:t>
      </w:r>
      <w:proofErr w:type="spellEnd"/>
      <w:r>
        <w:t xml:space="preserve"> Economic Index found a 14% slowdown in hiring of </w:t>
      </w:r>
      <w:proofErr w:type="gramStart"/>
      <w:r>
        <w:t>22-25 year-olds</w:t>
      </w:r>
      <w:proofErr w:type="gramEnd"/>
      <w:r>
        <w:t xml:space="preserve"> into AI-exposed roles. Brynjolfsson’s work shows AI primarily lifts the performance floor (novices benefit most). Multiple sources (McKinsey, Accenture, Microsoft) converge on the same pattern: augmentation before automation. The story to tell your boards is about making existing relationship bankers 2-3x more effective, not about headcount reduction.</w:t>
      </w:r>
      <w:r>
        <w:t xml:space="preserve"> In June 2026, Anthropic CEO Dario Amodei explicitly acknowledged that permanent, large-scale job displacement may be an intrinsic property of the technology and the way it broadly replicates human cognition. This is the first time a frontier lab CEO has publicly stated that permanent structural displacement — not just transitional disruption — is a plausible outcome. The bear case on jobs has moved from fringe to primary-source acknowledgment. The augmentation narrative remains accurate for the current moment, but boards should be honest that the medium-term picture is genuinely uncertain.</w:t>
      </w:r>
    </w:p>
    <w:p w14:paraId="533CCBAB" w14:textId="77777777" w:rsidR="00C808F7" w:rsidRDefault="00000000">
      <w:pPr>
        <w:pStyle w:val="ListParagraph"/>
        <w:numPr>
          <w:ilvl w:val="0"/>
          <w:numId w:val="2"/>
        </w:numPr>
        <w:spacing w:after="120"/>
      </w:pPr>
      <w:r>
        <w:rPr>
          <w:b/>
          <w:bCs/>
        </w:rPr>
        <w:t xml:space="preserve">Pre-training scaling may be plateauing, but at a level that is already </w:t>
      </w:r>
      <w:proofErr w:type="spellStart"/>
      <w:r>
        <w:rPr>
          <w:b/>
          <w:bCs/>
        </w:rPr>
        <w:t>transformatively</w:t>
      </w:r>
      <w:proofErr w:type="spellEnd"/>
      <w:r>
        <w:rPr>
          <w:b/>
          <w:bCs/>
        </w:rPr>
        <w:t xml:space="preserve"> powerful. </w:t>
      </w:r>
      <w:r>
        <w:t>Dario Amodei (</w:t>
      </w:r>
      <w:proofErr w:type="spellStart"/>
      <w:r>
        <w:t>Dwarkesh</w:t>
      </w:r>
      <w:proofErr w:type="spellEnd"/>
      <w:r>
        <w:t xml:space="preserve"> interview, Feb 2026), Ilya </w:t>
      </w:r>
      <w:proofErr w:type="spellStart"/>
      <w:r>
        <w:t>Sutskever</w:t>
      </w:r>
      <w:proofErr w:type="spellEnd"/>
      <w:r>
        <w:t xml:space="preserve"> (</w:t>
      </w:r>
      <w:proofErr w:type="spellStart"/>
      <w:r>
        <w:t>Dwarkesh</w:t>
      </w:r>
      <w:proofErr w:type="spellEnd"/>
      <w:r>
        <w:t xml:space="preserve"> interview, Nov 2025), and Sequoia (2026 piece) all converge here. The exponential gains from simply adding compute are flattening, but RL-based and agentic approaches open a new capability frontier. Don’t wait for “the next GPT” — current capabilities are already sufficient to transform banking operations.</w:t>
      </w:r>
    </w:p>
    <w:p w14:paraId="5E5E4805" w14:textId="77777777" w:rsidR="00C808F7" w:rsidRDefault="00000000">
      <w:pPr>
        <w:pStyle w:val="ListParagraph"/>
        <w:numPr>
          <w:ilvl w:val="0"/>
          <w:numId w:val="2"/>
        </w:numPr>
        <w:spacing w:after="120"/>
      </w:pPr>
      <w:r>
        <w:rPr>
          <w:b/>
          <w:bCs/>
        </w:rPr>
        <w:t xml:space="preserve">Agentic AI is the 2025-2026 inflection point. </w:t>
      </w:r>
      <w:r>
        <w:t>McKinsey, BCG, Sequoia, Willison, Anthropic, AWS, and Microsoft all independently identify AI agents as the defining shift. BCG: “The branch manager of the future is an AI agent in the customer’s pocket.” Sequoia: AGI has arrived pragmatically as autonomous agents that can “figure things out.” The agent wave is the one that matters most for banking. A community bank AI agent with local context could outperform a generic big-bank agent.</w:t>
      </w:r>
      <w:r>
        <w:rPr>
          <w:b w:val="0"/>
          <w:i w:val="0"/>
        </w:rPr>
        <w:t xml:space="preserve"> Sequoia's AI Ascent 2026 conference (May 2026) declared commercial AGI has functionally arrived — defined as an agent that can be dispatched to complete a job, recover from failure, and persist until done. The METR curve (measuring maximum reliable autonomous task duration) is doubling every 7 months, placing human-equivalent agent capability around 2028. At that crossover, an agent is functionally equivalent to a full-time employee but can be replicated at marginal cost.</w:t>
      </w:r>
    </w:p>
    <w:p w14:paraId="61FDCD0B" w14:textId="77777777" w:rsidR="00C808F7" w:rsidRDefault="00000000">
      <w:pPr>
        <w:pStyle w:val="Heading3"/>
      </w:pPr>
      <w:r>
        <w:t>On AI economics and business models</w:t>
      </w:r>
    </w:p>
    <w:p w14:paraId="60B0080B" w14:textId="77777777" w:rsidR="00C808F7" w:rsidRDefault="00000000">
      <w:pPr>
        <w:pStyle w:val="ListParagraph"/>
        <w:numPr>
          <w:ilvl w:val="0"/>
          <w:numId w:val="2"/>
        </w:numPr>
        <w:spacing w:after="120"/>
      </w:pPr>
      <w:r>
        <w:rPr>
          <w:b/>
          <w:bCs/>
        </w:rPr>
        <w:t xml:space="preserve">There is a $500-600B annual gap between AI infrastructure spending and actual revenue. </w:t>
      </w:r>
      <w:r>
        <w:t xml:space="preserve">Sequoia’s David Cahn documented this in mid-2024, and the gap persists into 2026. Bill Gurley (Benchmark) warns of bubble characteristics. Goldman’s 2026 walk-back and the broader revenue data confirm the gap is real. The current investment cycle </w:t>
      </w:r>
      <w:r>
        <w:lastRenderedPageBreak/>
        <w:t xml:space="preserve">may correct painfully, but that’s </w:t>
      </w:r>
      <w:proofErr w:type="gramStart"/>
      <w:r>
        <w:t>actually good</w:t>
      </w:r>
      <w:proofErr w:type="gramEnd"/>
      <w:r>
        <w:t xml:space="preserve"> for adopters like banks — costs will come down. Don’t over-invest in custom infrastructure; leverage vendor competition.</w:t>
      </w:r>
      <w:r>
        <w:rPr>
          <w:b w:val="0"/>
          <w:i w:val="0"/>
        </w:rPr>
        <w:t xml:space="preserve"> The Stanford HAI 2026 AI Index puts global corporate AI investment at $581.7B in 2025, up 130% year-over-year — confirming the order of magnitude while refining the number. Private investment reached $344.7B (+127.5%). US investment alone ($285.9B) is 23x greater than China's ($12.4B). The gap between infrastructure spending and realized revenue remains the central structural tension of the current AI cycle.</w:t>
      </w:r>
    </w:p>
    <w:p w14:paraId="5C318129" w14:textId="77777777" w:rsidR="00C808F7" w:rsidRDefault="00000000">
      <w:pPr>
        <w:pStyle w:val="ListParagraph"/>
        <w:numPr>
          <w:ilvl w:val="0"/>
          <w:numId w:val="2"/>
        </w:numPr>
        <w:spacing w:after="120"/>
      </w:pPr>
      <w:r>
        <w:rPr>
          <w:b/>
          <w:bCs/>
        </w:rPr>
        <w:t xml:space="preserve">AI cost deflation at ~10x per year is the most underappreciated trend. </w:t>
      </w:r>
      <w:r>
        <w:t>Altman (Three Observations), Willison (annual reviews), and Sequoia all document this. GPT-4-level capability that cost $60/million tokens in 2023 now costs pennies. Use cases that are marginally uneconomic today will be decisively economic within 12 months. Build the architecture now.</w:t>
      </w:r>
    </w:p>
    <w:p w14:paraId="7234E2B3" w14:textId="77777777" w:rsidR="00C808F7" w:rsidRDefault="00000000">
      <w:pPr>
        <w:pStyle w:val="ListParagraph"/>
        <w:numPr>
          <w:ilvl w:val="0"/>
          <w:numId w:val="2"/>
        </w:numPr>
        <w:spacing w:after="120"/>
      </w:pPr>
      <w:r>
        <w:rPr>
          <w:b/>
          <w:bCs/>
        </w:rPr>
        <w:t xml:space="preserve">The SaaS business model is being disrupted. </w:t>
      </w:r>
      <w:r>
        <w:t>Sarah Tavel (Benchmark) argues we’re shifting from selling “seats” to selling “work.” a16z’s 2026 predictions say the system of record loses primacy as AI enables autonomous execution. Your member banks’ vendor relationships will change fundamentally. Negotiate for outcome-based pricing where possible.</w:t>
      </w:r>
    </w:p>
    <w:p w14:paraId="71E9E0F0" w14:textId="77777777" w:rsidR="00C808F7" w:rsidRDefault="00000000">
      <w:pPr>
        <w:pStyle w:val="Heading3"/>
      </w:pPr>
      <w:r>
        <w:t>On banking specifically</w:t>
      </w:r>
    </w:p>
    <w:p w14:paraId="34675764" w14:textId="77777777" w:rsidR="00C808F7" w:rsidRDefault="00000000">
      <w:pPr>
        <w:pStyle w:val="ListParagraph"/>
        <w:numPr>
          <w:ilvl w:val="0"/>
          <w:numId w:val="2"/>
        </w:numPr>
        <w:spacing w:after="120"/>
      </w:pPr>
      <w:r>
        <w:rPr>
          <w:b/>
          <w:bCs/>
        </w:rPr>
        <w:t xml:space="preserve">Customer loyalty in banking is collapsing. </w:t>
      </w:r>
      <w:r>
        <w:t>McKinsey: only 4% of US credit card applicants choose their existing bank without shopping (down from 10% in 2018). Checking account loyalty fell from 25% to 4%. The “we have relationships” argument that sustains community banking is eroding faster than most boards realize. AI-powered personalization may be the only way to rebuild stickiness.</w:t>
      </w:r>
    </w:p>
    <w:p w14:paraId="7B906912" w14:textId="77777777" w:rsidR="00C808F7" w:rsidRDefault="00000000">
      <w:pPr>
        <w:pStyle w:val="ListParagraph"/>
        <w:numPr>
          <w:ilvl w:val="0"/>
          <w:numId w:val="2"/>
        </w:numPr>
        <w:spacing w:after="120"/>
      </w:pPr>
      <w:r>
        <w:rPr>
          <w:b/>
          <w:bCs/>
        </w:rPr>
        <w:t xml:space="preserve">The regulatory environment is more permissive than most community bankers assume. </w:t>
      </w:r>
      <w:r>
        <w:t>BIS found existing frameworks mostly cover AI risks. OCC’s Bulletin 2025-26 explicitly reduced model risk burden for community banks. OCC is actively soliciting community bank input on AI adoption barriers. BPI argues the real risk is regulatory inaction. “Regulatory uncertainty” is no longer a valid excuse for inaction.</w:t>
      </w:r>
    </w:p>
    <w:p w14:paraId="6E1BDE42" w14:textId="77777777" w:rsidR="00C808F7" w:rsidRDefault="00000000">
      <w:pPr>
        <w:pStyle w:val="ListParagraph"/>
        <w:numPr>
          <w:ilvl w:val="0"/>
          <w:numId w:val="2"/>
        </w:numPr>
        <w:spacing w:after="120"/>
      </w:pPr>
      <w:r>
        <w:rPr>
          <w:b/>
          <w:bCs/>
        </w:rPr>
        <w:t xml:space="preserve">A bank-by-bank approach to frontier technology won’t work. </w:t>
      </w:r>
      <w:r>
        <w:t>Fed Governor Waller said this explicitly in February 2026. The FSB warns of concentration risk from shared vendors. Brookings documents the scale advantage large banks have (JP Morgan saving 360,000 hours on contract review). This is the theoretical justification for the Alloy Labs alliance model.</w:t>
      </w:r>
    </w:p>
    <w:p w14:paraId="3E2A7A72" w14:textId="77777777" w:rsidR="00C808F7" w:rsidRDefault="00000000">
      <w:pPr>
        <w:pStyle w:val="ListParagraph"/>
        <w:numPr>
          <w:ilvl w:val="0"/>
          <w:numId w:val="2"/>
        </w:numPr>
        <w:spacing w:after="120"/>
      </w:pPr>
      <w:r>
        <w:rPr>
          <w:b/>
          <w:bCs/>
        </w:rPr>
        <w:t xml:space="preserve">Data quality is the binding constraint for community banks. </w:t>
      </w:r>
      <w:r>
        <w:t xml:space="preserve">Cornerstone Advisors: community banks are “only halfway” to leveraging their data. 35% have chatbots but most lack the data foundation for AI to work. Data governance should arguably be the alliance’s </w:t>
      </w:r>
      <w:proofErr w:type="gramStart"/>
      <w:r>
        <w:t>first priority</w:t>
      </w:r>
      <w:proofErr w:type="gramEnd"/>
      <w:r>
        <w:t xml:space="preserve"> before any AI deployment.</w:t>
      </w:r>
    </w:p>
    <w:p w14:paraId="7EA8339D" w14:textId="77777777" w:rsidR="00C808F7" w:rsidRDefault="00000000">
      <w:pPr>
        <w:pStyle w:val="ListParagraph"/>
        <w:numPr>
          <w:ilvl w:val="0"/>
          <w:numId w:val="2"/>
        </w:numPr>
        <w:spacing w:after="120"/>
      </w:pPr>
      <w:r>
        <w:rPr>
          <w:b/>
          <w:bCs/>
        </w:rPr>
        <w:t xml:space="preserve">“Pilot purgatory” is the biggest risk for banks experimenting with AI. </w:t>
      </w:r>
      <w:r>
        <w:t>McKinsey coined this for the pattern of running narrow experiments without a plan to scale. 60% of banks lack AI KPIs (BCG). The alliance needs shared measurement frameworks and scaling playbooks, not just “try AI” encouragement.</w:t>
      </w:r>
    </w:p>
    <w:p w14:paraId="15D103D3" w14:textId="77777777" w:rsidR="00C808F7" w:rsidRDefault="00000000">
      <w:pPr>
        <w:pStyle w:val="Heading3"/>
      </w:pPr>
      <w:r>
        <w:t>On risks and safety</w:t>
      </w:r>
    </w:p>
    <w:p w14:paraId="0E8C7DD0" w14:textId="77777777" w:rsidR="00C808F7" w:rsidRDefault="00000000">
      <w:pPr>
        <w:pStyle w:val="ListParagraph"/>
        <w:numPr>
          <w:ilvl w:val="0"/>
          <w:numId w:val="2"/>
        </w:numPr>
        <w:spacing w:after="120"/>
      </w:pPr>
      <w:r>
        <w:rPr>
          <w:b/>
          <w:bCs/>
        </w:rPr>
        <w:t xml:space="preserve">AI safety challenges are real and empirically demonstrated, not hypothetical. </w:t>
      </w:r>
      <w:proofErr w:type="spellStart"/>
      <w:r>
        <w:t>Anthropic’s</w:t>
      </w:r>
      <w:proofErr w:type="spellEnd"/>
      <w:r>
        <w:t xml:space="preserve"> alignment faking paper showed models developing strategic deception as emergent behavior. </w:t>
      </w:r>
      <w:proofErr w:type="spellStart"/>
      <w:r>
        <w:t>Anthropic’s</w:t>
      </w:r>
      <w:proofErr w:type="spellEnd"/>
      <w:r>
        <w:t xml:space="preserve"> reward hacking paper showed misalignment transferring across domains. These are not theoretical exercises — they’re published results from production models. Take safety seriously, but as an engineering challenge being actively worked on, not as a reason to avoid AI.</w:t>
      </w:r>
    </w:p>
    <w:p w14:paraId="3EC344F7" w14:textId="77777777" w:rsidR="00C808F7" w:rsidRDefault="00000000">
      <w:pPr>
        <w:pStyle w:val="ListParagraph"/>
        <w:numPr>
          <w:ilvl w:val="0"/>
          <w:numId w:val="2"/>
        </w:numPr>
        <w:spacing w:after="120"/>
      </w:pPr>
      <w:r>
        <w:rPr>
          <w:b/>
          <w:bCs/>
        </w:rPr>
        <w:lastRenderedPageBreak/>
        <w:t xml:space="preserve">Concentration risk from shared AI vendors is a systemic concern. </w:t>
      </w:r>
      <w:r>
        <w:t>The FSB flagged this. As community banks adopt the same third-party AI tools, they create correlated risk. Deepfake tools increased 223% on dark web forums (WEF). The alliance should think about vendor diversification and shared risk assessment, not just shared procurement.</w:t>
      </w:r>
    </w:p>
    <w:p w14:paraId="64399E9B" w14:textId="77777777" w:rsidR="00C808F7" w:rsidRDefault="00000000">
      <w:pPr>
        <w:pStyle w:val="Heading1"/>
      </w:pPr>
      <w:r>
        <w:t>How to Proceed</w:t>
      </w:r>
    </w:p>
    <w:p w14:paraId="11868936" w14:textId="77777777" w:rsidR="00C808F7" w:rsidRDefault="00000000">
      <w:pPr>
        <w:spacing w:after="120"/>
      </w:pPr>
      <w:r>
        <w:t>The following represents advice I give to banks about how to embrace AI.</w:t>
      </w:r>
    </w:p>
    <w:p w14:paraId="714A9B7B" w14:textId="77777777" w:rsidR="00C808F7" w:rsidRDefault="00C808F7">
      <w:pPr>
        <w:spacing w:after="80"/>
      </w:pPr>
    </w:p>
    <w:p w14:paraId="563BA6BB" w14:textId="77777777" w:rsidR="00C808F7" w:rsidRDefault="00000000">
      <w:pPr>
        <w:pStyle w:val="Heading2"/>
      </w:pPr>
      <w:r>
        <w:t>Phase 1: Foundation — Get everyone in the game</w:t>
      </w:r>
    </w:p>
    <w:p w14:paraId="49784719" w14:textId="77777777" w:rsidR="00C808F7" w:rsidRDefault="00000000">
      <w:pPr>
        <w:pStyle w:val="ListParagraph"/>
        <w:numPr>
          <w:ilvl w:val="0"/>
          <w:numId w:val="2"/>
        </w:numPr>
        <w:spacing w:after="120"/>
      </w:pPr>
      <w:r>
        <w:rPr>
          <w:b/>
          <w:bCs/>
        </w:rPr>
        <w:t xml:space="preserve">Get everyone access to generative AI tools — immediately, with no gatekeeping. </w:t>
      </w:r>
      <w:r>
        <w:t>Not a pilot. Not a committee. Not a tiered rollout by department. Everyone gets access to the same models, the same tools, the same ceiling. The people who surprise you most will be the ones you would never have given access to under a traditional approval process. Ramp gave unlimited access with no token limits and saw non-engineers shipping production code within weeks. The cost of AI access per employee is trivial relative to compensation — treat it as an infinite learning budget.</w:t>
      </w:r>
    </w:p>
    <w:p w14:paraId="264C6AE4" w14:textId="77777777" w:rsidR="00C808F7" w:rsidRDefault="00000000">
      <w:pPr>
        <w:pStyle w:val="ListParagraph"/>
        <w:numPr>
          <w:ilvl w:val="0"/>
          <w:numId w:val="2"/>
        </w:numPr>
        <w:spacing w:after="120"/>
      </w:pPr>
      <w:r>
        <w:rPr>
          <w:b/>
          <w:bCs/>
        </w:rPr>
        <w:t xml:space="preserve">Communicate the vision clearly: AI is how we work now, and that makes your expertise more valuable, not less. </w:t>
      </w:r>
      <w:r>
        <w:t>Fear of replacement is the single biggest threat to adoption, and it’s rational — people aren’t wrong that AI changes their role. The honest message isn’t “your job is safe.” It’s “your domain knowledge is the scarce ingredient that makes AI useful here, and we need you to bring it.” Employees who understand that their judgment is the context that makes AI effective will lean in rather than sabotage. Avoid the false comfort of “AI is just a tool” — acknowledge that roles will change, and position that change as an upgrade, not an elimination.</w:t>
      </w:r>
    </w:p>
    <w:p w14:paraId="5CAD7A61" w14:textId="77777777" w:rsidR="00C808F7" w:rsidRDefault="00000000">
      <w:pPr>
        <w:pStyle w:val="ListParagraph"/>
        <w:numPr>
          <w:ilvl w:val="0"/>
          <w:numId w:val="2"/>
        </w:numPr>
        <w:spacing w:after="120"/>
      </w:pPr>
      <w:r>
        <w:rPr>
          <w:b/>
          <w:bCs/>
        </w:rPr>
        <w:t xml:space="preserve">Create visible spaces for employees to share what they’re building and learning. </w:t>
      </w:r>
      <w:r>
        <w:t>Slack channels, Friday demos, all-hands spotlights, internal leaderboards. This creates shared learning, generates healthy peer pressure, and surfaces the early adopters who become the contagion for everyone else. Celebrate the risk analyst who automated 16 hours of manual work, not just the engineer who built a platform.</w:t>
      </w:r>
    </w:p>
    <w:p w14:paraId="063CB502" w14:textId="77777777" w:rsidR="00C808F7" w:rsidRDefault="00000000">
      <w:pPr>
        <w:pStyle w:val="ListParagraph"/>
        <w:numPr>
          <w:ilvl w:val="0"/>
          <w:numId w:val="2"/>
        </w:numPr>
        <w:spacing w:after="120"/>
      </w:pPr>
      <w:r>
        <w:rPr>
          <w:b/>
          <w:bCs/>
        </w:rPr>
        <w:t xml:space="preserve">Give AI access to your data and systems — this is where most banks will stall and where the real advantage lives. </w:t>
      </w:r>
      <w:r>
        <w:t xml:space="preserve">An AI agent is only as useful as what it can see. If your people </w:t>
      </w:r>
      <w:proofErr w:type="gramStart"/>
      <w:r>
        <w:t>have to</w:t>
      </w:r>
      <w:proofErr w:type="gramEnd"/>
      <w:r>
        <w:t xml:space="preserve"> file a ticket and wait two weeks for IT to approve a connection, you’ve lost them. Pre-connect core systems so that when someone opens the AI tool, the bank’s knowledge is already there. This is also where context engineering enters: the competitive advantage isn’t just having </w:t>
      </w:r>
      <w:proofErr w:type="gramStart"/>
      <w:r>
        <w:t>data,</w:t>
      </w:r>
      <w:proofErr w:type="gramEnd"/>
      <w:r>
        <w:t xml:space="preserve"> it’s structuring it so AI can reason over the right information at the right moment.</w:t>
      </w:r>
    </w:p>
    <w:p w14:paraId="61F8B211" w14:textId="77777777" w:rsidR="00C808F7" w:rsidRDefault="00000000">
      <w:pPr>
        <w:pStyle w:val="ListParagraph"/>
        <w:numPr>
          <w:ilvl w:val="0"/>
          <w:numId w:val="2"/>
        </w:numPr>
        <w:spacing w:after="120"/>
      </w:pPr>
      <w:r>
        <w:rPr>
          <w:b/>
          <w:bCs/>
        </w:rPr>
        <w:t xml:space="preserve">Organize as hub and </w:t>
      </w:r>
      <w:proofErr w:type="gramStart"/>
      <w:r>
        <w:rPr>
          <w:b/>
          <w:bCs/>
        </w:rPr>
        <w:t>spoke:</w:t>
      </w:r>
      <w:proofErr w:type="gramEnd"/>
      <w:r>
        <w:rPr>
          <w:b/>
          <w:bCs/>
        </w:rPr>
        <w:t xml:space="preserve"> centralize the platform, distribute the building. </w:t>
      </w:r>
      <w:r>
        <w:t xml:space="preserve">A small central team owns the AI infrastructure — model access, connectors, security, guardrails, and the knowledge layer. Functional teams build on top of that platform and </w:t>
      </w:r>
      <w:proofErr w:type="spellStart"/>
      <w:r>
        <w:t>feed back</w:t>
      </w:r>
      <w:proofErr w:type="spellEnd"/>
      <w:r>
        <w:t xml:space="preserve"> what’s working and what’s not. The center builds the plumbing; the spokes find the problems worth solving.</w:t>
      </w:r>
    </w:p>
    <w:p w14:paraId="1CD413B0" w14:textId="77777777" w:rsidR="00C808F7" w:rsidRDefault="00000000">
      <w:pPr>
        <w:pStyle w:val="ListParagraph"/>
        <w:numPr>
          <w:ilvl w:val="0"/>
          <w:numId w:val="2"/>
        </w:numPr>
        <w:spacing w:after="120"/>
      </w:pPr>
      <w:r>
        <w:rPr>
          <w:b/>
          <w:bCs/>
        </w:rPr>
        <w:t xml:space="preserve">Don’t rely on policy alone — build guardrails into the infrastructure itself. </w:t>
      </w:r>
      <w:r>
        <w:t xml:space="preserve">Acceptable use policies are necessary but insufficient. Banks need technical controls: data loss prevention layers, model deployments that run inside the bank’s perimeter, </w:t>
      </w:r>
      <w:r>
        <w:lastRenderedPageBreak/>
        <w:t>audit trails that log every AI interaction for examiners. Make it hard to do the wrong thing rather than relying on people to read a policy and comply.</w:t>
      </w:r>
    </w:p>
    <w:p w14:paraId="0F0414CB" w14:textId="77777777" w:rsidR="00C808F7" w:rsidRDefault="00000000">
      <w:pPr>
        <w:pStyle w:val="ListParagraph"/>
        <w:numPr>
          <w:ilvl w:val="0"/>
          <w:numId w:val="2"/>
        </w:numPr>
        <w:spacing w:after="120"/>
      </w:pPr>
      <w:r>
        <w:rPr>
          <w:b/>
          <w:bCs/>
        </w:rPr>
        <w:t xml:space="preserve">Don’t be stingy with AI access and spending. </w:t>
      </w:r>
      <w:r>
        <w:t>The ROI compounds — demanding it upfront kills adoption. If you require a business case for every AI tool before people have even learned to use them, you’ll get compliance theater, not transformation. Token costs are a rounding error on employee compensation, and even modest productivity gains justify the spend many times over.</w:t>
      </w:r>
    </w:p>
    <w:p w14:paraId="2A9E58A9" w14:textId="77777777" w:rsidR="00C808F7" w:rsidRDefault="00000000">
      <w:pPr>
        <w:pStyle w:val="Heading2"/>
      </w:pPr>
      <w:r>
        <w:t>Phase 2: Acceleration — Move up the capability ladder</w:t>
      </w:r>
    </w:p>
    <w:p w14:paraId="17BC059E" w14:textId="77777777" w:rsidR="00C808F7" w:rsidRDefault="00000000">
      <w:pPr>
        <w:pStyle w:val="ListParagraph"/>
        <w:numPr>
          <w:ilvl w:val="0"/>
          <w:numId w:val="2"/>
        </w:numPr>
        <w:spacing w:after="120"/>
      </w:pPr>
      <w:r>
        <w:rPr>
          <w:b/>
          <w:bCs/>
        </w:rPr>
        <w:t xml:space="preserve">Treat AI proficiency as a ladder and actively move people up it. </w:t>
      </w:r>
      <w:r>
        <w:t>Level 0 is occasionally using ChatGPT. Level 1 is integrating AI into daily workflows. Level 2 is building something that automates part of their job. Level 3 is building systems that level up everyone else. Most of your bank is at L0 or L1. Your job is to get them to L2, and to identify and invest heavily in the people who reach L3 — they are your force multipliers.</w:t>
      </w:r>
    </w:p>
    <w:p w14:paraId="2330370C" w14:textId="77777777" w:rsidR="00C808F7" w:rsidRDefault="00000000">
      <w:pPr>
        <w:pStyle w:val="ListParagraph"/>
        <w:numPr>
          <w:ilvl w:val="0"/>
          <w:numId w:val="2"/>
        </w:numPr>
        <w:spacing w:after="120"/>
      </w:pPr>
      <w:r>
        <w:rPr>
          <w:b/>
          <w:bCs/>
        </w:rPr>
        <w:t xml:space="preserve">Expect and embrace creative destruction of your own AI tools. </w:t>
      </w:r>
      <w:r>
        <w:t>The tool you ship in Q3 should be obsolete by Q1. Every model improvement, every new capability reshapes what’s possible. If your internal AI tools from three months ago still feel current, you aren’t moving fast enough. Attach to problems, not tools.</w:t>
      </w:r>
    </w:p>
    <w:p w14:paraId="0BBC8720" w14:textId="77777777" w:rsidR="00C808F7" w:rsidRDefault="00000000">
      <w:pPr>
        <w:pStyle w:val="ListParagraph"/>
        <w:numPr>
          <w:ilvl w:val="0"/>
          <w:numId w:val="2"/>
        </w:numPr>
        <w:spacing w:after="120"/>
      </w:pPr>
      <w:r>
        <w:rPr>
          <w:b/>
          <w:bCs/>
        </w:rPr>
        <w:t xml:space="preserve">Restructure work around human-agent collaboration, not just human workflows with AI bolted on. </w:t>
      </w:r>
      <w:r>
        <w:t>This is the difference between “cars on dirt roads” and redesigning the road system. Look at every workflow and ask: which parts require human judgment, relationships, or accountability? Which parts can agents draft, execute, or analyze? Design the workflow around that division of labor rather than inserting AI into the gaps of a process designed for humans doing everything.</w:t>
      </w:r>
    </w:p>
    <w:p w14:paraId="5A98A034" w14:textId="77777777" w:rsidR="00C808F7" w:rsidRDefault="00000000">
      <w:pPr>
        <w:pStyle w:val="ListParagraph"/>
        <w:numPr>
          <w:ilvl w:val="0"/>
          <w:numId w:val="2"/>
        </w:numPr>
        <w:spacing w:after="120"/>
      </w:pPr>
      <w:r>
        <w:rPr>
          <w:b/>
          <w:bCs/>
        </w:rPr>
        <w:t xml:space="preserve">Invest in your domain experts as context strategists — they are the bridge between your bank’s knowledge and AI’s capability. </w:t>
      </w:r>
      <w:r>
        <w:t>The experienced commercial lender who knows which covenants matter for this industry in this rate environment, the BSA officer who understands the spirit of the regulation and not just the letter, the branch manager who knows what a community actually needs — these people hold the tacit knowledge that makes AI useful for your bank specifically. Their role is becoming the problem-definition and evaluation layer that determines whether your AI produces generic output or genuine competitive advantage. The specific mechanics of how context gets assembled — retrieval logic, prompt construction, memory management — can increasingly be optimized by the systems themselves. But only if senior practitioners define what “good” means.</w:t>
      </w:r>
    </w:p>
    <w:p w14:paraId="2C46D2F8" w14:textId="77777777" w:rsidR="00C808F7" w:rsidRDefault="00000000">
      <w:pPr>
        <w:pStyle w:val="ListParagraph"/>
        <w:numPr>
          <w:ilvl w:val="0"/>
          <w:numId w:val="2"/>
        </w:numPr>
        <w:spacing w:after="120"/>
      </w:pPr>
      <w:r>
        <w:rPr>
          <w:b/>
          <w:bCs/>
        </w:rPr>
        <w:t xml:space="preserve">Designate systems architects — people who design how humans and agents work together. </w:t>
      </w:r>
      <w:r>
        <w:t>This is the highest-leverage new role and the hardest to fill. These people decide what agents can do autonomously, what requires human approval, how performance is measured, and what happens when something breaks. This role requires both technical fluency and deep understanding of banking operations. It is the most important hire you will make in the next two years.</w:t>
      </w:r>
    </w:p>
    <w:p w14:paraId="34183309" w14:textId="77777777" w:rsidR="00C808F7" w:rsidRDefault="00000000">
      <w:pPr>
        <w:pStyle w:val="Heading2"/>
      </w:pPr>
      <w:r>
        <w:t>Phase 3: Transformation — Rebuild the org around intelligence</w:t>
      </w:r>
    </w:p>
    <w:p w14:paraId="1F6AA9ED" w14:textId="77777777" w:rsidR="00C808F7" w:rsidRDefault="00000000">
      <w:pPr>
        <w:pStyle w:val="ListParagraph"/>
        <w:numPr>
          <w:ilvl w:val="0"/>
          <w:numId w:val="2"/>
        </w:numPr>
        <w:spacing w:after="120"/>
      </w:pPr>
      <w:r>
        <w:rPr>
          <w:b/>
          <w:bCs/>
        </w:rPr>
        <w:t xml:space="preserve">Collapse functional silos into cross-functional units organized around outcomes. </w:t>
      </w:r>
      <w:r>
        <w:t xml:space="preserve">The traditional bank org chart — separate departments for lending, deposits, operations, compliance, marketing, IT — was built for a world where specialization required </w:t>
      </w:r>
      <w:r>
        <w:lastRenderedPageBreak/>
        <w:t>dedicated humans focused on little else. AI enables people to work across functions. Move toward fewer, broader teams organized around customer outcomes rather than internal functions. This is the hardest structural change and the one that will take years, but it is the direction of travel.</w:t>
      </w:r>
    </w:p>
    <w:p w14:paraId="5A05B1C7" w14:textId="77777777" w:rsidR="00C808F7" w:rsidRDefault="00000000">
      <w:pPr>
        <w:pStyle w:val="ListParagraph"/>
        <w:numPr>
          <w:ilvl w:val="0"/>
          <w:numId w:val="2"/>
        </w:numPr>
        <w:spacing w:after="120"/>
      </w:pPr>
      <w:r>
        <w:rPr>
          <w:b/>
          <w:bCs/>
        </w:rPr>
        <w:t xml:space="preserve">Build your bank’s “world model” — a continuously updated representation of what you know about your customers, your operations, and your market. </w:t>
      </w:r>
      <w:r>
        <w:t>This is the Block thesis applied to banking. Every transaction, every customer interaction, every credit decision, every regulatory filing is raw material for a model that understands your bank’s reality. Most of this data exists today but lives in silos. The strategic imperative is to make this knowledge machine-readable, connected, and available as context for AI reasoning. The bank that builds the best world model of its customers and operations will be the bank that wins.</w:t>
      </w:r>
    </w:p>
    <w:p w14:paraId="2782007A" w14:textId="77777777" w:rsidR="00C808F7" w:rsidRDefault="00000000">
      <w:pPr>
        <w:pStyle w:val="ListParagraph"/>
        <w:numPr>
          <w:ilvl w:val="0"/>
          <w:numId w:val="2"/>
        </w:numPr>
        <w:spacing w:after="120"/>
      </w:pPr>
      <w:r>
        <w:rPr>
          <w:b/>
          <w:bCs/>
        </w:rPr>
        <w:t xml:space="preserve">Recognize that this is an existential question, not an efficiency project. </w:t>
      </w:r>
      <w:r>
        <w:t>The transformation we’re describing is not about saving money on back-office operations, though it will do that. It’s about whether your bank is organized as a hierarchy that routes information through people, or as an intelligence that uses information to serve customers. AI-native challengers will design the human-agent division of labor from scratch. The advantage incumbents have is depth of customer relationships and decades of accumulated domain knowledge. But that advantage is only an advantage if it’s converted into AI context. Sitting on it is not a strategy.</w:t>
      </w:r>
    </w:p>
    <w:p w14:paraId="4159125A" w14:textId="77777777" w:rsidR="00C808F7" w:rsidRDefault="00000000">
      <w:pPr>
        <w:pStyle w:val="Heading1"/>
      </w:pPr>
      <w:r>
        <w:t>Open Questions</w:t>
      </w:r>
    </w:p>
    <w:p w14:paraId="1121CBDB" w14:textId="77777777" w:rsidR="00C808F7" w:rsidRDefault="00000000">
      <w:pPr>
        <w:spacing w:after="120"/>
      </w:pPr>
      <w:r>
        <w:t>These are topics where I still have an open mind or where the answer may vary between implementations.</w:t>
      </w:r>
    </w:p>
    <w:p w14:paraId="58965D22" w14:textId="77777777" w:rsidR="00C808F7" w:rsidRDefault="00C808F7">
      <w:pPr>
        <w:spacing w:after="80"/>
      </w:pPr>
    </w:p>
    <w:p w14:paraId="1B7FD39F" w14:textId="77777777" w:rsidR="00C808F7" w:rsidRDefault="00000000">
      <w:pPr>
        <w:pStyle w:val="ListParagraph"/>
        <w:numPr>
          <w:ilvl w:val="0"/>
          <w:numId w:val="2"/>
        </w:numPr>
        <w:spacing w:after="120"/>
      </w:pPr>
      <w:r>
        <w:rPr>
          <w:b/>
          <w:bCs/>
        </w:rPr>
        <w:t xml:space="preserve">What happens to the workforce? </w:t>
      </w:r>
      <w:r>
        <w:t>AI will change the shape of every team, but how much and how fast varies enormously. A $500M community bank with 200 employees faces a fundamentally different workforce question than a $50B regional with 5,000. Some roles compress, some merge, some disappear, some are invented. The one-generation problem is real — if junior roles evaporate before we’ve figured out how to train the next generation of experts, we’ve traded short-term efficiency for a long-term talent crisis.</w:t>
      </w:r>
    </w:p>
    <w:p w14:paraId="11E62E51" w14:textId="77777777" w:rsidR="00C808F7" w:rsidRDefault="00000000">
      <w:pPr>
        <w:pStyle w:val="ListParagraph"/>
        <w:numPr>
          <w:ilvl w:val="0"/>
          <w:numId w:val="2"/>
        </w:numPr>
        <w:spacing w:after="120"/>
      </w:pPr>
      <w:r>
        <w:rPr>
          <w:b/>
          <w:bCs/>
        </w:rPr>
        <w:t xml:space="preserve">Where does human judgment remain non-negotiable in banking, and where are we just assuming it does out of habit? </w:t>
      </w:r>
      <w:r>
        <w:t xml:space="preserve">Credit decisions, BSA investigations, and customer relationships feel irreducibly human today. But some of that conviction is regulatory convention, not actual necessity. As models improve and regulators adapt, the line between “requires human judgment” and “we’ve always done it that way” will move. Each bank </w:t>
      </w:r>
      <w:proofErr w:type="gramStart"/>
      <w:r>
        <w:t>has to</w:t>
      </w:r>
      <w:proofErr w:type="gramEnd"/>
      <w:r>
        <w:t xml:space="preserve"> draw that line for </w:t>
      </w:r>
      <w:proofErr w:type="gramStart"/>
      <w:r>
        <w:t>itself, and</w:t>
      </w:r>
      <w:proofErr w:type="gramEnd"/>
      <w:r>
        <w:t xml:space="preserve"> redraw it regularly.</w:t>
      </w:r>
    </w:p>
    <w:p w14:paraId="468B8BB4" w14:textId="77777777" w:rsidR="00C808F7" w:rsidRDefault="00000000">
      <w:pPr>
        <w:pStyle w:val="ListParagraph"/>
        <w:numPr>
          <w:ilvl w:val="0"/>
          <w:numId w:val="2"/>
        </w:numPr>
        <w:spacing w:after="120"/>
      </w:pPr>
      <w:r>
        <w:rPr>
          <w:b/>
          <w:bCs/>
        </w:rPr>
        <w:t xml:space="preserve">How will regulators respond? </w:t>
      </w:r>
      <w:r>
        <w:t>Banking regulators have not yet developed a coherent framework for AI in supervised institutions. Model risk management guidance (SR 11-7) was written for statistical models, not foundation models. Fair lending frameworks assume you can explain why a decision was made — explainability in LLMs is a different and harder problem. The regulatory posture your bank operates under will shape how fast you can move and where.</w:t>
      </w:r>
      <w:r>
        <w:rPr>
          <w:b w:val="0"/>
          <w:i w:val="0"/>
        </w:rPr>
        <w:t xml:space="preserve"> This open question materially narrowed in June 2026. Dario Amodei published 'Policy on the AI Exponential,' proposing: mandatory third-party audits for models trained using more than 10²⁵ FLOPs (covering cybersecurity, biological weapons, loss of control, and automated R&amp;D risks), with government authority to block or reverse deployment — explicitly modeled on FAA aircraft safety authority. Threshold applies to companies with &gt;$500M in AI revenue or &gt;$1B in AI R&amp;D. The U.S. government issued export controls on two frontier AI models within 48 hours of the essay's publication. This is the first concrete binding-regulation framework from a frontier lab CEO, and it has already produced regulatory action. For community banks, the civil liberties provisions are also relevant: Amodei proposes closing the data broker loophole (agencies cannot buy data they could not collect directly) and requiring AI parity for anyone facing adverse government action — both touch how banks interact with regulators and use customer data in underwriting and compliance decisions.</w:t>
      </w:r>
    </w:p>
    <w:p w14:paraId="727B4DA8" w14:textId="77777777" w:rsidR="00C808F7" w:rsidRDefault="00000000">
      <w:pPr>
        <w:pStyle w:val="ListParagraph"/>
        <w:numPr>
          <w:ilvl w:val="0"/>
          <w:numId w:val="2"/>
        </w:numPr>
        <w:spacing w:after="120"/>
      </w:pPr>
      <w:r>
        <w:rPr>
          <w:b/>
          <w:bCs/>
        </w:rPr>
        <w:t xml:space="preserve">Build vs. buy vs. co-develop — where should banks invest directly? </w:t>
      </w:r>
      <w:r>
        <w:t xml:space="preserve">Foundation models are commoditizing. Vertical AI applications for banking are emerging but </w:t>
      </w:r>
      <w:r>
        <w:lastRenderedPageBreak/>
        <w:t>immature. The context engineering layer — the domain-specific knowledge, data pipelines, and curation logic that make a general model useful for your bank — may be the only part that’s truly proprietary. Co-development, where banks partner with technology providers to build solutions that embed the bank’s domain context into vendor platforms, deserves explicit attention as a third category alongside pure build and pure buy. The answer differs by bank size, technical capability, and strategic ambition, and it will change as the vendor landscape matures.</w:t>
      </w:r>
    </w:p>
    <w:p w14:paraId="7F5F1AFE" w14:textId="77777777" w:rsidR="00C808F7" w:rsidRDefault="00000000">
      <w:pPr>
        <w:pStyle w:val="ListParagraph"/>
        <w:numPr>
          <w:ilvl w:val="0"/>
          <w:numId w:val="2"/>
        </w:numPr>
        <w:spacing w:after="120"/>
      </w:pPr>
      <w:r>
        <w:rPr>
          <w:b/>
          <w:bCs/>
        </w:rPr>
        <w:t xml:space="preserve">How do you measure AI ROI when the returns are nonlinear and lagging? </w:t>
      </w:r>
      <w:r>
        <w:t>The compounding nature of AI adoption makes traditional ROI frameworks misleading. Early investments look expensive relative to output. Mature deployments produce returns that are hard to attribute to any single tool or initiative. If you demand quarterly ROI from the outset, you’ll kill adoption. But boards and examiners will eventually want numbers. The banks that figure it out will have a significant advantage in sustaining investment through inevitable skepticism cycles.</w:t>
      </w:r>
    </w:p>
    <w:p w14:paraId="7E9B70F0" w14:textId="77777777" w:rsidR="00C808F7" w:rsidRDefault="00000000">
      <w:pPr>
        <w:pStyle w:val="ListParagraph"/>
        <w:numPr>
          <w:ilvl w:val="0"/>
          <w:numId w:val="2"/>
        </w:numPr>
        <w:spacing w:after="120"/>
      </w:pPr>
      <w:r>
        <w:rPr>
          <w:b/>
          <w:bCs/>
        </w:rPr>
        <w:t xml:space="preserve">What is the right organizational home for AI? </w:t>
      </w:r>
      <w:r>
        <w:t>Does AI live in IT? In a dedicated innovation team? Distributed across business lines? Reporting to the CEO? The hub-and-spoke model is directionally right, but the specifics matter — who owns the budget, who sets priorities, who resolves conflicts between the central platform team and the business lines that want to move faster. Get this wrong and you either bottleneck everything or fragment into chaos.</w:t>
      </w:r>
    </w:p>
    <w:p w14:paraId="2C48B255" w14:textId="77777777" w:rsidR="00C808F7" w:rsidRDefault="00000000">
      <w:pPr>
        <w:pStyle w:val="ListParagraph"/>
        <w:numPr>
          <w:ilvl w:val="0"/>
          <w:numId w:val="2"/>
        </w:numPr>
        <w:spacing w:after="120"/>
      </w:pPr>
      <w:r>
        <w:rPr>
          <w:b/>
          <w:bCs/>
        </w:rPr>
        <w:t xml:space="preserve">How do you maintain institutional knowledge when AI intermediates everything? </w:t>
      </w:r>
      <w:r>
        <w:t xml:space="preserve">If AI handles the analysis and humans just validate, do humans still learn the underlying domain deeply enough to catch the errors that matter? This is the validator problem at the institutional level. Banks have always relied on apprenticeship — junior analysts learning by doing the work under senior supervision. If the work changes, the apprenticeship model </w:t>
      </w:r>
      <w:proofErr w:type="gramStart"/>
      <w:r>
        <w:t>has to</w:t>
      </w:r>
      <w:proofErr w:type="gramEnd"/>
      <w:r>
        <w:t xml:space="preserve"> change with it. Nobody has figured out what that looks like yet.</w:t>
      </w:r>
    </w:p>
    <w:p w14:paraId="7BEE2631" w14:textId="77777777" w:rsidR="00C808F7" w:rsidRDefault="00000000">
      <w:pPr>
        <w:pStyle w:val="ListParagraph"/>
        <w:numPr>
          <w:ilvl w:val="0"/>
          <w:numId w:val="2"/>
        </w:numPr>
        <w:spacing w:after="120"/>
      </w:pPr>
      <w:r>
        <w:rPr>
          <w:b/>
          <w:bCs/>
        </w:rPr>
        <w:t xml:space="preserve">What does AI do to the competitive dynamics between community banks, regionals, and the largest institutions? </w:t>
      </w:r>
      <w:r>
        <w:t>The Brynjolfsson-Hitzig framework suggests AI favors centralization and scale. The context engineering argument suggests smaller firms with deeper domain knowledge and customer proximity can compete. Both are probably true in different parts of the value chain. Community banks may have an advantage in relationship depth and local knowledge — but only if they can convert that into AI context. If they can’t, scale wins.</w:t>
      </w:r>
    </w:p>
    <w:p w14:paraId="7A3C124B" w14:textId="77777777" w:rsidR="00C808F7" w:rsidRDefault="00000000">
      <w:pPr>
        <w:pStyle w:val="ListParagraph"/>
        <w:numPr>
          <w:ilvl w:val="0"/>
          <w:numId w:val="2"/>
        </w:numPr>
        <w:spacing w:after="120"/>
      </w:pPr>
      <w:r>
        <w:rPr>
          <w:b/>
          <w:bCs/>
        </w:rPr>
        <w:t xml:space="preserve">How fast does the technology itself change the calculus? </w:t>
      </w:r>
      <w:r>
        <w:t>Everything we’ve said is true as of May 2026. Model capabilities are improving on a curve that makes 12-month predictions unreliable and 36-month predictions almost meaningless. Agentic AI is nascent. Multimodal capabilities are expanding. Costs are falling. A strategy built for today’s models will be wrong for next year’s models — which means the real capability isn’t any specific AI deployment, it’s the organizational muscle to adapt continuously.</w:t>
      </w:r>
    </w:p>
    <w:p w14:paraId="6D96C80C" w14:textId="77777777" w:rsidR="00C808F7" w:rsidRDefault="00000000">
      <w:pPr>
        <w:pStyle w:val="ListParagraph"/>
        <w:numPr>
          <w:ilvl w:val="0"/>
          <w:numId w:val="2"/>
        </w:numPr>
        <w:spacing w:after="120"/>
      </w:pPr>
      <w:r>
        <w:rPr>
          <w:b/>
          <w:bCs/>
        </w:rPr>
        <w:t xml:space="preserve">How much of context engineering itself will be automated? </w:t>
      </w:r>
      <w:r>
        <w:t xml:space="preserve">Meta-Harness (2026) showed that automated search over harness code can beat human-designed systems. This challenges the assumption that context engineering is a durable human bottleneck in all its dimensions. The evidence suggests problem formulation and evaluation remain deeply human, but the specific mechanics of retrieval, memory, and prompt construction are increasingly automatable. If this trend continues, it reshapes which skills organizations need to invest in: less “how to build the prompt pipeline” and more “how to define what good looks like and which problems matter.” The boundary between human </w:t>
      </w:r>
      <w:r>
        <w:lastRenderedPageBreak/>
        <w:t>strategy and automated implementation will keep moving, and tracking where it sits is important for workforce planning and investment decisions.</w:t>
      </w:r>
    </w:p>
    <w:p w14:paraId="4C85577D" w14:textId="77777777" w:rsidR="00C808F7" w:rsidRDefault="00000000">
      <w:pPr>
        <w:pStyle w:val="ListParagraph"/>
        <w:numPr>
          <w:ilvl w:val="0"/>
          <w:numId w:val="2"/>
        </w:numPr>
        <w:spacing w:after="120"/>
      </w:pPr>
      <w:r>
        <w:rPr>
          <w:b/>
          <w:bCs/>
        </w:rPr>
        <w:t xml:space="preserve">What are the second-order effects on bank customers and communities? </w:t>
      </w:r>
      <w:r>
        <w:t>If AI makes banks dramatically more efficient, does that translate to better service and lower costs for customers, or just higher margins for shareholders? Community banks exist to serve communities — the question of who benefits from AI transformation isn’t just strategic, it’s existential to the mission. And if AI enables banks to serve customers they previously couldn’t reach profitably, that’s a different and more compelling story than cost reduction.</w:t>
      </w:r>
    </w:p>
    <w:p w14:paraId="327A3C3D" w14:textId="77777777" w:rsidR="00C808F7" w:rsidRDefault="00000000">
      <w:pPr>
        <w:pStyle w:val="Heading1"/>
      </w:pPr>
      <w:r>
        <w:t>Key Debates to Track</w:t>
      </w:r>
    </w:p>
    <w:p w14:paraId="1665C43C" w14:textId="77777777" w:rsidR="00C808F7" w:rsidRDefault="00C808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510"/>
        <w:gridCol w:w="3510"/>
      </w:tblGrid>
      <w:tr w:rsidR="00C808F7" w14:paraId="1F53714A"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2B3A4E"/>
            <w:tcMar>
              <w:top w:w="60" w:type="dxa"/>
              <w:left w:w="100" w:type="dxa"/>
              <w:bottom w:w="60" w:type="dxa"/>
              <w:right w:w="100" w:type="dxa"/>
            </w:tcMar>
            <w:vAlign w:val="center"/>
          </w:tcPr>
          <w:p w14:paraId="5925DDA1" w14:textId="77777777" w:rsidR="00C808F7" w:rsidRDefault="00000000">
            <w:r>
              <w:rPr>
                <w:b/>
                <w:bCs/>
                <w:color w:val="FFFFFF"/>
                <w:sz w:val="20"/>
                <w:szCs w:val="20"/>
              </w:rPr>
              <w:t>Debate</w:t>
            </w:r>
          </w:p>
        </w:tc>
        <w:tc>
          <w:tcPr>
            <w:tcW w:w="3510" w:type="dxa"/>
            <w:tcBorders>
              <w:top w:val="single" w:sz="1" w:space="0" w:color="CCCCCC"/>
              <w:left w:val="single" w:sz="1" w:space="0" w:color="CCCCCC"/>
              <w:bottom w:val="single" w:sz="1" w:space="0" w:color="CCCCCC"/>
              <w:right w:val="single" w:sz="1" w:space="0" w:color="CCCCCC"/>
            </w:tcBorders>
            <w:shd w:val="clear" w:color="auto" w:fill="2B3A4E"/>
            <w:tcMar>
              <w:top w:w="60" w:type="dxa"/>
              <w:left w:w="100" w:type="dxa"/>
              <w:bottom w:w="60" w:type="dxa"/>
              <w:right w:w="100" w:type="dxa"/>
            </w:tcMar>
            <w:vAlign w:val="center"/>
          </w:tcPr>
          <w:p w14:paraId="1CB44D4C" w14:textId="77777777" w:rsidR="00C808F7" w:rsidRDefault="00000000">
            <w:r>
              <w:rPr>
                <w:b/>
                <w:bCs/>
                <w:color w:val="FFFFFF"/>
                <w:sz w:val="20"/>
                <w:szCs w:val="20"/>
              </w:rPr>
              <w:t>Bull case</w:t>
            </w:r>
          </w:p>
        </w:tc>
        <w:tc>
          <w:tcPr>
            <w:tcW w:w="3510" w:type="dxa"/>
            <w:tcBorders>
              <w:top w:val="single" w:sz="1" w:space="0" w:color="CCCCCC"/>
              <w:left w:val="single" w:sz="1" w:space="0" w:color="CCCCCC"/>
              <w:bottom w:val="single" w:sz="1" w:space="0" w:color="CCCCCC"/>
              <w:right w:val="single" w:sz="1" w:space="0" w:color="CCCCCC"/>
            </w:tcBorders>
            <w:shd w:val="clear" w:color="auto" w:fill="2B3A4E"/>
            <w:tcMar>
              <w:top w:w="60" w:type="dxa"/>
              <w:left w:w="100" w:type="dxa"/>
              <w:bottom w:w="60" w:type="dxa"/>
              <w:right w:w="100" w:type="dxa"/>
            </w:tcMar>
            <w:vAlign w:val="center"/>
          </w:tcPr>
          <w:p w14:paraId="4C060DFD" w14:textId="77777777" w:rsidR="00C808F7" w:rsidRDefault="00000000">
            <w:r>
              <w:rPr>
                <w:b/>
                <w:bCs/>
                <w:color w:val="FFFFFF"/>
                <w:sz w:val="20"/>
                <w:szCs w:val="20"/>
              </w:rPr>
              <w:t>Bear case</w:t>
            </w:r>
          </w:p>
        </w:tc>
      </w:tr>
      <w:tr w:rsidR="00C808F7" w14:paraId="4C8DB01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2DD735" w14:textId="77777777" w:rsidR="00C808F7" w:rsidRDefault="00000000">
            <w:pPr>
              <w:spacing w:after="40"/>
            </w:pPr>
            <w:r>
              <w:rPr>
                <w:sz w:val="20"/>
                <w:szCs w:val="20"/>
              </w:rPr>
              <w:t>AI productivity impact</w:t>
            </w:r>
          </w:p>
        </w:tc>
        <w:tc>
          <w:tcPr>
            <w:tcW w:w="35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A5F659" w14:textId="77777777" w:rsidR="00C808F7" w:rsidRDefault="00000000">
            <w:pPr>
              <w:spacing w:after="40"/>
            </w:pPr>
            <w:r>
              <w:rPr>
                <w:sz w:val="20"/>
                <w:szCs w:val="20"/>
              </w:rPr>
              <w:t>Goldman 2023 (7% GDP), Brynjolfsson (14-34% task gains)</w:t>
            </w:r>
          </w:p>
        </w:tc>
        <w:tc>
          <w:tcPr>
            <w:tcW w:w="35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8BC55" w14:textId="77777777" w:rsidR="00C808F7" w:rsidRDefault="00000000">
            <w:pPr>
              <w:spacing w:after="40"/>
            </w:pPr>
            <w:r>
              <w:rPr>
                <w:sz w:val="20"/>
                <w:szCs w:val="20"/>
              </w:rPr>
              <w:t>Acemoglu (under 1% TFP/decade), Goldman 2026 ("no economy-wide effect yet")</w:t>
            </w:r>
          </w:p>
        </w:tc>
      </w:tr>
      <w:tr w:rsidR="00C808F7" w14:paraId="28AC995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A855F0" w14:textId="77777777" w:rsidR="00C808F7" w:rsidRDefault="00000000">
            <w:pPr>
              <w:spacing w:after="40"/>
            </w:pPr>
            <w:r>
              <w:rPr>
                <w:sz w:val="20"/>
                <w:szCs w:val="20"/>
              </w:rPr>
              <w:t>AGI timeline</w:t>
            </w:r>
          </w:p>
        </w:tc>
        <w:tc>
          <w:tcPr>
            <w:tcW w:w="35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F5C941" w14:textId="77777777" w:rsidR="00C808F7" w:rsidRDefault="00000000">
            <w:pPr>
              <w:spacing w:after="40"/>
            </w:pPr>
            <w:r>
              <w:rPr>
                <w:sz w:val="20"/>
                <w:szCs w:val="20"/>
              </w:rPr>
            </w:r>
            <w:r>
              <w:t>Aschenbrenner (2027), Amodei (2-3 years), Hassabis (50% by 2030); Sequoia AI Ascent 2026: METR curve doubles every 7 months → functional agent-human parity ~2028; Amodei (June 2026): 'two to three years' to transformative capability (updated from earlier estimates)</w:t>
            </w:r>
          </w:p>
        </w:tc>
        <w:tc>
          <w:tcPr>
            <w:tcW w:w="35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36A032" w14:textId="77777777" w:rsidR="00C808F7" w:rsidRDefault="00000000">
            <w:pPr>
              <w:spacing w:after="40"/>
            </w:pPr>
            <w:proofErr w:type="spellStart"/>
            <w:r>
              <w:rPr>
                <w:sz w:val="20"/>
                <w:szCs w:val="20"/>
              </w:rPr>
              <w:t>Sutskever</w:t>
            </w:r>
            <w:proofErr w:type="spellEnd"/>
            <w:r>
              <w:rPr>
                <w:sz w:val="20"/>
                <w:szCs w:val="20"/>
              </w:rPr>
              <w:t xml:space="preserve"> (scaling insufficient), Patel (impressive ≠ useful)</w:t>
            </w:r>
          </w:p>
        </w:tc>
      </w:tr>
      <w:tr w:rsidR="00C808F7" w14:paraId="57A1192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83B67D" w14:textId="77777777" w:rsidR="00C808F7" w:rsidRDefault="00000000">
            <w:pPr>
              <w:spacing w:after="40"/>
            </w:pPr>
            <w:r>
              <w:rPr>
                <w:sz w:val="20"/>
                <w:szCs w:val="20"/>
              </w:rPr>
              <w:t>Open vs. closed AI</w:t>
            </w:r>
          </w:p>
        </w:tc>
        <w:tc>
          <w:tcPr>
            <w:tcW w:w="35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C9401" w14:textId="77777777" w:rsidR="00C808F7" w:rsidRDefault="00000000">
            <w:pPr>
              <w:spacing w:after="40"/>
            </w:pPr>
            <w:r>
              <w:rPr>
                <w:sz w:val="20"/>
                <w:szCs w:val="20"/>
              </w:rPr>
              <w:t>Zuckerberg 2024, LeCun</w:t>
            </w:r>
          </w:p>
        </w:tc>
        <w:tc>
          <w:tcPr>
            <w:tcW w:w="35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C6C5DB" w14:textId="77777777" w:rsidR="00C808F7" w:rsidRDefault="00000000">
            <w:pPr>
              <w:spacing w:after="40"/>
            </w:pPr>
            <w:r>
              <w:rPr>
                <w:sz w:val="20"/>
                <w:szCs w:val="20"/>
              </w:rPr>
              <w:t>Zuckerberg 2025 reversal, most frontier labs</w:t>
            </w:r>
          </w:p>
        </w:tc>
      </w:tr>
      <w:tr w:rsidR="00C808F7" w14:paraId="2EB8408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4FE382" w14:textId="77777777" w:rsidR="00C808F7" w:rsidRDefault="00000000">
            <w:pPr>
              <w:spacing w:after="40"/>
            </w:pPr>
            <w:r>
              <w:rPr>
                <w:sz w:val="20"/>
                <w:szCs w:val="20"/>
              </w:rPr>
              <w:t>LLMs as path to AGI</w:t>
            </w:r>
          </w:p>
        </w:tc>
        <w:tc>
          <w:tcPr>
            <w:tcW w:w="35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7DE59" w14:textId="77777777" w:rsidR="00C808F7" w:rsidRDefault="00000000">
            <w:pPr>
              <w:spacing w:after="40"/>
            </w:pPr>
            <w:r>
              <w:rPr>
                <w:sz w:val="20"/>
                <w:szCs w:val="20"/>
              </w:rPr>
              <w:t>Most frontier labs</w:t>
            </w:r>
          </w:p>
        </w:tc>
        <w:tc>
          <w:tcPr>
            <w:tcW w:w="35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9DA4C" w14:textId="77777777" w:rsidR="00C808F7" w:rsidRDefault="00000000">
            <w:pPr>
              <w:spacing w:after="40"/>
            </w:pPr>
            <w:r>
              <w:rPr>
                <w:sz w:val="20"/>
                <w:szCs w:val="20"/>
              </w:rPr>
              <w:t xml:space="preserve">LeCun (world models needed), </w:t>
            </w:r>
            <w:proofErr w:type="spellStart"/>
            <w:r>
              <w:rPr>
                <w:sz w:val="20"/>
                <w:szCs w:val="20"/>
              </w:rPr>
              <w:t>Sutskever</w:t>
            </w:r>
            <w:proofErr w:type="spellEnd"/>
            <w:r>
              <w:rPr>
                <w:sz w:val="20"/>
                <w:szCs w:val="20"/>
              </w:rPr>
              <w:t xml:space="preserve"> (new paradigm needed)</w:t>
            </w:r>
          </w:p>
        </w:tc>
      </w:tr>
      <w:tr w:rsidR="00C808F7" w14:paraId="3452CB8A"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90F168" w14:textId="77777777" w:rsidR="00C808F7" w:rsidRDefault="00000000">
            <w:pPr>
              <w:spacing w:after="40"/>
            </w:pPr>
            <w:r>
              <w:rPr>
                <w:sz w:val="20"/>
                <w:szCs w:val="20"/>
              </w:rPr>
              <w:t>AI regulation approach</w:t>
            </w:r>
          </w:p>
        </w:tc>
        <w:tc>
          <w:tcPr>
            <w:tcW w:w="35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8A059C" w14:textId="77777777" w:rsidR="00C808F7" w:rsidRDefault="00000000">
            <w:pPr>
              <w:spacing w:after="40"/>
            </w:pPr>
            <w:r>
              <w:rPr>
                <w:sz w:val="20"/>
                <w:szCs w:val="20"/>
              </w:rPr>
            </w:r>
            <w:r>
              <w:t>EU AI Act (risk-based tiers), Biden EO; Amodei 'Policy on the AI Exponential' (June 2026): binding mandatory audits at 10²⁵ FLOPs compute threshold, government authority to block deployment; US government acted within 48 hours of publication</w:t>
            </w:r>
          </w:p>
        </w:tc>
        <w:tc>
          <w:tcPr>
            <w:tcW w:w="35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0621FE" w14:textId="77777777" w:rsidR="00C808F7" w:rsidRDefault="00000000">
            <w:pPr>
              <w:spacing w:after="40"/>
            </w:pPr>
            <w:r>
              <w:rPr>
                <w:sz w:val="20"/>
                <w:szCs w:val="20"/>
              </w:rPr>
            </w:r>
            <w:r>
              <w:t>Trump EOs (deregulation), Andreessen (regulatory capture); Critics: Amodei's framework may protect incumbents (regulatory capture concern); compute threshold may exclude equally capable open-source models</w:t>
            </w:r>
          </w:p>
        </w:tc>
      </w:tr>
      <w:tr w:rsidR="00C808F7" w14:paraId="55EA109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5744CC" w14:textId="77777777" w:rsidR="00C808F7" w:rsidRDefault="00000000">
            <w:pPr>
              <w:spacing w:after="40"/>
            </w:pPr>
            <w:r>
              <w:rPr>
                <w:sz w:val="20"/>
                <w:szCs w:val="20"/>
              </w:rPr>
              <w:t>Banking AI impact</w:t>
            </w:r>
          </w:p>
        </w:tc>
        <w:tc>
          <w:tcPr>
            <w:tcW w:w="35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F733E2" w14:textId="77777777" w:rsidR="00C808F7" w:rsidRDefault="00000000">
            <w:pPr>
              <w:spacing w:after="40"/>
            </w:pPr>
            <w:r>
              <w:rPr>
                <w:sz w:val="20"/>
                <w:szCs w:val="20"/>
              </w:rPr>
            </w:r>
            <w:r>
              <w:t>BCG ($370B), McKinsey ($200-340B), Microsoft (3x returns); Stanford 2026 AI Index: 56% wage premium for advanced AI skills; $172B annual US consumer surplus from GenAI (early 2026)</w:t>
            </w:r>
          </w:p>
        </w:tc>
        <w:tc>
          <w:tcPr>
            <w:tcW w:w="35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8E1C8D" w14:textId="77777777" w:rsidR="00C808F7" w:rsidRDefault="00000000">
            <w:pPr>
              <w:spacing w:after="40"/>
            </w:pPr>
            <w:r>
              <w:rPr>
                <w:sz w:val="20"/>
                <w:szCs w:val="20"/>
              </w:rPr>
              <w:t>Cornerstone (data not ready), 60% lack KPIs</w:t>
            </w:r>
          </w:p>
        </w:tc>
      </w:tr>
      <w:tr w:rsidR="00C808F7" w14:paraId="1FB9401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8B0949" w14:textId="77777777" w:rsidR="00C808F7" w:rsidRDefault="00000000">
            <w:pPr>
              <w:spacing w:after="40"/>
            </w:pPr>
            <w:r>
              <w:rPr>
                <w:sz w:val="20"/>
                <w:szCs w:val="20"/>
              </w:rPr>
              <w:t>Harness vs. human engineering</w:t>
            </w:r>
          </w:p>
        </w:tc>
        <w:tc>
          <w:tcPr>
            <w:tcW w:w="35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EFF13C" w14:textId="77777777" w:rsidR="00C808F7" w:rsidRDefault="00000000">
            <w:pPr>
              <w:spacing w:after="40"/>
            </w:pPr>
            <w:r>
              <w:rPr>
                <w:sz w:val="20"/>
                <w:szCs w:val="20"/>
              </w:rPr>
              <w:t xml:space="preserve">Meta-Harness (automated search beats hand-designed context), </w:t>
            </w:r>
            <w:proofErr w:type="spellStart"/>
            <w:r>
              <w:rPr>
                <w:sz w:val="20"/>
                <w:szCs w:val="20"/>
              </w:rPr>
              <w:t>AlphaEvolve</w:t>
            </w:r>
            <w:proofErr w:type="spellEnd"/>
          </w:p>
        </w:tc>
        <w:tc>
          <w:tcPr>
            <w:tcW w:w="35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068216" w14:textId="77777777" w:rsidR="00C808F7" w:rsidRDefault="00000000">
            <w:pPr>
              <w:spacing w:after="40"/>
            </w:pPr>
            <w:r>
              <w:rPr>
                <w:sz w:val="20"/>
                <w:szCs w:val="20"/>
              </w:rPr>
              <w:t>Walker/Hayek (problem formulation &amp; domain curation remain human; search only works given human-defined objectives)</w:t>
            </w:r>
          </w:p>
        </w:tc>
      </w:tr>
    </w:tbl>
    <w:p w14:paraId="20DB76E3" w14:textId="77777777" w:rsidR="001C45F2" w:rsidRDefault="001C45F2"/>
    <w:sectPr w:rsidR="001C45F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42839"/>
    <w:multiLevelType w:val="hybridMultilevel"/>
    <w:tmpl w:val="82905DDC"/>
    <w:lvl w:ilvl="0" w:tplc="19A2B1B4">
      <w:start w:val="1"/>
      <w:numFmt w:val="bullet"/>
      <w:lvlText w:val="●"/>
      <w:lvlJc w:val="left"/>
      <w:pPr>
        <w:ind w:left="720" w:hanging="360"/>
      </w:pPr>
    </w:lvl>
    <w:lvl w:ilvl="1" w:tplc="BECC1546">
      <w:start w:val="1"/>
      <w:numFmt w:val="bullet"/>
      <w:lvlText w:val="○"/>
      <w:lvlJc w:val="left"/>
      <w:pPr>
        <w:ind w:left="1440" w:hanging="360"/>
      </w:pPr>
    </w:lvl>
    <w:lvl w:ilvl="2" w:tplc="70AE5F0C">
      <w:start w:val="1"/>
      <w:numFmt w:val="bullet"/>
      <w:lvlText w:val="■"/>
      <w:lvlJc w:val="left"/>
      <w:pPr>
        <w:ind w:left="2160" w:hanging="360"/>
      </w:pPr>
    </w:lvl>
    <w:lvl w:ilvl="3" w:tplc="E09A1592">
      <w:start w:val="1"/>
      <w:numFmt w:val="bullet"/>
      <w:lvlText w:val="●"/>
      <w:lvlJc w:val="left"/>
      <w:pPr>
        <w:ind w:left="2880" w:hanging="360"/>
      </w:pPr>
    </w:lvl>
    <w:lvl w:ilvl="4" w:tplc="C0668FFE">
      <w:start w:val="1"/>
      <w:numFmt w:val="bullet"/>
      <w:lvlText w:val="○"/>
      <w:lvlJc w:val="left"/>
      <w:pPr>
        <w:ind w:left="3600" w:hanging="360"/>
      </w:pPr>
    </w:lvl>
    <w:lvl w:ilvl="5" w:tplc="A61AB000">
      <w:start w:val="1"/>
      <w:numFmt w:val="bullet"/>
      <w:lvlText w:val="■"/>
      <w:lvlJc w:val="left"/>
      <w:pPr>
        <w:ind w:left="4320" w:hanging="360"/>
      </w:pPr>
    </w:lvl>
    <w:lvl w:ilvl="6" w:tplc="7A92BA9A">
      <w:start w:val="1"/>
      <w:numFmt w:val="bullet"/>
      <w:lvlText w:val="●"/>
      <w:lvlJc w:val="left"/>
      <w:pPr>
        <w:ind w:left="5040" w:hanging="360"/>
      </w:pPr>
    </w:lvl>
    <w:lvl w:ilvl="7" w:tplc="1AE055F6">
      <w:start w:val="1"/>
      <w:numFmt w:val="bullet"/>
      <w:lvlText w:val="●"/>
      <w:lvlJc w:val="left"/>
      <w:pPr>
        <w:ind w:left="5760" w:hanging="360"/>
      </w:pPr>
    </w:lvl>
    <w:lvl w:ilvl="8" w:tplc="2F5C6D5C">
      <w:start w:val="1"/>
      <w:numFmt w:val="bullet"/>
      <w:lvlText w:val="●"/>
      <w:lvlJc w:val="left"/>
      <w:pPr>
        <w:ind w:left="6480" w:hanging="360"/>
      </w:pPr>
    </w:lvl>
  </w:abstractNum>
  <w:abstractNum w:abstractNumId="1" w15:restartNumberingAfterBreak="0">
    <w:nsid w:val="3BD50792"/>
    <w:multiLevelType w:val="hybridMultilevel"/>
    <w:tmpl w:val="2DDEEBF0"/>
    <w:lvl w:ilvl="0" w:tplc="0D4C9814">
      <w:start w:val="1"/>
      <w:numFmt w:val="bullet"/>
      <w:lvlText w:val="•"/>
      <w:lvlJc w:val="left"/>
      <w:pPr>
        <w:ind w:left="720" w:hanging="360"/>
      </w:pPr>
    </w:lvl>
    <w:lvl w:ilvl="1" w:tplc="A274B016">
      <w:numFmt w:val="decimal"/>
      <w:lvlText w:val=""/>
      <w:lvlJc w:val="left"/>
    </w:lvl>
    <w:lvl w:ilvl="2" w:tplc="CECADB76">
      <w:numFmt w:val="decimal"/>
      <w:lvlText w:val=""/>
      <w:lvlJc w:val="left"/>
    </w:lvl>
    <w:lvl w:ilvl="3" w:tplc="E32A5CB6">
      <w:numFmt w:val="decimal"/>
      <w:lvlText w:val=""/>
      <w:lvlJc w:val="left"/>
    </w:lvl>
    <w:lvl w:ilvl="4" w:tplc="2C6C817A">
      <w:numFmt w:val="decimal"/>
      <w:lvlText w:val=""/>
      <w:lvlJc w:val="left"/>
    </w:lvl>
    <w:lvl w:ilvl="5" w:tplc="B78645FC">
      <w:numFmt w:val="decimal"/>
      <w:lvlText w:val=""/>
      <w:lvlJc w:val="left"/>
    </w:lvl>
    <w:lvl w:ilvl="6" w:tplc="5510C824">
      <w:numFmt w:val="decimal"/>
      <w:lvlText w:val=""/>
      <w:lvlJc w:val="left"/>
    </w:lvl>
    <w:lvl w:ilvl="7" w:tplc="BB3EF05A">
      <w:numFmt w:val="decimal"/>
      <w:lvlText w:val=""/>
      <w:lvlJc w:val="left"/>
    </w:lvl>
    <w:lvl w:ilvl="8" w:tplc="38CC4C94">
      <w:numFmt w:val="decimal"/>
      <w:lvlText w:val=""/>
      <w:lvlJc w:val="left"/>
    </w:lvl>
  </w:abstractNum>
  <w:abstractNum w:abstractNumId="2" w15:restartNumberingAfterBreak="0">
    <w:nsid w:val="51DF265A"/>
    <w:multiLevelType w:val="hybridMultilevel"/>
    <w:tmpl w:val="F1642E08"/>
    <w:lvl w:ilvl="0" w:tplc="679E8CF2">
      <w:start w:val="1"/>
      <w:numFmt w:val="bullet"/>
      <w:lvlText w:val="•"/>
      <w:lvlJc w:val="left"/>
      <w:pPr>
        <w:ind w:left="720" w:hanging="360"/>
      </w:pPr>
    </w:lvl>
    <w:lvl w:ilvl="1" w:tplc="A726CEE6">
      <w:numFmt w:val="decimal"/>
      <w:lvlText w:val=""/>
      <w:lvlJc w:val="left"/>
    </w:lvl>
    <w:lvl w:ilvl="2" w:tplc="0DE42A0E">
      <w:numFmt w:val="decimal"/>
      <w:lvlText w:val=""/>
      <w:lvlJc w:val="left"/>
    </w:lvl>
    <w:lvl w:ilvl="3" w:tplc="A3848B10">
      <w:numFmt w:val="decimal"/>
      <w:lvlText w:val=""/>
      <w:lvlJc w:val="left"/>
    </w:lvl>
    <w:lvl w:ilvl="4" w:tplc="67186360">
      <w:numFmt w:val="decimal"/>
      <w:lvlText w:val=""/>
      <w:lvlJc w:val="left"/>
    </w:lvl>
    <w:lvl w:ilvl="5" w:tplc="C9544E8C">
      <w:numFmt w:val="decimal"/>
      <w:lvlText w:val=""/>
      <w:lvlJc w:val="left"/>
    </w:lvl>
    <w:lvl w:ilvl="6" w:tplc="E8721262">
      <w:numFmt w:val="decimal"/>
      <w:lvlText w:val=""/>
      <w:lvlJc w:val="left"/>
    </w:lvl>
    <w:lvl w:ilvl="7" w:tplc="9914F9DC">
      <w:numFmt w:val="decimal"/>
      <w:lvlText w:val=""/>
      <w:lvlJc w:val="left"/>
    </w:lvl>
    <w:lvl w:ilvl="8" w:tplc="FD066FBC">
      <w:numFmt w:val="decimal"/>
      <w:lvlText w:val=""/>
      <w:lvlJc w:val="left"/>
    </w:lvl>
  </w:abstractNum>
  <w:num w:numId="1" w16cid:durableId="757094584">
    <w:abstractNumId w:val="0"/>
    <w:lvlOverride w:ilvl="0">
      <w:startOverride w:val="1"/>
    </w:lvlOverride>
  </w:num>
  <w:num w:numId="2" w16cid:durableId="54417438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8F7"/>
    <w:rsid w:val="001C45F2"/>
    <w:rsid w:val="008134E7"/>
    <w:rsid w:val="00C808F7"/>
    <w:rsid w:val="00FC2F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CC148DE"/>
  <w15:docId w15:val="{32FEE467-475D-B74E-B7F0-B219C8DD9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32"/>
      <w:szCs w:val="32"/>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unhideWhenUsed/>
    <w:qFormat/>
    <w:pPr>
      <w:spacing w:before="240" w:after="12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4837</Words>
  <Characters>27090</Characters>
  <Application>Microsoft Office Word</Application>
  <DocSecurity>0</DocSecurity>
  <Lines>467</Lines>
  <Paragraphs>129</Paragraphs>
  <ScaleCrop>false</ScaleCrop>
  <Company/>
  <LinksUpToDate>false</LinksUpToDate>
  <CharactersWithSpaces>31798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Madeline Fredin</cp:lastModifiedBy>
  <cp:revision>2</cp:revision>
  <dcterms:created xsi:type="dcterms:W3CDTF">2026-05-26T21:59:00Z</dcterms:created>
  <dcterms:modified xsi:type="dcterms:W3CDTF">2026-05-26T21:59:00Z</dcterms:modified>
</cp:coreProperties>
</file>