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r w:rsidRPr="00FC5E5F">
        <w:rPr>
          <w:rFonts w:cs="Times New Roman"/>
          <w:sz w:val="28"/>
          <w:szCs w:val="28"/>
        </w:rPr>
        <w:t xml:space="preserve">Dynamics of </w:t>
      </w:r>
      <w:proofErr w:type="spellStart"/>
      <w:r w:rsidR="000D458D" w:rsidRPr="000D458D">
        <w:rPr>
          <w:rFonts w:cs="Times New Roman"/>
          <w:i/>
          <w:sz w:val="28"/>
          <w:szCs w:val="28"/>
        </w:rPr>
        <w:t>Teleaulax</w:t>
      </w:r>
      <w:proofErr w:type="spellEnd"/>
      <w:r w:rsidR="000D458D">
        <w:rPr>
          <w:rFonts w:cs="Times New Roman"/>
          <w:sz w:val="28"/>
          <w:szCs w:val="28"/>
        </w:rPr>
        <w:t xml:space="preserve">-like </w:t>
      </w:r>
      <w:proofErr w:type="spellStart"/>
      <w:r w:rsidRPr="00FC5E5F">
        <w:rPr>
          <w:rFonts w:cs="Times New Roman"/>
          <w:sz w:val="28"/>
          <w:szCs w:val="28"/>
        </w:rPr>
        <w:t>cryptophyte</w:t>
      </w:r>
      <w:r w:rsidR="000D458D">
        <w:rPr>
          <w:rFonts w:cs="Times New Roman"/>
          <w:sz w:val="28"/>
          <w:szCs w:val="28"/>
        </w:rPr>
        <w:t>s</w:t>
      </w:r>
      <w:proofErr w:type="spellEnd"/>
      <w:r w:rsidRPr="00FC5E5F">
        <w:rPr>
          <w:rFonts w:cs="Times New Roman"/>
          <w:sz w:val="28"/>
          <w:szCs w:val="28"/>
        </w:rPr>
        <w:t xml:space="preserve"> during red water blooms in the Columbia River Estuary.</w:t>
      </w:r>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r>
        <w:rPr>
          <w:rFonts w:cs="Times New Roman"/>
        </w:rPr>
        <w:t>MORE TO COME.</w:t>
      </w:r>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mixotroph, capable of utilizing both phagotrophic and photosynthetic mechanisms to acquire carbon (Crawford, 1989). Though </w:t>
      </w:r>
      <w:r w:rsidR="000D458D">
        <w:rPr>
          <w:rFonts w:cs="Times New Roman"/>
          <w:bCs/>
        </w:rPr>
        <w:t xml:space="preserve">mixotrophic </w:t>
      </w:r>
      <w:proofErr w:type="spellStart"/>
      <w:r w:rsidR="000D458D" w:rsidRPr="00FC5E5F">
        <w:rPr>
          <w:rFonts w:cs="Times New Roman"/>
          <w:bCs/>
          <w:i/>
        </w:rPr>
        <w:t>Mesodinium</w:t>
      </w:r>
      <w:proofErr w:type="spellEnd"/>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w:t>
      </w:r>
      <w:r w:rsidR="000D458D">
        <w:rPr>
          <w:rFonts w:cs="Times New Roman"/>
          <w:bCs/>
        </w:rPr>
        <w:t xml:space="preserve">, </w:t>
      </w:r>
      <w:proofErr w:type="spellStart"/>
      <w:r w:rsidR="000D458D" w:rsidRPr="00FC5E5F">
        <w:rPr>
          <w:rFonts w:cs="Times New Roman"/>
        </w:rPr>
        <w:t>Herfort</w:t>
      </w:r>
      <w:proofErr w:type="spellEnd"/>
      <w:r w:rsidR="000D458D" w:rsidRPr="00FC5E5F">
        <w:rPr>
          <w:rFonts w:cs="Times New Roman"/>
        </w:rPr>
        <w:t xml:space="preserve"> et al., 2012</w:t>
      </w:r>
      <w:r w:rsidRPr="00FC5E5F">
        <w:rPr>
          <w:rFonts w:cs="Times New Roman"/>
          <w:bCs/>
        </w:rPr>
        <w:t xml:space="preserve">), little is known about the </w:t>
      </w:r>
      <w:r w:rsidR="000D458D">
        <w:rPr>
          <w:rFonts w:cs="Times New Roman"/>
          <w:bCs/>
        </w:rPr>
        <w:t xml:space="preserve">ecology and physiology of the </w:t>
      </w:r>
      <w:proofErr w:type="spellStart"/>
      <w:r w:rsidR="000D458D" w:rsidRPr="00FC5E5F">
        <w:rPr>
          <w:rFonts w:cs="Times New Roman"/>
          <w:bCs/>
          <w:i/>
        </w:rPr>
        <w:t>Teleaulax</w:t>
      </w:r>
      <w:proofErr w:type="spellEnd"/>
      <w:r w:rsidR="000D458D">
        <w:rPr>
          <w:rFonts w:cs="Times New Roman"/>
          <w:bCs/>
        </w:rPr>
        <w:t xml:space="preserve"> </w:t>
      </w:r>
      <w:proofErr w:type="spellStart"/>
      <w:r w:rsidR="000D458D">
        <w:rPr>
          <w:rFonts w:cs="Times New Roman"/>
          <w:bCs/>
        </w:rPr>
        <w:t>cryptophyte</w:t>
      </w:r>
      <w:proofErr w:type="spellEnd"/>
      <w:r w:rsidR="000D458D">
        <w:rPr>
          <w:rFonts w:cs="Times New Roman"/>
          <w:bCs/>
        </w:rPr>
        <w:t xml:space="preserve"> prey and how it impacts the dynamics of </w:t>
      </w:r>
      <w:proofErr w:type="spellStart"/>
      <w:r w:rsidR="000D458D" w:rsidRPr="00FC5E5F">
        <w:rPr>
          <w:rFonts w:cs="Times New Roman"/>
          <w:bCs/>
          <w:i/>
        </w:rPr>
        <w:t>Mesodinium</w:t>
      </w:r>
      <w:proofErr w:type="spellEnd"/>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 xml:space="preserve">of free-living </w:t>
      </w:r>
      <w:proofErr w:type="spellStart"/>
      <w:r w:rsidR="00FC5E5F">
        <w:rPr>
          <w:rFonts w:cs="Times New Roman"/>
        </w:rPr>
        <w:t>cryp</w:t>
      </w:r>
      <w:r w:rsidR="00EB76CE">
        <w:rPr>
          <w:rFonts w:cs="Times New Roman"/>
        </w:rPr>
        <w:t>to</w:t>
      </w:r>
      <w:r w:rsidR="00FC5E5F">
        <w:rPr>
          <w:rFonts w:cs="Times New Roman"/>
        </w:rPr>
        <w:t>phyte</w:t>
      </w:r>
      <w:proofErr w:type="spellEnd"/>
      <w:r w:rsidR="00FC5E5F">
        <w:rPr>
          <w:rFonts w:cs="Times New Roman"/>
        </w:rPr>
        <w:t xml:space="preserv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156BFBA2"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p>
    <w:p w14:paraId="59FCD9DE" w14:textId="41BA9BE1"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w:t>
      </w:r>
      <w:r>
        <w:rPr>
          <w:rFonts w:cs="Times New Roman"/>
        </w:rPr>
        <w:t xml:space="preserve">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a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43A89C9F"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ins w:id="4" w:author="Maria Hamilton" w:date="2015-09-12T14:55:00Z">
        <w:r w:rsidR="00D301C2">
          <w:rPr>
            <w:rFonts w:cs="Times New Roman"/>
          </w:rPr>
          <w:t>1</w:t>
        </w:r>
      </w:ins>
      <w:r w:rsidR="00D301C2">
        <w:rPr>
          <w:rFonts w:cs="Times New Roman"/>
        </w:rPr>
        <w:t xml:space="preserve"> month</w:t>
      </w:r>
      <w:r w:rsidR="00FE75DC" w:rsidRPr="00FE75DC">
        <w:rPr>
          <w:rFonts w:cs="Times New Roman"/>
        </w:rPr>
        <w:t xml:space="preserve">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8F493D">
        <w:rPr>
          <w:rFonts w:cs="Times New Roman"/>
          <w:i/>
        </w:rPr>
        <w:t>Rhodomonas</w:t>
      </w:r>
      <w:proofErr w:type="spellEnd"/>
      <w:r w:rsidRPr="008F493D">
        <w:rPr>
          <w:rFonts w:cs="Times New Roman"/>
          <w:i/>
        </w:rPr>
        <w:t xml:space="preserve"> 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4C8410C0"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w:t>
      </w:r>
      <w:ins w:id="5" w:author="Maria Hamilton" w:date="2015-09-13T17:13:00Z">
        <w:r w:rsidR="004778BF">
          <w:rPr>
            <w:rFonts w:cs="Times New Roman"/>
          </w:rPr>
          <w:t>was</w:t>
        </w:r>
      </w:ins>
      <w:r w:rsidRPr="00FC5E5F">
        <w:rPr>
          <w:rFonts w:cs="Times New Roman"/>
        </w:rPr>
        <w:t xml:space="preserve">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xml:space="preserve">, with the lowest values observed </w:t>
      </w:r>
      <w:ins w:id="6" w:author="Maria Hamilton" w:date="2015-09-13T17:14:00Z">
        <w:r w:rsidR="004778BF">
          <w:rPr>
            <w:rFonts w:cs="Times New Roman"/>
          </w:rPr>
          <w:t>on</w:t>
        </w:r>
      </w:ins>
      <w:r w:rsidR="00D1190F">
        <w:rPr>
          <w:rFonts w:cs="Times New Roman"/>
        </w:rPr>
        <w:t xml:space="preserve">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850842">
        <w:rPr>
          <w:rFonts w:cs="Times New Roman"/>
        </w:rPr>
        <w:t>A negative correlation was observed between pH and DIN and phosphorus concentrations (R</w:t>
      </w:r>
      <w:r w:rsidR="00850842" w:rsidRPr="00850842">
        <w:rPr>
          <w:rFonts w:cs="Times New Roman"/>
          <w:vertAlign w:val="superscript"/>
        </w:rPr>
        <w:t>2</w:t>
      </w:r>
      <w:r w:rsidR="00850842">
        <w:rPr>
          <w:rFonts w:cs="Times New Roman"/>
        </w:rPr>
        <w:t xml:space="preserve"> = 0.38 and 0.33, p&lt; 0.05, </w:t>
      </w:r>
      <w:ins w:id="7" w:author="Maria Hamilton" w:date="2015-09-13T17:16:00Z">
        <w:r w:rsidR="004778BF" w:rsidRPr="004778BF">
          <w:rPr>
            <w:rFonts w:cs="Times New Roman"/>
            <w:highlight w:val="yellow"/>
          </w:rPr>
          <w:t>p&lt; XX</w:t>
        </w:r>
        <w:r w:rsidR="004778BF">
          <w:rPr>
            <w:rFonts w:cs="Times New Roman"/>
          </w:rPr>
          <w:t xml:space="preserve"> </w:t>
        </w:r>
      </w:ins>
      <w:r w:rsidR="00850842">
        <w:rPr>
          <w:rFonts w:cs="Times New Roman"/>
        </w:rPr>
        <w:t xml:space="preserve">respectively). </w:t>
      </w:r>
      <w:r w:rsidRPr="00FC5E5F">
        <w:rPr>
          <w:rFonts w:cs="Times New Roman"/>
        </w:rPr>
        <w:t xml:space="preserve">A </w:t>
      </w:r>
      <w:r w:rsidR="00865D87">
        <w:rPr>
          <w:rFonts w:cs="Times New Roman"/>
        </w:rPr>
        <w:t>6</w:t>
      </w:r>
      <w:r w:rsidRPr="00FC5E5F">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w:t>
      </w:r>
      <w:ins w:id="8" w:author="Maria Hamilton" w:date="2015-09-13T17:17:00Z">
        <w:r w:rsidR="004778BF">
          <w:rPr>
            <w:rFonts w:cs="Times New Roman"/>
          </w:rPr>
          <w:t>During</w:t>
        </w:r>
      </w:ins>
      <w:r w:rsidRPr="00FC5E5F">
        <w:rPr>
          <w:rFonts w:cs="Times New Roman"/>
        </w:rPr>
        <w:t xml:space="preserve"> the first week, nutrient concentrations remained relatively stable</w:t>
      </w:r>
      <w:r w:rsidR="008B0C65">
        <w:rPr>
          <w:rFonts w:cs="Times New Roman"/>
        </w:rPr>
        <w:t>, increased in week 2 and decrease</w:t>
      </w:r>
      <w:ins w:id="9" w:author="Maria Hamilton" w:date="2015-09-13T17:16:00Z">
        <w:r w:rsidR="004778BF">
          <w:rPr>
            <w:rFonts w:cs="Times New Roman"/>
          </w:rPr>
          <w:t>d</w:t>
        </w:r>
      </w:ins>
      <w:r w:rsidR="008B0C65">
        <w:rPr>
          <w:rFonts w:cs="Times New Roman"/>
        </w:rPr>
        <w:t xml:space="preserv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2B63C23C"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x 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 </w:t>
      </w:r>
      <w:r w:rsidR="000F0ADB">
        <w:rPr>
          <w:rFonts w:cs="Times New Roman"/>
        </w:rPr>
        <w:t>0.</w:t>
      </w:r>
      <w:ins w:id="10" w:author="Maria Hamilton" w:date="2015-09-16T11:13:00Z">
        <w:r w:rsidR="005D14DE">
          <w:rPr>
            <w:rFonts w:cs="Times New Roman"/>
          </w:rPr>
          <w:t>32</w:t>
        </w:r>
      </w:ins>
      <w:r w:rsidR="000F0ADB">
        <w:rPr>
          <w:rFonts w:cs="Times New Roman"/>
        </w:rPr>
        <w:t xml:space="preserve">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Pr>
          <w:rFonts w:cs="Times New Roman"/>
        </w:rPr>
        <w:t>XXX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 xml:space="preserve">the second </w:t>
      </w:r>
      <w:ins w:id="11" w:author="Maria Hamilton" w:date="2015-09-13T17:22:00Z">
        <w:r w:rsidR="009B1482">
          <w:rPr>
            <w:rFonts w:eastAsia="Calibri" w:cs="Times New Roman"/>
          </w:rPr>
          <w:t>week</w:t>
        </w:r>
      </w:ins>
      <w:ins w:id="12" w:author="Maria Hamilton" w:date="2015-09-13T17:35:00Z">
        <w:r w:rsidR="00B16F97">
          <w:rPr>
            <w:rFonts w:eastAsia="Calibri" w:cs="Times New Roman"/>
          </w:rPr>
          <w:t xml:space="preserve"> (?)</w:t>
        </w:r>
      </w:ins>
      <w:r w:rsidR="000F0ADB">
        <w:rPr>
          <w:rFonts w:eastAsia="Calibri" w:cs="Times New Roman"/>
        </w:rPr>
        <w:t xml:space="preserve">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w:t>
      </w:r>
      <w:proofErr w:type="spellStart"/>
      <w:r w:rsidR="00521127">
        <w:rPr>
          <w:rFonts w:cs="Times New Roman"/>
        </w:rPr>
        <w:t>pH</w:t>
      </w:r>
      <w:r w:rsidR="00604802">
        <w:rPr>
          <w:rFonts w:cs="Times New Roman"/>
        </w:rPr>
        <w:t>.</w:t>
      </w:r>
      <w:proofErr w:type="spellEnd"/>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2612139A" w14:textId="02824DDD" w:rsidR="00A357F5" w:rsidRPr="00A357F5" w:rsidRDefault="00A357F5" w:rsidP="00A357F5">
      <w:pPr>
        <w:spacing w:line="480" w:lineRule="auto"/>
        <w:rPr>
          <w:rFonts w:cs="Times New Roman"/>
        </w:rPr>
      </w:pPr>
      <w:r w:rsidRPr="00A357F5">
        <w:rPr>
          <w:rFonts w:cs="Times New Roman"/>
        </w:rPr>
        <w:t xml:space="preserve">The percent of </w:t>
      </w:r>
      <w:proofErr w:type="spellStart"/>
      <w:r w:rsidR="001C412D" w:rsidRPr="00A357F5">
        <w:rPr>
          <w:rFonts w:cs="Times New Roman"/>
          <w:i/>
          <w:iCs/>
        </w:rPr>
        <w:t>T</w:t>
      </w:r>
      <w:r w:rsidR="001C412D">
        <w:rPr>
          <w:rFonts w:cs="Times New Roman"/>
          <w:i/>
          <w:iCs/>
        </w:rPr>
        <w:t>eleaulax</w:t>
      </w:r>
      <w:proofErr w:type="spellEnd"/>
      <w:r w:rsidR="001C412D" w:rsidRPr="00A357F5">
        <w:rPr>
          <w:rFonts w:cs="Times New Roman"/>
          <w:i/>
          <w:iCs/>
        </w:rPr>
        <w:t xml:space="preserve"> </w:t>
      </w:r>
      <w:proofErr w:type="spellStart"/>
      <w:r w:rsidR="001C412D" w:rsidRPr="00A357F5">
        <w:rPr>
          <w:rFonts w:cs="Times New Roman"/>
          <w:i/>
          <w:iCs/>
        </w:rPr>
        <w:t>amphioexa</w:t>
      </w:r>
      <w:proofErr w:type="spellEnd"/>
      <w:r w:rsidR="001C412D">
        <w:rPr>
          <w:rFonts w:cs="Times New Roman"/>
        </w:rPr>
        <w:t xml:space="preserve"> to </w:t>
      </w:r>
      <w:r w:rsidRPr="00A357F5">
        <w:rPr>
          <w:rFonts w:cs="Times New Roman"/>
        </w:rPr>
        <w:t xml:space="preserve">the total </w:t>
      </w:r>
      <w:proofErr w:type="spellStart"/>
      <w:r w:rsidRPr="00A357F5">
        <w:rPr>
          <w:rFonts w:cs="Times New Roman"/>
        </w:rPr>
        <w:t>cryptophytes</w:t>
      </w:r>
      <w:proofErr w:type="spellEnd"/>
      <w:r w:rsidRPr="00A357F5">
        <w:rPr>
          <w:rFonts w:cs="Times New Roman"/>
        </w:rPr>
        <w:t xml:space="preserve">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ins w:id="13" w:author="Maria Hamilton" w:date="2015-09-13T17:39:00Z">
        <w:r w:rsidR="00B16F97">
          <w:rPr>
            <w:rFonts w:cs="Times New Roman"/>
            <w:b/>
            <w:bCs/>
          </w:rPr>
          <w:t>T</w:t>
        </w:r>
      </w:ins>
      <w:r w:rsidRPr="00A357F5">
        <w:rPr>
          <w:rFonts w:cs="Times New Roman"/>
          <w:b/>
          <w:bCs/>
        </w:rPr>
        <w:t>able 1</w:t>
      </w:r>
      <w:r w:rsidR="001C412D">
        <w:rPr>
          <w:rFonts w:cs="Times New Roman"/>
        </w:rPr>
        <w:t xml:space="preserve">), with the highest and lowest percent of </w:t>
      </w:r>
      <w:r w:rsidR="001C412D" w:rsidRPr="00A357F5">
        <w:rPr>
          <w:rFonts w:cs="Times New Roman"/>
          <w:i/>
          <w:iCs/>
        </w:rPr>
        <w:t xml:space="preserve">T. </w:t>
      </w:r>
      <w:proofErr w:type="spellStart"/>
      <w:r w:rsidR="001C412D" w:rsidRPr="00A357F5">
        <w:rPr>
          <w:rFonts w:cs="Times New Roman"/>
          <w:i/>
          <w:iCs/>
        </w:rPr>
        <w:t>amphioexa</w:t>
      </w:r>
      <w:proofErr w:type="spellEnd"/>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and </w:t>
      </w:r>
      <w:r w:rsidR="0009327B" w:rsidRPr="0009327B">
        <w:rPr>
          <w:rFonts w:cs="Times New Roman"/>
          <w:i/>
        </w:rPr>
        <w:t xml:space="preserve">M. </w:t>
      </w:r>
      <w:ins w:id="14" w:author="Maria Hamilton" w:date="2015-09-14T12:26:00Z">
        <w:r w:rsidR="008F493D">
          <w:rPr>
            <w:rFonts w:cs="Times New Roman"/>
            <w:i/>
          </w:rPr>
          <w:t>major</w:t>
        </w:r>
      </w:ins>
      <w:r w:rsidR="0009327B">
        <w:rPr>
          <w:rFonts w:cs="Times New Roman"/>
          <w:i/>
        </w:rPr>
        <w:t xml:space="preserve"> </w:t>
      </w:r>
      <w:r w:rsidR="0009327B" w:rsidRPr="0009327B">
        <w:rPr>
          <w:rFonts w:cs="Times New Roman"/>
        </w:rPr>
        <w:t>(</w:t>
      </w:r>
      <w:r w:rsidR="0009327B" w:rsidRPr="0009327B">
        <w:rPr>
          <w:rFonts w:cs="Times New Roman"/>
          <w:b/>
        </w:rPr>
        <w:t>Fig. 3</w:t>
      </w:r>
      <w:r w:rsidR="0009327B" w:rsidRPr="0009327B">
        <w:rPr>
          <w:rFonts w:cs="Times New Roman"/>
        </w:rPr>
        <w:t>).</w:t>
      </w:r>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proofErr w:type="spellStart"/>
      <w:r>
        <w:rPr>
          <w:rFonts w:cs="Times New Roman"/>
          <w:b/>
        </w:rPr>
        <w:t>Ecophysiology</w:t>
      </w:r>
      <w:proofErr w:type="spellEnd"/>
      <w:r>
        <w:rPr>
          <w:rFonts w:cs="Times New Roman"/>
          <w:b/>
        </w:rPr>
        <w:t xml:space="preserve"> of </w:t>
      </w:r>
      <w:r w:rsidR="00D1328A" w:rsidRPr="00BD2C01">
        <w:rPr>
          <w:rFonts w:cs="Times New Roman"/>
          <w:b/>
        </w:rPr>
        <w:t xml:space="preserve">the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Pr>
          <w:rFonts w:cs="Times New Roman"/>
          <w:b/>
        </w:rPr>
        <w:t xml:space="preserve"> during the survey</w:t>
      </w:r>
    </w:p>
    <w:p w14:paraId="105E0B04" w14:textId="2859845E" w:rsidR="003C14C1" w:rsidRDefault="007C608D" w:rsidP="00FC5E5F">
      <w:pPr>
        <w:spacing w:line="480" w:lineRule="auto"/>
        <w:rPr>
          <w:rFonts w:cs="Times New Roman"/>
        </w:rPr>
      </w:pPr>
      <w:r>
        <w:rPr>
          <w:rFonts w:cs="Times New Roman"/>
        </w:rPr>
        <w:tab/>
      </w:r>
      <w:r w:rsidR="00D36109">
        <w:rPr>
          <w:rFonts w:cs="Times New Roman"/>
        </w:rPr>
        <w:t xml:space="preserve">The </w:t>
      </w:r>
      <w:proofErr w:type="spellStart"/>
      <w:r w:rsidR="00D36109">
        <w:rPr>
          <w:rFonts w:cs="Times New Roman"/>
        </w:rPr>
        <w:t>cryptophyte</w:t>
      </w:r>
      <w:proofErr w:type="spellEnd"/>
      <w:r w:rsidR="00D36109">
        <w:rPr>
          <w:rFonts w:cs="Times New Roman"/>
        </w:rPr>
        <w:t xml:space="preserve">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w:t>
      </w:r>
      <w:ins w:id="15" w:author="Maria Hamilton" w:date="2015-09-13T17:42:00Z">
        <w:r w:rsidR="00591994">
          <w:rPr>
            <w:rFonts w:cs="Times New Roman"/>
          </w:rPr>
          <w:t>and v</w:t>
        </w:r>
      </w:ins>
      <w:r w:rsidR="0065300B">
        <w:rPr>
          <w:rFonts w:cs="Times New Roman"/>
        </w:rPr>
        <w:t xml:space="preserve">ariations </w:t>
      </w:r>
      <w:ins w:id="16" w:author="Maria Hamilton" w:date="2015-09-13T17:41:00Z">
        <w:r w:rsidR="00B16F97">
          <w:rPr>
            <w:rFonts w:cs="Times New Roman"/>
          </w:rPr>
          <w:t>in</w:t>
        </w:r>
      </w:ins>
      <w:r w:rsidR="0065300B">
        <w:rPr>
          <w:rFonts w:cs="Times New Roman"/>
        </w:rPr>
        <w:t xml:space="preserve"> </w:t>
      </w:r>
      <w:r w:rsidR="003C14C1">
        <w:rPr>
          <w:rFonts w:cs="Times New Roman"/>
        </w:rPr>
        <w:t xml:space="preserve">TLC </w:t>
      </w:r>
      <w:r w:rsidR="003471DD">
        <w:rPr>
          <w:rFonts w:cs="Times New Roman"/>
        </w:rPr>
        <w:t>abundance</w:t>
      </w:r>
      <w:r w:rsidR="00B36EBC">
        <w:rPr>
          <w:rFonts w:cs="Times New Roman"/>
        </w:rPr>
        <w:t>s</w:t>
      </w:r>
      <w:r w:rsidR="0065300B">
        <w:rPr>
          <w:rFonts w:cs="Times New Roman"/>
        </w:rPr>
        <w:t xml:space="preserve"> </w:t>
      </w:r>
      <w:ins w:id="17" w:author="Maria Hamilton" w:date="2015-09-13T17:42:00Z">
        <w:r w:rsidR="00591994">
          <w:rPr>
            <w:rFonts w:cs="Times New Roman"/>
          </w:rPr>
          <w:t xml:space="preserve">were not shown to be </w:t>
        </w:r>
      </w:ins>
      <w:r w:rsidR="0065300B">
        <w:rPr>
          <w:rFonts w:cs="Times New Roman"/>
        </w:rPr>
        <w:t xml:space="preserve">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ins w:id="18" w:author="Maria Hamilton" w:date="2015-09-16T11:23:00Z">
        <w:r w:rsidR="000A3BF8">
          <w:rPr>
            <w:rFonts w:cs="Times New Roman"/>
          </w:rPr>
          <w:t>The absence of a correlation between TLC division rate and abundance</w:t>
        </w:r>
      </w:ins>
      <w:ins w:id="19" w:author="Maria Hamilton" w:date="2015-09-16T11:24:00Z">
        <w:r w:rsidR="000A3BF8">
          <w:rPr>
            <w:rFonts w:cs="Times New Roman"/>
          </w:rPr>
          <w:t xml:space="preserve"> </w:t>
        </w:r>
      </w:ins>
      <w:ins w:id="20" w:author="Maria Hamilton" w:date="2015-09-16T11:35:00Z">
        <w:r w:rsidR="00DB4DBA">
          <w:rPr>
            <w:rFonts w:cs="Times New Roman"/>
          </w:rPr>
          <w:t xml:space="preserve">(data not shown) </w:t>
        </w:r>
      </w:ins>
      <w:ins w:id="21" w:author="Maria Hamilton" w:date="2015-09-16T11:24:00Z">
        <w:r w:rsidR="000A3BF8">
          <w:rPr>
            <w:rFonts w:cs="Times New Roman"/>
          </w:rPr>
          <w:t xml:space="preserve">similarly suggest that these physical processes </w:t>
        </w:r>
      </w:ins>
      <w:ins w:id="22" w:author="Maria Hamilton" w:date="2015-09-16T11:28:00Z">
        <w:r w:rsidR="000A3BF8">
          <w:rPr>
            <w:rFonts w:cs="Times New Roman"/>
          </w:rPr>
          <w:t>play a key role in determining the distribution of TLC abundanc</w:t>
        </w:r>
        <w:bookmarkStart w:id="23" w:name="_GoBack"/>
        <w:bookmarkEnd w:id="23"/>
        <w:r w:rsidR="000A3BF8">
          <w:rPr>
            <w:rFonts w:cs="Times New Roman"/>
          </w:rPr>
          <w:t xml:space="preserve">es. </w:t>
        </w:r>
      </w:ins>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proofErr w:type="spellStart"/>
      <w:r w:rsidR="00903232" w:rsidRPr="00FC5E5F">
        <w:rPr>
          <w:rFonts w:cs="Times New Roman"/>
          <w:i/>
        </w:rPr>
        <w:t>Teleaulax</w:t>
      </w:r>
      <w:proofErr w:type="spellEnd"/>
      <w:r w:rsidR="00903232" w:rsidRPr="00FC5E5F">
        <w:rPr>
          <w:rFonts w:cs="Times New Roman"/>
          <w:i/>
        </w:rPr>
        <w:t xml:space="preserve"> </w:t>
      </w:r>
      <w:proofErr w:type="spellStart"/>
      <w:r w:rsidR="00903232" w:rsidRPr="00FC5E5F">
        <w:rPr>
          <w:rFonts w:cs="Times New Roman"/>
          <w:i/>
        </w:rPr>
        <w:t>amphioexa</w:t>
      </w:r>
      <w:proofErr w:type="spellEnd"/>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proofErr w:type="spellStart"/>
      <w:r w:rsidR="00796F1C">
        <w:rPr>
          <w:rFonts w:cs="Times New Roman"/>
        </w:rPr>
        <w:t>Nishitani</w:t>
      </w:r>
      <w:proofErr w:type="spellEnd"/>
      <w:r w:rsidR="00796F1C">
        <w:rPr>
          <w:rFonts w:cs="Times New Roman"/>
        </w:rPr>
        <w:t xml:space="preserve"> et al. 2008; </w:t>
      </w:r>
      <w:r w:rsidR="00592E3B">
        <w:rPr>
          <w:rFonts w:cs="Times New Roman"/>
        </w:rPr>
        <w:t xml:space="preserve">Berge et al. 2010; </w:t>
      </w:r>
      <w:proofErr w:type="spellStart"/>
      <w:r w:rsidR="00903232">
        <w:rPr>
          <w:rFonts w:cs="Times New Roman"/>
        </w:rPr>
        <w:t>Rial</w:t>
      </w:r>
      <w:proofErr w:type="spellEnd"/>
      <w:r w:rsidR="00903232">
        <w:rPr>
          <w:rFonts w:cs="Times New Roman"/>
        </w:rPr>
        <w:t xml:space="preserve">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262DCCAC"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w:t>
      </w:r>
      <w:proofErr w:type="spellStart"/>
      <w:r w:rsidRPr="00FC5E5F">
        <w:rPr>
          <w:rFonts w:cs="Times New Roman"/>
        </w:rPr>
        <w:t>Herfort</w:t>
      </w:r>
      <w:proofErr w:type="spellEnd"/>
      <w:r w:rsidRPr="00FC5E5F">
        <w:rPr>
          <w:rFonts w:cs="Times New Roman"/>
        </w:rPr>
        <w:t xml:space="preserve">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proofErr w:type="spellStart"/>
      <w:r w:rsidRPr="00FC5E5F">
        <w:rPr>
          <w:rFonts w:cs="Times New Roman"/>
          <w:i/>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 xml:space="preserve">thetic machinery of </w:t>
      </w:r>
      <w:proofErr w:type="spellStart"/>
      <w:r>
        <w:rPr>
          <w:rFonts w:cs="Times New Roman"/>
        </w:rPr>
        <w:t>cryptophyte</w:t>
      </w:r>
      <w:ins w:id="24" w:author="Maria Hamilton" w:date="2015-09-13T17:44:00Z">
        <w:r w:rsidR="00591994">
          <w:rPr>
            <w:rFonts w:cs="Times New Roman"/>
          </w:rPr>
          <w:t>s</w:t>
        </w:r>
      </w:ins>
      <w:proofErr w:type="spellEnd"/>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of TLC was unexpected</w:t>
      </w:r>
      <w:ins w:id="25" w:author="Maria Hamilton" w:date="2015-09-13T17:45:00Z">
        <w:r w:rsidR="00591994">
          <w:rPr>
            <w:rFonts w:cs="Times New Roman"/>
          </w:rPr>
          <w:t>,</w:t>
        </w:r>
      </w:ins>
      <w:r w:rsidR="0055687E">
        <w:rPr>
          <w:rFonts w:cs="Times New Roman"/>
        </w:rPr>
        <w:t xml:space="preserve"> considering that a previous study has shown that the growth of </w:t>
      </w:r>
      <w:proofErr w:type="spellStart"/>
      <w:r w:rsidR="0055687E" w:rsidRPr="00FC5E5F">
        <w:rPr>
          <w:rFonts w:cs="Times New Roman"/>
          <w:i/>
        </w:rPr>
        <w:t>Teleaulax</w:t>
      </w:r>
      <w:proofErr w:type="spellEnd"/>
      <w:r w:rsidR="0055687E" w:rsidRPr="00FC5E5F">
        <w:rPr>
          <w:rFonts w:cs="Times New Roman"/>
          <w:i/>
        </w:rPr>
        <w:t xml:space="preserve"> </w:t>
      </w:r>
      <w:proofErr w:type="spellStart"/>
      <w:r w:rsidR="0055687E" w:rsidRPr="00FC5E5F">
        <w:rPr>
          <w:rFonts w:cs="Times New Roman"/>
          <w:i/>
        </w:rPr>
        <w:t>amphioexa</w:t>
      </w:r>
      <w:proofErr w:type="spellEnd"/>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w:t>
      </w:r>
      <w:proofErr w:type="spellStart"/>
      <w:r w:rsidR="00850842">
        <w:rPr>
          <w:rFonts w:cs="Times New Roman"/>
        </w:rPr>
        <w:t>pH.</w:t>
      </w:r>
      <w:proofErr w:type="spellEnd"/>
      <w:r w:rsidR="00850842">
        <w:rPr>
          <w:rFonts w:cs="Times New Roman"/>
        </w:rPr>
        <w:t xml:space="preserve">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ins w:id="26" w:author="Maria Hamilton" w:date="2015-09-14T12:24:00Z">
        <w:r w:rsidR="00AF75E0">
          <w:rPr>
            <w:rFonts w:cs="Times New Roman"/>
          </w:rPr>
          <w:t>concentrations</w:t>
        </w:r>
      </w:ins>
      <w:r w:rsidR="00472585">
        <w:rPr>
          <w:rFonts w:cs="Times New Roman"/>
        </w:rPr>
        <w:t xml:space="preserve">. These results suggest that elevated pH reduced the availability of DIN, whose concentrations became the dominant factor limiting the growth of </w:t>
      </w:r>
      <w:proofErr w:type="spellStart"/>
      <w:r w:rsidR="00472585" w:rsidRPr="00FC5E5F">
        <w:rPr>
          <w:rFonts w:cs="Times New Roman"/>
          <w:i/>
        </w:rPr>
        <w:t>Teleaulax</w:t>
      </w:r>
      <w:proofErr w:type="spellEnd"/>
      <w:r w:rsidR="00472585" w:rsidRPr="00FC5E5F">
        <w:rPr>
          <w:rFonts w:cs="Times New Roman"/>
          <w:i/>
        </w:rPr>
        <w:t xml:space="preserve"> </w:t>
      </w:r>
      <w:proofErr w:type="spellStart"/>
      <w:r w:rsidR="00472585" w:rsidRPr="00FC5E5F">
        <w:rPr>
          <w:rFonts w:cs="Times New Roman"/>
          <w:i/>
        </w:rPr>
        <w:t>amphioexa</w:t>
      </w:r>
      <w:proofErr w:type="spellEnd"/>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572A41D1"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sidRPr="00BD2C01">
        <w:rPr>
          <w:rFonts w:cs="Times New Roman"/>
          <w:b/>
        </w:rPr>
        <w:t xml:space="preserve"> on </w:t>
      </w:r>
      <w:r w:rsidRPr="00BD2C01">
        <w:rPr>
          <w:rFonts w:cs="Times New Roman"/>
          <w:b/>
          <w:i/>
        </w:rPr>
        <w:t xml:space="preserve">M. </w:t>
      </w:r>
      <w:ins w:id="27" w:author="Maria Hamilton" w:date="2015-09-13T17:47:00Z">
        <w:r w:rsidR="00591994">
          <w:rPr>
            <w:rFonts w:cs="Times New Roman"/>
            <w:b/>
            <w:i/>
          </w:rPr>
          <w:t>major</w:t>
        </w:r>
      </w:ins>
      <w:r w:rsidR="0012451E">
        <w:rPr>
          <w:rFonts w:cs="Times New Roman"/>
          <w:b/>
        </w:rPr>
        <w:t xml:space="preserve"> abundances during the surve</w:t>
      </w:r>
      <w:ins w:id="28" w:author="Maria Hamilton" w:date="2015-09-13T17:47:00Z">
        <w:r w:rsidR="00591994">
          <w:rPr>
            <w:rFonts w:cs="Times New Roman"/>
            <w:b/>
          </w:rPr>
          <w:t>y</w:t>
        </w:r>
      </w:ins>
      <w:r w:rsidR="00FE166D" w:rsidRPr="00FC5E5F">
        <w:rPr>
          <w:rFonts w:cs="Times New Roman"/>
        </w:rPr>
        <w:tab/>
        <w:t xml:space="preserve"> </w:t>
      </w:r>
    </w:p>
    <w:p w14:paraId="0F24B2F8" w14:textId="00C4912C" w:rsidR="00F51FF4" w:rsidRDefault="0012451E" w:rsidP="00FC5E5F">
      <w:pPr>
        <w:spacing w:line="480" w:lineRule="auto"/>
        <w:rPr>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proofErr w:type="spellStart"/>
      <w:r w:rsidR="00F51FF4" w:rsidRPr="00F51FF4">
        <w:rPr>
          <w:rFonts w:cs="Times New Roman"/>
          <w:i/>
        </w:rPr>
        <w:t>Teleaulax</w:t>
      </w:r>
      <w:proofErr w:type="spellEnd"/>
      <w:r w:rsidR="00F51FF4" w:rsidRPr="00F51FF4">
        <w:rPr>
          <w:rFonts w:cs="Times New Roman"/>
        </w:rPr>
        <w:t xml:space="preserve">-like </w:t>
      </w:r>
      <w:proofErr w:type="spellStart"/>
      <w:r w:rsidR="00F51FF4" w:rsidRPr="00F51FF4">
        <w:rPr>
          <w:rFonts w:cs="Times New Roman"/>
        </w:rPr>
        <w:t>cryptophyte</w:t>
      </w:r>
      <w:proofErr w:type="spellEnd"/>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ins w:id="29" w:author="Maria Hamilton" w:date="2015-09-13T17:47:00Z">
        <w:r w:rsidR="00591994">
          <w:rPr>
            <w:rFonts w:cs="Times New Roman"/>
            <w:i/>
          </w:rPr>
          <w:t>major</w:t>
        </w:r>
      </w:ins>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 xml:space="preserve">M. </w:t>
      </w:r>
      <w:proofErr w:type="spellStart"/>
      <w:r w:rsidR="00F51FF4" w:rsidRPr="00F51FF4">
        <w:rPr>
          <w:rFonts w:eastAsia="Calibri" w:cs="Times New Roman"/>
          <w:i/>
        </w:rPr>
        <w:t>rubr</w:t>
      </w:r>
      <w:ins w:id="30" w:author="Maria Hamilton" w:date="2015-09-16T10:18:00Z">
        <w:r w:rsidR="00AD0BB6">
          <w:rPr>
            <w:rFonts w:eastAsia="Calibri" w:cs="Times New Roman"/>
            <w:i/>
          </w:rPr>
          <w:t>um</w:t>
        </w:r>
      </w:ins>
      <w:proofErr w:type="spellEnd"/>
      <w:r w:rsidR="00F51FF4">
        <w:rPr>
          <w:rFonts w:eastAsia="Calibri" w:cs="Times New Roman"/>
        </w:rPr>
        <w:t xml:space="preserve"> </w:t>
      </w:r>
      <w:r w:rsidR="00F51FF4" w:rsidRPr="00FC5E5F">
        <w:rPr>
          <w:rFonts w:eastAsia="Calibri" w:cs="Times New Roman"/>
        </w:rPr>
        <w:t>(</w:t>
      </w:r>
      <w:proofErr w:type="spellStart"/>
      <w:r w:rsidR="00F51FF4" w:rsidRPr="00FC5E5F">
        <w:rPr>
          <w:rFonts w:eastAsia="Calibri" w:cs="Times New Roman"/>
        </w:rPr>
        <w:t>Yih</w:t>
      </w:r>
      <w:proofErr w:type="spellEnd"/>
      <w:r w:rsidR="00F51FF4" w:rsidRPr="00FC5E5F">
        <w:rPr>
          <w:rFonts w:eastAsia="Calibri" w:cs="Times New Roman"/>
        </w:rPr>
        <w:t xml:space="preserve"> et al., 2004; Hansen and </w:t>
      </w:r>
      <w:proofErr w:type="spellStart"/>
      <w:r w:rsidR="00F51FF4" w:rsidRPr="00FC5E5F">
        <w:rPr>
          <w:rFonts w:eastAsia="Calibri" w:cs="Times New Roman"/>
        </w:rPr>
        <w:t>Fenchel</w:t>
      </w:r>
      <w:proofErr w:type="spellEnd"/>
      <w:r w:rsidR="00F51FF4" w:rsidRPr="00FC5E5F">
        <w:rPr>
          <w:rFonts w:eastAsia="Calibri" w:cs="Times New Roman"/>
        </w:rPr>
        <w:t>, 2006)</w:t>
      </w:r>
      <w:r w:rsidR="00F51FF4">
        <w:rPr>
          <w:rFonts w:eastAsia="Calibri" w:cs="Times New Roman"/>
        </w:rPr>
        <w:t>, our result suggest that abundances of</w:t>
      </w:r>
      <w:ins w:id="31" w:author="Maria Hamilton" w:date="2015-09-13T18:18:00Z">
        <w:r w:rsidR="00FB0840">
          <w:rPr>
            <w:rFonts w:eastAsia="Calibri" w:cs="Times New Roman"/>
          </w:rPr>
          <w:t xml:space="preserve"> free-living</w:t>
        </w:r>
      </w:ins>
      <w:r w:rsidR="00F51FF4">
        <w:rPr>
          <w:rFonts w:eastAsia="Calibri" w:cs="Times New Roman"/>
        </w:rPr>
        <w:t xml:space="preserve"> </w:t>
      </w:r>
      <w:r w:rsidR="00F51FF4" w:rsidRPr="00FC5E5F">
        <w:rPr>
          <w:rFonts w:cs="Times New Roman"/>
          <w:i/>
          <w:iCs/>
        </w:rPr>
        <w:t xml:space="preserve">T. </w:t>
      </w:r>
      <w:proofErr w:type="spellStart"/>
      <w:r w:rsidR="00F51FF4" w:rsidRPr="00FC5E5F">
        <w:rPr>
          <w:rFonts w:cs="Times New Roman"/>
          <w:i/>
          <w:iCs/>
        </w:rPr>
        <w:t>amphioexa</w:t>
      </w:r>
      <w:proofErr w:type="spellEnd"/>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 xml:space="preserve">M. </w:t>
      </w:r>
      <w:ins w:id="32" w:author="Maria Hamilton" w:date="2015-09-13T17:48:00Z">
        <w:r w:rsidR="00591994">
          <w:rPr>
            <w:rFonts w:cs="Times New Roman"/>
            <w:i/>
          </w:rPr>
          <w:t>major</w:t>
        </w:r>
      </w:ins>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ins w:id="33" w:author="Maria Hamilton" w:date="2015-09-13T18:15:00Z">
        <w:r w:rsidR="00FB0840">
          <w:rPr>
            <w:rFonts w:eastAsia="Calibri" w:cs="Times New Roman"/>
          </w:rPr>
          <w:t xml:space="preserve">the </w:t>
        </w:r>
      </w:ins>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ins w:id="34" w:author="Maria Hamilton" w:date="2015-09-13T18:15:00Z">
        <w:r w:rsidR="00FB0840">
          <w:rPr>
            <w:rFonts w:eastAsia="Calibri" w:cs="Times New Roman"/>
            <w:i/>
            <w:iCs/>
          </w:rPr>
          <w:t xml:space="preserve"> </w:t>
        </w:r>
        <w:r w:rsidR="00FB0840">
          <w:rPr>
            <w:rFonts w:eastAsia="Calibri" w:cs="Times New Roman"/>
            <w:iCs/>
          </w:rPr>
          <w:t>28S</w:t>
        </w:r>
      </w:ins>
      <w:ins w:id="35" w:author="Maria Hamilton" w:date="2015-09-13T18:16:00Z">
        <w:r w:rsidR="00FB0840">
          <w:rPr>
            <w:rFonts w:eastAsia="Calibri" w:cs="Times New Roman"/>
            <w:iCs/>
          </w:rPr>
          <w:t xml:space="preserve"> DNA</w:t>
        </w:r>
      </w:ins>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cells were observed</w:t>
      </w:r>
      <w:ins w:id="36" w:author="Maria Hamilton" w:date="2015-09-13T18:21:00Z">
        <w:r w:rsidR="00FB0840">
          <w:rPr>
            <w:rFonts w:eastAsia="Calibri" w:cs="Times New Roman"/>
          </w:rPr>
          <w:t xml:space="preserve"> either</w:t>
        </w:r>
      </w:ins>
      <w:r w:rsidR="00F51FF4">
        <w:rPr>
          <w:rFonts w:eastAsia="Calibri" w:cs="Times New Roman"/>
        </w:rPr>
        <w:t xml:space="preserve"> </w:t>
      </w:r>
      <w:r w:rsidR="00F51FF4" w:rsidRPr="00FC5E5F">
        <w:rPr>
          <w:rFonts w:eastAsia="Calibri" w:cs="Times New Roman"/>
        </w:rPr>
        <w:t>within</w:t>
      </w:r>
      <w:ins w:id="37" w:author="Maria Hamilton" w:date="2015-09-13T18:14:00Z">
        <w:r w:rsidR="00FB0840">
          <w:rPr>
            <w:rFonts w:eastAsia="Calibri" w:cs="Times New Roman"/>
          </w:rPr>
          <w:t xml:space="preserve"> or attached to</w:t>
        </w:r>
      </w:ins>
      <w:r w:rsidR="00F51FF4" w:rsidRPr="00FC5E5F">
        <w:rPr>
          <w:rFonts w:eastAsia="Calibri" w:cs="Times New Roman"/>
        </w:rPr>
        <w:t xml:space="preserve">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 xml:space="preserve">Peter </w:t>
      </w:r>
      <w:proofErr w:type="spellStart"/>
      <w:r w:rsidR="00F51FF4">
        <w:rPr>
          <w:rFonts w:eastAsia="Calibri" w:cs="Times New Roman"/>
        </w:rPr>
        <w:t>Zuber</w:t>
      </w:r>
      <w:proofErr w:type="spellEnd"/>
      <w:r w:rsidR="00F51FF4">
        <w:rPr>
          <w:rFonts w:eastAsia="Calibri" w:cs="Times New Roman"/>
        </w:rPr>
        <w:t>, personal communication</w:t>
      </w:r>
      <w:r w:rsidR="00F51FF4" w:rsidRPr="00FC5E5F">
        <w:rPr>
          <w:rFonts w:eastAsia="Calibri" w:cs="Times New Roman"/>
        </w:rPr>
        <w:t>)</w:t>
      </w:r>
      <w:ins w:id="38" w:author="Maria Hamilton" w:date="2015-09-13T18:17:00Z">
        <w:r w:rsidR="00FB0840">
          <w:rPr>
            <w:rFonts w:eastAsia="Calibri" w:cs="Times New Roman"/>
          </w:rPr>
          <w:t xml:space="preserve">. This </w:t>
        </w:r>
      </w:ins>
      <w:ins w:id="39" w:author="Maria Hamilton" w:date="2015-09-13T18:19:00Z">
        <w:r w:rsidR="00FB0840">
          <w:rPr>
            <w:rFonts w:eastAsia="Calibri" w:cs="Times New Roman"/>
          </w:rPr>
          <w:t>finding</w:t>
        </w:r>
      </w:ins>
      <w:ins w:id="40" w:author="Maria Hamilton" w:date="2015-09-13T18:18:00Z">
        <w:r w:rsidR="00FB0840">
          <w:rPr>
            <w:rFonts w:eastAsia="Calibri" w:cs="Times New Roman"/>
          </w:rPr>
          <w:t xml:space="preserve"> </w:t>
        </w:r>
      </w:ins>
      <w:ins w:id="41" w:author="Maria Hamilton" w:date="2015-09-13T18:17:00Z">
        <w:r w:rsidR="00FB0840">
          <w:rPr>
            <w:rFonts w:eastAsia="Calibri" w:cs="Times New Roman"/>
          </w:rPr>
          <w:t>potentially s</w:t>
        </w:r>
      </w:ins>
      <w:r w:rsidR="00F51FF4">
        <w:rPr>
          <w:rFonts w:eastAsia="Calibri" w:cs="Times New Roman"/>
        </w:rPr>
        <w:t>upport</w:t>
      </w:r>
      <w:ins w:id="42" w:author="Maria Hamilton" w:date="2015-09-13T18:17:00Z">
        <w:r w:rsidR="00FB0840">
          <w:rPr>
            <w:rFonts w:eastAsia="Calibri" w:cs="Times New Roman"/>
          </w:rPr>
          <w:t>s</w:t>
        </w:r>
      </w:ins>
      <w:r w:rsidR="00F51FF4">
        <w:rPr>
          <w:rFonts w:eastAsia="Calibri" w:cs="Times New Roman"/>
        </w:rPr>
        <w:t xml:space="preserve"> previous</w:t>
      </w:r>
      <w:ins w:id="43" w:author="Maria Hamilton" w:date="2015-09-13T17:48:00Z">
        <w:r w:rsidR="00FB0840">
          <w:rPr>
            <w:rFonts w:eastAsia="Calibri" w:cs="Times New Roman"/>
          </w:rPr>
          <w:t xml:space="preserve"> </w:t>
        </w:r>
      </w:ins>
      <w:ins w:id="44" w:author="Maria Hamilton" w:date="2015-09-13T18:20:00Z">
        <w:r w:rsidR="00FB0840">
          <w:rPr>
            <w:rFonts w:eastAsia="Calibri" w:cs="Times New Roman"/>
          </w:rPr>
          <w:t xml:space="preserve">observations of </w:t>
        </w:r>
      </w:ins>
      <w:r w:rsidR="00F51FF4" w:rsidRPr="00FC5E5F">
        <w:rPr>
          <w:rFonts w:cs="Times New Roman"/>
          <w:i/>
          <w:iCs/>
        </w:rPr>
        <w:t>M. major</w:t>
      </w:r>
      <w:r w:rsidR="00F51FF4">
        <w:rPr>
          <w:rFonts w:cs="Times New Roman"/>
        </w:rPr>
        <w:t xml:space="preserve"> during red water blooms in the CRE</w:t>
      </w:r>
      <w:ins w:id="45" w:author="Maria Hamilton" w:date="2015-09-13T18:21:00Z">
        <w:r w:rsidR="00FB0840">
          <w:rPr>
            <w:rFonts w:cs="Times New Roman"/>
          </w:rPr>
          <w:t xml:space="preserve"> having the ability to</w:t>
        </w:r>
      </w:ins>
      <w:r w:rsidR="00F51FF4">
        <w:rPr>
          <w:rFonts w:cs="Times New Roman"/>
        </w:rPr>
        <w:t xml:space="preserve"> </w:t>
      </w:r>
      <w:r w:rsidR="00F51FF4" w:rsidRPr="00FC5E5F">
        <w:rPr>
          <w:rFonts w:cs="Times New Roman"/>
        </w:rPr>
        <w:t>retain cryptophytes attached to the ciliate's cirri (Peterson et al., 2012)</w:t>
      </w:r>
      <w:ins w:id="46" w:author="Maria Hamilton" w:date="2015-09-13T18:19:00Z">
        <w:r w:rsidR="00FB0840">
          <w:rPr>
            <w:rFonts w:cs="Times New Roman"/>
          </w:rPr>
          <w:t xml:space="preserve">. Alternatively, </w:t>
        </w:r>
      </w:ins>
      <w:ins w:id="47" w:author="Maria Hamilton" w:date="2015-09-13T18:22:00Z">
        <w:r w:rsidR="00FB0840">
          <w:rPr>
            <w:rFonts w:cs="Times New Roman"/>
          </w:rPr>
          <w:t xml:space="preserve">it </w:t>
        </w:r>
        <w:r w:rsidR="0059444C">
          <w:rPr>
            <w:rFonts w:cs="Times New Roman"/>
          </w:rPr>
          <w:t xml:space="preserve">may be possible that the </w:t>
        </w:r>
      </w:ins>
      <w:r w:rsidR="00EA0881">
        <w:rPr>
          <w:rFonts w:cs="Times New Roman"/>
        </w:rPr>
        <w:t xml:space="preserve">ingested </w:t>
      </w:r>
      <w:r w:rsidR="00EA0881" w:rsidRPr="00FC5E5F">
        <w:rPr>
          <w:rFonts w:eastAsia="Calibri" w:cs="Times New Roman"/>
          <w:i/>
          <w:iCs/>
        </w:rPr>
        <w:t xml:space="preserve">T. </w:t>
      </w:r>
      <w:proofErr w:type="spellStart"/>
      <w:r w:rsidR="00EA0881" w:rsidRPr="00FC5E5F">
        <w:rPr>
          <w:rFonts w:eastAsia="Calibri" w:cs="Times New Roman"/>
          <w:i/>
          <w:iCs/>
        </w:rPr>
        <w:t>amphioexa</w:t>
      </w:r>
      <w:proofErr w:type="spellEnd"/>
      <w:r w:rsidR="00EA0881" w:rsidRPr="00FC5E5F">
        <w:rPr>
          <w:rFonts w:eastAsia="Calibri" w:cs="Times New Roman"/>
        </w:rPr>
        <w:t xml:space="preserve"> </w:t>
      </w:r>
      <w:r w:rsidR="00EA0881">
        <w:rPr>
          <w:rFonts w:eastAsia="Calibri" w:cs="Times New Roman"/>
        </w:rPr>
        <w:t>cells</w:t>
      </w:r>
      <w:ins w:id="48" w:author="Maria Hamilton" w:date="2015-09-13T17:49:00Z">
        <w:r w:rsidR="00550C17">
          <w:rPr>
            <w:rFonts w:eastAsia="Calibri" w:cs="Times New Roman"/>
          </w:rPr>
          <w:t xml:space="preserve"> </w:t>
        </w:r>
      </w:ins>
      <w:ins w:id="49" w:author="Maria Hamilton" w:date="2015-09-13T18:22:00Z">
        <w:r w:rsidR="0059444C">
          <w:rPr>
            <w:rFonts w:eastAsia="Calibri" w:cs="Times New Roman"/>
          </w:rPr>
          <w:t>are able to</w:t>
        </w:r>
      </w:ins>
      <w:r w:rsidR="00EA0881">
        <w:rPr>
          <w:rFonts w:eastAsia="Calibri" w:cs="Times New Roman"/>
        </w:rPr>
        <w:t xml:space="preserve"> divid</w:t>
      </w:r>
      <w:ins w:id="50" w:author="Maria Hamilton" w:date="2015-09-13T18:23:00Z">
        <w:r w:rsidR="0059444C">
          <w:rPr>
            <w:rFonts w:eastAsia="Calibri" w:cs="Times New Roman"/>
          </w:rPr>
          <w:t>e</w:t>
        </w:r>
      </w:ins>
      <w:r w:rsidR="00EA0881">
        <w:rPr>
          <w:rFonts w:eastAsia="Calibri" w:cs="Times New Roman"/>
        </w:rPr>
        <w:t xml:space="preserve"> inside the ciliate</w:t>
      </w:r>
      <w:r w:rsidR="00F51FF4" w:rsidRPr="00FC5E5F">
        <w:rPr>
          <w:rFonts w:cs="Times New Roman"/>
        </w:rPr>
        <w:t>.</w:t>
      </w:r>
      <w:ins w:id="51" w:author="Maria Hamilton" w:date="2015-09-13T17:52:00Z">
        <w:r w:rsidR="00550C17">
          <w:rPr>
            <w:rFonts w:cs="Times New Roman"/>
          </w:rPr>
          <w:t xml:space="preserve"> </w:t>
        </w:r>
      </w:ins>
      <w:ins w:id="52" w:author="Maria Hamilton" w:date="2015-09-16T10:15:00Z">
        <w:r w:rsidR="00AD0BB6">
          <w:rPr>
            <w:rFonts w:cs="Times New Roman"/>
          </w:rPr>
          <w:t xml:space="preserve">While the division of whole endosymbiont cells has not </w:t>
        </w:r>
      </w:ins>
      <w:ins w:id="53" w:author="Maria Hamilton" w:date="2015-09-16T10:56:00Z">
        <w:r w:rsidR="000F79C3">
          <w:rPr>
            <w:rFonts w:cs="Times New Roman"/>
          </w:rPr>
          <w:t xml:space="preserve">yet </w:t>
        </w:r>
      </w:ins>
      <w:ins w:id="54" w:author="Maria Hamilton" w:date="2015-09-16T10:15:00Z">
        <w:r w:rsidR="00AD0BB6">
          <w:rPr>
            <w:rFonts w:cs="Times New Roman"/>
          </w:rPr>
          <w:t xml:space="preserve">been demonstrated in culture for </w:t>
        </w:r>
        <w:r w:rsidR="00AD0BB6" w:rsidRPr="00293040">
          <w:rPr>
            <w:rFonts w:cs="Times New Roman"/>
            <w:i/>
          </w:rPr>
          <w:t xml:space="preserve">M. </w:t>
        </w:r>
        <w:proofErr w:type="spellStart"/>
        <w:r w:rsidR="00AD0BB6" w:rsidRPr="00293040">
          <w:rPr>
            <w:rFonts w:cs="Times New Roman"/>
            <w:i/>
          </w:rPr>
          <w:t>rubrum</w:t>
        </w:r>
      </w:ins>
      <w:proofErr w:type="spellEnd"/>
      <w:ins w:id="55" w:author="Maria Hamilton" w:date="2015-09-16T10:18:00Z">
        <w:r w:rsidR="00AD0BB6">
          <w:rPr>
            <w:rFonts w:cs="Times New Roman"/>
          </w:rPr>
          <w:t xml:space="preserve">, </w:t>
        </w:r>
      </w:ins>
      <w:ins w:id="56" w:author="Maria Hamilton" w:date="2015-09-16T10:56:00Z">
        <w:r w:rsidR="000F79C3">
          <w:rPr>
            <w:rFonts w:cs="Times New Roman"/>
          </w:rPr>
          <w:t>it has been observed in other single-celled endosymbiont-baring organisms (</w:t>
        </w:r>
      </w:ins>
      <w:ins w:id="57" w:author="Maria Hamilton" w:date="2015-09-16T11:01:00Z">
        <w:r w:rsidR="00293040">
          <w:rPr>
            <w:rFonts w:cs="Times New Roman"/>
          </w:rPr>
          <w:t xml:space="preserve">Kodama and </w:t>
        </w:r>
        <w:proofErr w:type="spellStart"/>
        <w:r w:rsidR="00293040">
          <w:rPr>
            <w:rFonts w:cs="Times New Roman"/>
          </w:rPr>
          <w:t>Fujishima</w:t>
        </w:r>
        <w:proofErr w:type="spellEnd"/>
        <w:r w:rsidR="000F79C3">
          <w:rPr>
            <w:rFonts w:cs="Times New Roman"/>
          </w:rPr>
          <w:t>, 2009</w:t>
        </w:r>
        <w:r w:rsidR="00293040">
          <w:rPr>
            <w:rFonts w:cs="Times New Roman"/>
          </w:rPr>
          <w:t xml:space="preserve">; </w:t>
        </w:r>
      </w:ins>
      <w:ins w:id="58" w:author="Maria Hamilton" w:date="2015-09-16T10:56:00Z">
        <w:r w:rsidR="000F79C3">
          <w:rPr>
            <w:rFonts w:cs="Times New Roman"/>
          </w:rPr>
          <w:t>Johnson, 2011</w:t>
        </w:r>
      </w:ins>
      <w:ins w:id="59" w:author="Maria Hamilton" w:date="2015-09-16T11:01:00Z">
        <w:r w:rsidR="00293040">
          <w:rPr>
            <w:rFonts w:cs="Times New Roman"/>
          </w:rPr>
          <w:t>)</w:t>
        </w:r>
      </w:ins>
      <w:ins w:id="60" w:author="Maria Hamilton" w:date="2015-09-16T11:03:00Z">
        <w:r w:rsidR="00A91213">
          <w:rPr>
            <w:rFonts w:cs="Times New Roman"/>
          </w:rPr>
          <w:t xml:space="preserve">. </w:t>
        </w:r>
      </w:ins>
    </w:p>
    <w:p w14:paraId="53476C12" w14:textId="77777777" w:rsidR="00EA0881" w:rsidRDefault="00EA0881" w:rsidP="00FC5E5F">
      <w:pPr>
        <w:spacing w:line="480" w:lineRule="auto"/>
        <w:rPr>
          <w:rFonts w:cs="Times New Roman"/>
        </w:rPr>
      </w:pPr>
      <w:r>
        <w:rPr>
          <w:rFonts w:cs="Times New Roman"/>
        </w:rPr>
        <w:t xml:space="preserve">MORE TO COME. </w:t>
      </w:r>
    </w:p>
    <w:p w14:paraId="1828BDD5" w14:textId="0F7531AE" w:rsidR="00F34B51" w:rsidRDefault="00EA0881" w:rsidP="00FC5E5F">
      <w:pPr>
        <w:spacing w:line="480" w:lineRule="auto"/>
        <w:rPr>
          <w:ins w:id="61" w:author="Maria Hamilton" w:date="2015-09-14T11:45:00Z"/>
          <w:rFonts w:cs="Times New Roman"/>
        </w:rPr>
      </w:pPr>
      <w:r>
        <w:rPr>
          <w:rFonts w:cs="Times New Roman"/>
          <w:highlight w:val="yellow"/>
        </w:rPr>
        <w:t>*** THIS IS WHERE I STOPPED TODAY ***</w:t>
      </w:r>
    </w:p>
    <w:p w14:paraId="26B6DCD7" w14:textId="77777777" w:rsidR="00365513" w:rsidRDefault="00365513" w:rsidP="00FC5E5F">
      <w:pPr>
        <w:spacing w:line="480" w:lineRule="auto"/>
        <w:rPr>
          <w:ins w:id="62" w:author="Maria Hamilton" w:date="2015-09-14T11:45:00Z"/>
          <w:rFonts w:cs="Times New Roman"/>
        </w:rPr>
      </w:pPr>
    </w:p>
    <w:p w14:paraId="74279352" w14:textId="036C5F59" w:rsidR="00365513" w:rsidRDefault="00365513" w:rsidP="00FC5E5F">
      <w:pPr>
        <w:spacing w:line="480" w:lineRule="auto"/>
        <w:rPr>
          <w:ins w:id="63" w:author="Maria Hamilton" w:date="2015-09-14T11:45:00Z"/>
          <w:rFonts w:cs="Times New Roman"/>
        </w:rPr>
      </w:pPr>
      <w:ins w:id="64" w:author="Maria Hamilton" w:date="2015-09-14T11:45:00Z">
        <w:r>
          <w:rPr>
            <w:rFonts w:cs="Times New Roman"/>
          </w:rPr>
          <w:t>TO INCLUDE (?):</w:t>
        </w:r>
      </w:ins>
    </w:p>
    <w:p w14:paraId="46833830" w14:textId="75703CEF" w:rsidR="00365513" w:rsidRDefault="00365513" w:rsidP="00FC5E5F">
      <w:pPr>
        <w:spacing w:line="480" w:lineRule="auto"/>
        <w:rPr>
          <w:ins w:id="65" w:author="Maria Hamilton" w:date="2015-09-14T11:47:00Z"/>
          <w:rFonts w:cs="Times New Roman"/>
        </w:rPr>
      </w:pPr>
      <w:ins w:id="66" w:author="Maria Hamilton" w:date="2015-09-14T11:46:00Z">
        <w:r>
          <w:rPr>
            <w:rFonts w:cs="Times New Roman"/>
          </w:rPr>
          <w:t xml:space="preserve">-lack of correlation between TLC division rates and </w:t>
        </w:r>
      </w:ins>
      <w:ins w:id="67" w:author="Maria Hamilton" w:date="2015-09-14T11:47:00Z">
        <w:r w:rsidRPr="00365513">
          <w:rPr>
            <w:rFonts w:cs="Times New Roman"/>
            <w:i/>
          </w:rPr>
          <w:t>M. major</w:t>
        </w:r>
        <w:r>
          <w:rPr>
            <w:rFonts w:cs="Times New Roman"/>
          </w:rPr>
          <w:t xml:space="preserve"> abundance (also in results?)</w:t>
        </w:r>
      </w:ins>
    </w:p>
    <w:p w14:paraId="5D072055" w14:textId="25EDFE19" w:rsidR="00365513" w:rsidRDefault="00365513" w:rsidP="00FC5E5F">
      <w:pPr>
        <w:spacing w:line="480" w:lineRule="auto"/>
        <w:rPr>
          <w:ins w:id="68" w:author="Maria Hamilton" w:date="2015-09-14T11:47:00Z"/>
          <w:rFonts w:cs="Times New Roman"/>
        </w:rPr>
      </w:pPr>
      <w:ins w:id="69" w:author="Maria Hamilton" w:date="2015-09-14T11:47:00Z">
        <w:r>
          <w:rPr>
            <w:rFonts w:cs="Times New Roman"/>
          </w:rPr>
          <w:t xml:space="preserve">- potential explanations for the two points above </w:t>
        </w:r>
      </w:ins>
    </w:p>
    <w:p w14:paraId="6415731D" w14:textId="57D5D639" w:rsidR="00365513" w:rsidRDefault="00365513" w:rsidP="00FC5E5F">
      <w:pPr>
        <w:spacing w:line="480" w:lineRule="auto"/>
        <w:rPr>
          <w:ins w:id="70" w:author="Maria Hamilton" w:date="2015-09-14T12:20:00Z"/>
          <w:rFonts w:cs="Times New Roman"/>
        </w:rPr>
      </w:pPr>
      <w:ins w:id="71" w:author="Maria Hamilton" w:date="2015-09-14T11:48:00Z">
        <w:r>
          <w:rPr>
            <w:rFonts w:cs="Times New Roman"/>
          </w:rPr>
          <w:t>-limitations of the model</w:t>
        </w:r>
        <w:r w:rsidR="00701F55">
          <w:rPr>
            <w:rFonts w:cs="Times New Roman"/>
          </w:rPr>
          <w:t xml:space="preserve"> </w:t>
        </w:r>
      </w:ins>
    </w:p>
    <w:p w14:paraId="5792D498" w14:textId="28502840" w:rsidR="0008444B" w:rsidRPr="00FE75DC" w:rsidRDefault="0008444B" w:rsidP="00FC5E5F">
      <w:pPr>
        <w:spacing w:line="480" w:lineRule="auto"/>
        <w:rPr>
          <w:rFonts w:cs="Times New Roman"/>
        </w:rPr>
      </w:pPr>
      <w:ins w:id="72" w:author="Maria Hamilton" w:date="2015-09-14T12:20:00Z">
        <w:r>
          <w:rPr>
            <w:rFonts w:cs="Times New Roman"/>
          </w:rPr>
          <w:t xml:space="preserve">- </w:t>
        </w:r>
      </w:ins>
      <w:ins w:id="73" w:author="Maria Hamilton" w:date="2015-09-14T12:24:00Z">
        <w:r w:rsidR="00AF75E0">
          <w:rPr>
            <w:rFonts w:cs="Times New Roman"/>
          </w:rPr>
          <w:t>discussion of</w:t>
        </w:r>
      </w:ins>
      <w:ins w:id="74" w:author="Maria Hamilton" w:date="2015-09-14T12:20:00Z">
        <w:r>
          <w:rPr>
            <w:rFonts w:cs="Times New Roman"/>
          </w:rPr>
          <w:t xml:space="preserve"> </w:t>
        </w:r>
        <w:proofErr w:type="spellStart"/>
        <w:r>
          <w:rPr>
            <w:rFonts w:cs="Times New Roman"/>
          </w:rPr>
          <w:t>cryptophyte</w:t>
        </w:r>
        <w:proofErr w:type="spellEnd"/>
        <w:r>
          <w:rPr>
            <w:rFonts w:cs="Times New Roman"/>
          </w:rPr>
          <w:t xml:space="preserve"> community composition </w:t>
        </w:r>
      </w:ins>
    </w:p>
    <w:p w14:paraId="6E0759D6" w14:textId="77777777" w:rsidR="00F34B51" w:rsidRPr="00FE75DC" w:rsidRDefault="00F34B51"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w:t>
      </w:r>
      <w:proofErr w:type="spellStart"/>
      <w:r w:rsidR="00BD2C01">
        <w:rPr>
          <w:rFonts w:cs="Times New Roman"/>
        </w:rPr>
        <w:t>ecophysiology</w:t>
      </w:r>
      <w:proofErr w:type="spellEnd"/>
      <w:r w:rsidR="00BD2C01">
        <w:rPr>
          <w:rFonts w:cs="Times New Roman"/>
        </w:rPr>
        <w:t xml:space="preserve"> of </w:t>
      </w:r>
      <w:proofErr w:type="spellStart"/>
      <w:r w:rsidR="00BD2C01" w:rsidRPr="00BD2C01">
        <w:rPr>
          <w:rFonts w:cs="Times New Roman"/>
          <w:i/>
        </w:rPr>
        <w:t>Teleaulax</w:t>
      </w:r>
      <w:proofErr w:type="spellEnd"/>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Fig. 1</w:t>
      </w:r>
      <w:r w:rsidRPr="00FC5E5F">
        <w:rPr>
          <w:rFonts w:cs="Times New Roman"/>
        </w:rPr>
        <w:t xml:space="preserve">  Map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A) Salinity (</w:t>
      </w:r>
      <w:proofErr w:type="spellStart"/>
      <w:r w:rsidR="003519E7">
        <w:rPr>
          <w:rFonts w:cs="Times New Roman"/>
        </w:rPr>
        <w:t>psu</w:t>
      </w:r>
      <w:proofErr w:type="spellEnd"/>
      <w:r w:rsidR="003519E7">
        <w:rPr>
          <w:rFonts w:cs="Times New Roman"/>
        </w:rPr>
        <w:t xml:space="preserve">, black line) and </w:t>
      </w:r>
      <w:r w:rsidRPr="00FC5E5F">
        <w:rPr>
          <w:rFonts w:cs="Times New Roman"/>
        </w:rPr>
        <w:t xml:space="preserve"> temperature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49CB60C8"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2C9E880B"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w:t>
      </w:r>
      <w:r w:rsidR="00137B76">
        <w:rPr>
          <w:rFonts w:cs="Times New Roman"/>
        </w:rPr>
        <w:t>, D) pH,</w:t>
      </w:r>
      <w:r w:rsidR="00B6644D">
        <w:rPr>
          <w:rFonts w:cs="Times New Roman"/>
        </w:rPr>
        <w:t xml:space="preserve"> </w:t>
      </w:r>
      <w:r w:rsidR="006F19EC">
        <w:rPr>
          <w:rFonts w:cs="Times New Roman"/>
        </w:rPr>
        <w:t xml:space="preserve">and concentrations of </w:t>
      </w:r>
      <w:r w:rsidR="00137B76">
        <w:rPr>
          <w:rFonts w:cs="Times New Roman"/>
        </w:rPr>
        <w:t>E</w:t>
      </w:r>
      <w:r w:rsidR="006F19EC">
        <w:rPr>
          <w:rFonts w:cs="Times New Roman"/>
        </w:rPr>
        <w:t xml:space="preserve">) dissolved inorganic </w:t>
      </w:r>
      <w:r w:rsidR="00B6644D">
        <w:rPr>
          <w:rFonts w:cs="Times New Roman"/>
        </w:rPr>
        <w:t xml:space="preserve">nitrogen (DIN, µM) and </w:t>
      </w:r>
      <w:r w:rsidR="00137B76">
        <w:rPr>
          <w:rFonts w:cs="Times New Roman"/>
        </w:rPr>
        <w:t>F</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w:t>
      </w:r>
      <w:r w:rsidR="00996FCD">
        <w:rPr>
          <w:rFonts w:cs="Times New Roman"/>
        </w:rPr>
        <w:t>G) pH, H</w:t>
      </w:r>
      <w:r w:rsidR="00B6644D">
        <w:rPr>
          <w:rFonts w:cs="Times New Roman"/>
        </w:rPr>
        <w:t xml:space="preserve">) dissolved inorganic nitrogen (DIN, µM) and </w:t>
      </w:r>
      <w:r w:rsidR="00996FCD">
        <w:rPr>
          <w:rFonts w:cs="Times New Roman"/>
        </w:rPr>
        <w:t xml:space="preserve">I) phosphate concentrations </w:t>
      </w:r>
      <w:r w:rsidR="00B6644D">
        <w:rPr>
          <w:rFonts w:cs="Times New Roman"/>
        </w:rPr>
        <w:t>(µM</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5D14DE" w:rsidRDefault="005D14DE">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5D14DE" w:rsidRDefault="005D14DE">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5D14DE" w:rsidRDefault="005D14DE" w:rsidP="006824CD">
      <w:r>
        <w:separator/>
      </w:r>
    </w:p>
  </w:endnote>
  <w:endnote w:type="continuationSeparator" w:id="0">
    <w:p w14:paraId="40A459A3" w14:textId="77777777" w:rsidR="005D14DE" w:rsidRDefault="005D14DE"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5D14DE" w:rsidRDefault="005D14DE"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5D14DE" w:rsidRDefault="005D14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5D14DE" w:rsidRDefault="005D14DE"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4DBA">
      <w:rPr>
        <w:rStyle w:val="PageNumber"/>
        <w:noProof/>
      </w:rPr>
      <w:t>11</w:t>
    </w:r>
    <w:r>
      <w:rPr>
        <w:rStyle w:val="PageNumber"/>
      </w:rPr>
      <w:fldChar w:fldCharType="end"/>
    </w:r>
  </w:p>
  <w:p w14:paraId="3E0CB4DF" w14:textId="77777777" w:rsidR="005D14DE" w:rsidRDefault="005D14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5D14DE" w:rsidRDefault="005D14DE" w:rsidP="006824CD">
      <w:r>
        <w:separator/>
      </w:r>
    </w:p>
  </w:footnote>
  <w:footnote w:type="continuationSeparator" w:id="0">
    <w:p w14:paraId="36E45059" w14:textId="77777777" w:rsidR="005D14DE" w:rsidRDefault="005D14DE"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8444B"/>
    <w:rsid w:val="0009327B"/>
    <w:rsid w:val="000A3BF8"/>
    <w:rsid w:val="000B2858"/>
    <w:rsid w:val="000D2E2F"/>
    <w:rsid w:val="000D458D"/>
    <w:rsid w:val="000F0ADB"/>
    <w:rsid w:val="000F79C3"/>
    <w:rsid w:val="001064E6"/>
    <w:rsid w:val="001113C6"/>
    <w:rsid w:val="0011583F"/>
    <w:rsid w:val="0012451E"/>
    <w:rsid w:val="00137B76"/>
    <w:rsid w:val="00140BF8"/>
    <w:rsid w:val="00181BF4"/>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3040"/>
    <w:rsid w:val="00294B07"/>
    <w:rsid w:val="002B3135"/>
    <w:rsid w:val="00312AA7"/>
    <w:rsid w:val="003471DD"/>
    <w:rsid w:val="003519E7"/>
    <w:rsid w:val="00355EF7"/>
    <w:rsid w:val="00365513"/>
    <w:rsid w:val="00386162"/>
    <w:rsid w:val="00391AA3"/>
    <w:rsid w:val="003A28B3"/>
    <w:rsid w:val="003A3785"/>
    <w:rsid w:val="003A70CE"/>
    <w:rsid w:val="003C14C1"/>
    <w:rsid w:val="003E6430"/>
    <w:rsid w:val="0046274C"/>
    <w:rsid w:val="00472585"/>
    <w:rsid w:val="004739AE"/>
    <w:rsid w:val="004778BF"/>
    <w:rsid w:val="00477BCF"/>
    <w:rsid w:val="004E3978"/>
    <w:rsid w:val="004F2AEA"/>
    <w:rsid w:val="005171A8"/>
    <w:rsid w:val="00521127"/>
    <w:rsid w:val="00523136"/>
    <w:rsid w:val="00550C17"/>
    <w:rsid w:val="0055687E"/>
    <w:rsid w:val="00591994"/>
    <w:rsid w:val="00592E3B"/>
    <w:rsid w:val="0059444C"/>
    <w:rsid w:val="005B2226"/>
    <w:rsid w:val="005B7744"/>
    <w:rsid w:val="005D14DE"/>
    <w:rsid w:val="005E341A"/>
    <w:rsid w:val="005E4016"/>
    <w:rsid w:val="00604802"/>
    <w:rsid w:val="006211C0"/>
    <w:rsid w:val="00625252"/>
    <w:rsid w:val="006379E7"/>
    <w:rsid w:val="0065300B"/>
    <w:rsid w:val="006824CD"/>
    <w:rsid w:val="00684ABD"/>
    <w:rsid w:val="00695C2B"/>
    <w:rsid w:val="00696794"/>
    <w:rsid w:val="006E26A8"/>
    <w:rsid w:val="006F19EC"/>
    <w:rsid w:val="006F52B2"/>
    <w:rsid w:val="00701F55"/>
    <w:rsid w:val="00705267"/>
    <w:rsid w:val="00716A04"/>
    <w:rsid w:val="00756A5E"/>
    <w:rsid w:val="0076721B"/>
    <w:rsid w:val="0077365D"/>
    <w:rsid w:val="0077570D"/>
    <w:rsid w:val="00783B9A"/>
    <w:rsid w:val="0079574E"/>
    <w:rsid w:val="00796017"/>
    <w:rsid w:val="00796F1C"/>
    <w:rsid w:val="007B314A"/>
    <w:rsid w:val="007C608D"/>
    <w:rsid w:val="007F6CB7"/>
    <w:rsid w:val="00827B3F"/>
    <w:rsid w:val="00847084"/>
    <w:rsid w:val="00850842"/>
    <w:rsid w:val="00861375"/>
    <w:rsid w:val="00865D87"/>
    <w:rsid w:val="008A5B24"/>
    <w:rsid w:val="008B0C65"/>
    <w:rsid w:val="008D4B36"/>
    <w:rsid w:val="008D4DDE"/>
    <w:rsid w:val="008F493D"/>
    <w:rsid w:val="00903232"/>
    <w:rsid w:val="009337D9"/>
    <w:rsid w:val="00933F5B"/>
    <w:rsid w:val="00936B6D"/>
    <w:rsid w:val="00937CFA"/>
    <w:rsid w:val="00946A19"/>
    <w:rsid w:val="00962DC5"/>
    <w:rsid w:val="009878ED"/>
    <w:rsid w:val="00996FCD"/>
    <w:rsid w:val="009B1482"/>
    <w:rsid w:val="009C5AFA"/>
    <w:rsid w:val="009D61BF"/>
    <w:rsid w:val="009E185E"/>
    <w:rsid w:val="00A02FD0"/>
    <w:rsid w:val="00A056BE"/>
    <w:rsid w:val="00A33782"/>
    <w:rsid w:val="00A357F5"/>
    <w:rsid w:val="00A76D49"/>
    <w:rsid w:val="00A91213"/>
    <w:rsid w:val="00A97293"/>
    <w:rsid w:val="00AC5751"/>
    <w:rsid w:val="00AC7240"/>
    <w:rsid w:val="00AD0BB6"/>
    <w:rsid w:val="00AF75E0"/>
    <w:rsid w:val="00B03CF1"/>
    <w:rsid w:val="00B16F97"/>
    <w:rsid w:val="00B36EBC"/>
    <w:rsid w:val="00B6644D"/>
    <w:rsid w:val="00BA009A"/>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1190F"/>
    <w:rsid w:val="00D1328A"/>
    <w:rsid w:val="00D301C2"/>
    <w:rsid w:val="00D35B3C"/>
    <w:rsid w:val="00D36109"/>
    <w:rsid w:val="00D51DF4"/>
    <w:rsid w:val="00D5420F"/>
    <w:rsid w:val="00D75F3A"/>
    <w:rsid w:val="00DA3C76"/>
    <w:rsid w:val="00DB249C"/>
    <w:rsid w:val="00DB4DBA"/>
    <w:rsid w:val="00DC5E98"/>
    <w:rsid w:val="00E11168"/>
    <w:rsid w:val="00E127C8"/>
    <w:rsid w:val="00E33748"/>
    <w:rsid w:val="00E3548F"/>
    <w:rsid w:val="00E42125"/>
    <w:rsid w:val="00E977DA"/>
    <w:rsid w:val="00EA0881"/>
    <w:rsid w:val="00EB76CE"/>
    <w:rsid w:val="00ED6F43"/>
    <w:rsid w:val="00EE7A93"/>
    <w:rsid w:val="00F34B51"/>
    <w:rsid w:val="00F51FF4"/>
    <w:rsid w:val="00FB0840"/>
    <w:rsid w:val="00FC5E5F"/>
    <w:rsid w:val="00FC7391"/>
    <w:rsid w:val="00FE166D"/>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3593</Words>
  <Characters>20485</Characters>
  <Application>Microsoft Macintosh Word</Application>
  <DocSecurity>0</DocSecurity>
  <Lines>170</Lines>
  <Paragraphs>48</Paragraphs>
  <ScaleCrop>false</ScaleCrop>
  <Company>Awesome Inc. </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11</cp:revision>
  <dcterms:created xsi:type="dcterms:W3CDTF">2015-09-12T21:43:00Z</dcterms:created>
  <dcterms:modified xsi:type="dcterms:W3CDTF">2015-09-16T18:35:00Z</dcterms:modified>
</cp:coreProperties>
</file>