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31FE092C" w:rsidR="007F6CB7" w:rsidRPr="00FE75DC" w:rsidRDefault="007F6CB7" w:rsidP="00FC5E5F">
      <w:pPr>
        <w:spacing w:line="480" w:lineRule="auto"/>
        <w:jc w:val="center"/>
        <w:rPr>
          <w:rFonts w:cs="Times New Roman"/>
          <w:sz w:val="28"/>
          <w:szCs w:val="28"/>
        </w:rPr>
      </w:pPr>
      <w:proofErr w:type="gramStart"/>
      <w:r w:rsidRPr="00FC5E5F">
        <w:rPr>
          <w:rFonts w:cs="Times New Roman"/>
          <w:sz w:val="28"/>
          <w:szCs w:val="28"/>
        </w:rPr>
        <w:t>Dynamics of cryptophyte populations during red water blooms in the Columbia River Estuary.</w:t>
      </w:r>
      <w:proofErr w:type="gramEnd"/>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w:t>
      </w:r>
      <w:proofErr w:type="spellStart"/>
      <w:r w:rsidRPr="00FC5E5F">
        <w:rPr>
          <w:rFonts w:cs="Times New Roman"/>
          <w:bCs/>
        </w:rPr>
        <w:t>Nedoba</w:t>
      </w:r>
      <w:proofErr w:type="spellEnd"/>
      <w:r w:rsidRPr="00FC5E5F">
        <w:rPr>
          <w:rFonts w:cs="Times New Roman"/>
          <w:bCs/>
        </w:rPr>
        <w:t xml:space="preserve">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w:t>
      </w:r>
      <w:proofErr w:type="spellStart"/>
      <w:r w:rsidRPr="00FC5E5F">
        <w:rPr>
          <w:rFonts w:cs="Times New Roman"/>
          <w:bCs/>
        </w:rPr>
        <w:t>Tawnya</w:t>
      </w:r>
      <w:proofErr w:type="spellEnd"/>
      <w:r w:rsidRPr="00FC5E5F">
        <w:rPr>
          <w:rFonts w:cs="Times New Roman"/>
          <w:bCs/>
        </w:rPr>
        <w:t xml:space="preserve">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w:t>
      </w:r>
      <w:proofErr w:type="spellStart"/>
      <w:r w:rsidRPr="00FC5E5F">
        <w:rPr>
          <w:rFonts w:cs="Times New Roman"/>
          <w:bCs/>
        </w:rPr>
        <w:t>Zuber</w:t>
      </w:r>
      <w:proofErr w:type="spellEnd"/>
      <w:r w:rsidRPr="00FC5E5F">
        <w:rPr>
          <w:rFonts w:cs="Times New Roman"/>
          <w:bCs/>
        </w:rPr>
        <w:t xml:space="preserve"> </w:t>
      </w:r>
      <w:r w:rsidRPr="00FC5E5F">
        <w:rPr>
          <w:rFonts w:cs="Times New Roman"/>
          <w:bCs/>
          <w:vertAlign w:val="superscript"/>
        </w:rPr>
        <w:t>4</w:t>
      </w:r>
      <w:r w:rsidRPr="00FC5E5F">
        <w:rPr>
          <w:rFonts w:cs="Times New Roman"/>
          <w:bCs/>
        </w:rPr>
        <w:t xml:space="preserve">, E. Virginia </w:t>
      </w:r>
      <w:proofErr w:type="spellStart"/>
      <w:r w:rsidRPr="00FC5E5F">
        <w:rPr>
          <w:rFonts w:cs="Times New Roman"/>
          <w:bCs/>
        </w:rPr>
        <w:t>Armbrust</w:t>
      </w:r>
      <w:proofErr w:type="spellEnd"/>
      <w:r w:rsidRPr="00FC5E5F">
        <w:rPr>
          <w:rFonts w:cs="Times New Roman"/>
          <w:bCs/>
        </w:rPr>
        <w:t xml:space="preserve">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FC5E5F">
        <w:rPr>
          <w:rFonts w:cs="Times New Roman"/>
          <w:bCs/>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proofErr w:type="gramStart"/>
      <w:r w:rsidR="006F19EC" w:rsidRPr="006F19EC">
        <w:rPr>
          <w:rFonts w:cs="Times New Roman"/>
          <w:bCs/>
        </w:rPr>
        <w:t>Mail</w:t>
      </w:r>
      <w:proofErr w:type="gramEnd"/>
      <w:r w:rsidR="006F19EC" w:rsidRPr="006F19EC">
        <w:rPr>
          <w:rFonts w:cs="Times New Roman"/>
          <w:bCs/>
        </w:rPr>
        <w:t xml:space="preserve">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proofErr w:type="spellStart"/>
      <w:r w:rsidR="00FC5E5F" w:rsidRPr="00DA27DC">
        <w:rPr>
          <w:rFonts w:cs="Times New Roman"/>
          <w:i/>
        </w:rPr>
        <w:t>M</w:t>
      </w:r>
      <w:r w:rsidR="00FC5E5F">
        <w:rPr>
          <w:rFonts w:cs="Times New Roman"/>
          <w:i/>
        </w:rPr>
        <w:t>esodinium</w:t>
      </w:r>
      <w:proofErr w:type="spellEnd"/>
      <w:r w:rsidR="00FC5E5F" w:rsidRPr="00DA27DC">
        <w:rPr>
          <w:rFonts w:cs="Times New Roman"/>
          <w:i/>
        </w:rPr>
        <w:t xml:space="preserve"> major</w:t>
      </w:r>
      <w:r w:rsidR="00FC5E5F">
        <w:rPr>
          <w:rFonts w:cs="Times New Roman"/>
        </w:rPr>
        <w:t xml:space="preserve"> and its cryptophyte algae prey </w:t>
      </w:r>
      <w:proofErr w:type="spellStart"/>
      <w:r w:rsidR="00FC5E5F" w:rsidRPr="00FC5E5F">
        <w:rPr>
          <w:rFonts w:cs="Times New Roman"/>
          <w:i/>
        </w:rPr>
        <w:t>Teleaulax</w:t>
      </w:r>
      <w:proofErr w:type="spellEnd"/>
      <w:r w:rsidR="00FC5E5F" w:rsidRPr="00FC5E5F">
        <w:rPr>
          <w:rFonts w:cs="Times New Roman"/>
          <w:i/>
        </w:rPr>
        <w:t xml:space="preserve"> </w:t>
      </w:r>
      <w:proofErr w:type="spellStart"/>
      <w:r w:rsidR="00FC5E5F" w:rsidRPr="00FC5E5F">
        <w:rPr>
          <w:rFonts w:cs="Times New Roman"/>
          <w:i/>
        </w:rPr>
        <w:t>amphioexa</w:t>
      </w:r>
      <w:proofErr w:type="spellEnd"/>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proofErr w:type="gramStart"/>
      <w:r>
        <w:rPr>
          <w:rFonts w:cs="Times New Roman"/>
        </w:rPr>
        <w:t>MORE TO COME.</w:t>
      </w:r>
      <w:proofErr w:type="gramEnd"/>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proofErr w:type="spellStart"/>
      <w:r w:rsidRPr="00DA3C76">
        <w:rPr>
          <w:rFonts w:cs="Times New Roman"/>
          <w:bCs/>
          <w:i/>
        </w:rPr>
        <w:t>Teleaulax</w:t>
      </w:r>
      <w:proofErr w:type="spellEnd"/>
      <w:r w:rsidRPr="00DA3C76">
        <w:rPr>
          <w:rFonts w:cs="Times New Roman"/>
          <w:bCs/>
          <w:i/>
        </w:rPr>
        <w:t xml:space="preserve">; </w:t>
      </w:r>
      <w:proofErr w:type="spellStart"/>
      <w:r w:rsidRPr="00DA3C76">
        <w:rPr>
          <w:rFonts w:cs="Times New Roman"/>
          <w:bCs/>
          <w:i/>
        </w:rPr>
        <w:t>Mesodinium</w:t>
      </w:r>
      <w:proofErr w:type="spellEnd"/>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lastRenderedPageBreak/>
        <w:t>INTRODUCTION</w:t>
      </w:r>
    </w:p>
    <w:p w14:paraId="5F182C39" w14:textId="77777777" w:rsidR="00DA3C76" w:rsidRPr="00FC5E5F" w:rsidRDefault="00DA3C76" w:rsidP="00FC5E5F">
      <w:pPr>
        <w:spacing w:line="480" w:lineRule="auto"/>
        <w:rPr>
          <w:rFonts w:cs="Times New Roman"/>
          <w:b/>
          <w:bCs/>
        </w:rPr>
      </w:pPr>
    </w:p>
    <w:p w14:paraId="17C56FEC" w14:textId="26AA77B0"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proofErr w:type="spellStart"/>
      <w:r w:rsidRPr="00FC5E5F">
        <w:rPr>
          <w:rFonts w:cs="Times New Roman"/>
          <w:bCs/>
          <w:i/>
        </w:rPr>
        <w:t>Mesodinium</w:t>
      </w:r>
      <w:proofErr w:type="spellEnd"/>
      <w:r w:rsidRPr="00FC5E5F">
        <w:rPr>
          <w:rFonts w:cs="Times New Roman"/>
          <w:bCs/>
          <w:i/>
        </w:rPr>
        <w:t xml:space="preserve"> major</w:t>
      </w:r>
      <w:r w:rsidRPr="00FC5E5F">
        <w:rPr>
          <w:rFonts w:cs="Times New Roman"/>
          <w:bCs/>
        </w:rPr>
        <w:t xml:space="preserve">, previously referred to as </w:t>
      </w:r>
      <w:proofErr w:type="spellStart"/>
      <w:r w:rsidRPr="00FC5E5F">
        <w:rPr>
          <w:rFonts w:cs="Times New Roman"/>
          <w:bCs/>
          <w:i/>
        </w:rPr>
        <w:t>Mesodinium</w:t>
      </w:r>
      <w:proofErr w:type="spellEnd"/>
      <w:r w:rsidRPr="00FC5E5F">
        <w:rPr>
          <w:rFonts w:cs="Times New Roman"/>
          <w:bCs/>
          <w:i/>
        </w:rPr>
        <w:t xml:space="preserve"> </w:t>
      </w:r>
      <w:proofErr w:type="spellStart"/>
      <w:r w:rsidRPr="00FC5E5F">
        <w:rPr>
          <w:rFonts w:cs="Times New Roman"/>
          <w:bCs/>
          <w:i/>
        </w:rPr>
        <w:t>rubrum</w:t>
      </w:r>
      <w:proofErr w:type="spellEnd"/>
      <w:r w:rsidRPr="00FC5E5F">
        <w:rPr>
          <w:rFonts w:cs="Times New Roman"/>
          <w:bCs/>
        </w:rPr>
        <w:t xml:space="preserve"> (=</w:t>
      </w:r>
      <w:proofErr w:type="spellStart"/>
      <w:r w:rsidRPr="00FC5E5F">
        <w:rPr>
          <w:rFonts w:cs="Times New Roman"/>
          <w:bCs/>
          <w:i/>
        </w:rPr>
        <w:t>Myrionecta</w:t>
      </w:r>
      <w:proofErr w:type="spellEnd"/>
      <w:r w:rsidRPr="00FC5E5F">
        <w:rPr>
          <w:rFonts w:cs="Times New Roman"/>
          <w:bCs/>
          <w:i/>
        </w:rPr>
        <w:t xml:space="preserve"> </w:t>
      </w:r>
      <w:proofErr w:type="spellStart"/>
      <w:r w:rsidRPr="00FC5E5F">
        <w:rPr>
          <w:rFonts w:cs="Times New Roman"/>
          <w:bCs/>
          <w:i/>
        </w:rPr>
        <w:t>rubra</w:t>
      </w:r>
      <w:proofErr w:type="spellEnd"/>
      <w:r w:rsidRPr="00FC5E5F">
        <w:rPr>
          <w:rFonts w:cs="Times New Roman"/>
          <w:bCs/>
        </w:rPr>
        <w:t>) (</w:t>
      </w:r>
      <w:proofErr w:type="spellStart"/>
      <w:r w:rsidRPr="00FC5E5F">
        <w:rPr>
          <w:rFonts w:cs="Times New Roman"/>
          <w:bCs/>
        </w:rPr>
        <w:t>Lohmann</w:t>
      </w:r>
      <w:proofErr w:type="spellEnd"/>
      <w:r w:rsidRPr="00FC5E5F">
        <w:rPr>
          <w:rFonts w:cs="Times New Roman"/>
          <w:bCs/>
        </w:rPr>
        <w:t xml:space="preserve">, 1908; Jankowski, 1976), is among the marine microzooplankton that have been observed to harbor the plastids of their cryptophyte algae prey, </w:t>
      </w:r>
      <w:proofErr w:type="spellStart"/>
      <w:r w:rsidRPr="00FC5E5F">
        <w:rPr>
          <w:rFonts w:cs="Times New Roman"/>
          <w:bCs/>
          <w:i/>
        </w:rPr>
        <w:t>Teleaulax</w:t>
      </w:r>
      <w:proofErr w:type="spellEnd"/>
      <w:r w:rsidRPr="00FC5E5F">
        <w:rPr>
          <w:rFonts w:cs="Times New Roman"/>
          <w:bCs/>
          <w:i/>
        </w:rPr>
        <w:t xml:space="preserve"> </w:t>
      </w:r>
      <w:proofErr w:type="spellStart"/>
      <w:r w:rsidRPr="00FC5E5F">
        <w:rPr>
          <w:rFonts w:cs="Times New Roman"/>
          <w:bCs/>
          <w:i/>
        </w:rPr>
        <w:t>amphioexa</w:t>
      </w:r>
      <w:proofErr w:type="spellEnd"/>
      <w:r w:rsidR="009D61BF" w:rsidRPr="00FC5E5F">
        <w:rPr>
          <w:rFonts w:cs="Times New Roman"/>
          <w:bCs/>
          <w:i/>
        </w:rPr>
        <w:t xml:space="preserve"> </w:t>
      </w:r>
      <w:r w:rsidR="00FC5E5F" w:rsidRPr="00845FEE">
        <w:rPr>
          <w:rFonts w:cs="Times New Roman"/>
          <w:bCs/>
        </w:rPr>
        <w:t>(</w:t>
      </w:r>
      <w:proofErr w:type="spellStart"/>
      <w:r w:rsidR="00FC5E5F" w:rsidRPr="00845FEE">
        <w:rPr>
          <w:rFonts w:cs="Times New Roman"/>
          <w:bCs/>
        </w:rPr>
        <w:t>Herfort</w:t>
      </w:r>
      <w:proofErr w:type="spellEnd"/>
      <w:r w:rsidR="00FC5E5F" w:rsidRPr="00845FEE">
        <w:rPr>
          <w:rFonts w:cs="Times New Roman"/>
          <w:bCs/>
        </w:rPr>
        <w:t xml:space="preserve"> et al., 2011b)</w:t>
      </w:r>
      <w:r w:rsidR="00716A04" w:rsidRPr="00FC5E5F">
        <w:rPr>
          <w:rFonts w:cs="Times New Roman"/>
          <w:bCs/>
        </w:rPr>
        <w:t>. This</w:t>
      </w:r>
      <w:r w:rsidRPr="00FC5E5F">
        <w:rPr>
          <w:rFonts w:cs="Times New Roman"/>
          <w:bCs/>
        </w:rPr>
        <w:t xml:space="preserve"> unique association allows the ciliate to function as a </w:t>
      </w:r>
      <w:proofErr w:type="spellStart"/>
      <w:r w:rsidRPr="00FC5E5F">
        <w:rPr>
          <w:rFonts w:cs="Times New Roman"/>
          <w:bCs/>
        </w:rPr>
        <w:t>mixotroph</w:t>
      </w:r>
      <w:proofErr w:type="spellEnd"/>
      <w:r w:rsidRPr="00FC5E5F">
        <w:rPr>
          <w:rFonts w:cs="Times New Roman"/>
          <w:bCs/>
        </w:rPr>
        <w:t xml:space="preserve">, capable of utilizing both </w:t>
      </w:r>
      <w:proofErr w:type="spellStart"/>
      <w:r w:rsidRPr="00FC5E5F">
        <w:rPr>
          <w:rFonts w:cs="Times New Roman"/>
          <w:bCs/>
        </w:rPr>
        <w:t>phagotrophic</w:t>
      </w:r>
      <w:proofErr w:type="spellEnd"/>
      <w:r w:rsidRPr="00FC5E5F">
        <w:rPr>
          <w:rFonts w:cs="Times New Roman"/>
          <w:bCs/>
        </w:rPr>
        <w:t xml:space="preserve"> and photosynthetic mechanisms to acquire carbon (Crawford, 1989). Though mixotrophic microzooplankton are now understood to be important primary</w:t>
      </w:r>
      <w:r w:rsidR="00716A04" w:rsidRPr="00FC5E5F">
        <w:rPr>
          <w:rFonts w:cs="Times New Roman"/>
          <w:bCs/>
        </w:rPr>
        <w:t xml:space="preserve"> producers in coastal systems (</w:t>
      </w:r>
      <w:proofErr w:type="spellStart"/>
      <w:r w:rsidR="00716A04" w:rsidRPr="00FC5E5F">
        <w:rPr>
          <w:rFonts w:cs="Times New Roman"/>
          <w:bCs/>
        </w:rPr>
        <w:t>S</w:t>
      </w:r>
      <w:r w:rsidRPr="00FC5E5F">
        <w:rPr>
          <w:rFonts w:cs="Times New Roman"/>
          <w:bCs/>
        </w:rPr>
        <w:t>toecker</w:t>
      </w:r>
      <w:proofErr w:type="spellEnd"/>
      <w:r w:rsidRPr="00FC5E5F">
        <w:rPr>
          <w:rFonts w:cs="Times New Roman"/>
          <w:bCs/>
        </w:rPr>
        <w:t xml:space="preserve"> et al., 1989), little is known about the specifics of these predator-prey relationships.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w:t>
      </w:r>
      <w:proofErr w:type="spellStart"/>
      <w:r w:rsidRPr="00FC5E5F">
        <w:rPr>
          <w:rFonts w:cs="Times New Roman"/>
        </w:rPr>
        <w:t>Herfort</w:t>
      </w:r>
      <w:proofErr w:type="spellEnd"/>
      <w:r w:rsidRPr="00FC5E5F">
        <w:rPr>
          <w:rFonts w:cs="Times New Roman"/>
        </w:rPr>
        <w:t xml:space="preserve"> et al., 2011a). These blooms play an important role in shaping the biogeochemistry of the region by shifting the estuary from net heterotrophy to net autotrophy (</w:t>
      </w:r>
      <w:proofErr w:type="spellStart"/>
      <w:r w:rsidRPr="00FC5E5F">
        <w:rPr>
          <w:rFonts w:cs="Times New Roman"/>
        </w:rPr>
        <w:t>Herfort</w:t>
      </w:r>
      <w:proofErr w:type="spellEnd"/>
      <w:r w:rsidRPr="00FC5E5F">
        <w:rPr>
          <w:rFonts w:cs="Times New Roman"/>
        </w:rPr>
        <w:t xml:space="preserve">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w:t>
      </w:r>
      <w:proofErr w:type="spellStart"/>
      <w:r w:rsidRPr="00FC5E5F">
        <w:rPr>
          <w:rFonts w:cs="Times New Roman"/>
        </w:rPr>
        <w:t>Chawla</w:t>
      </w:r>
      <w:proofErr w:type="spellEnd"/>
      <w:r w:rsidRPr="00FC5E5F">
        <w:rPr>
          <w:rFonts w:cs="Times New Roman"/>
        </w:rPr>
        <w:t xml:space="preserve">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w:t>
      </w:r>
      <w:proofErr w:type="spellStart"/>
      <w:r w:rsidRPr="00FC5E5F">
        <w:rPr>
          <w:rFonts w:cs="Times New Roman"/>
        </w:rPr>
        <w:t>Herfort</w:t>
      </w:r>
      <w:proofErr w:type="spellEnd"/>
      <w:r w:rsidRPr="00FC5E5F">
        <w:rPr>
          <w:rFonts w:cs="Times New Roman"/>
        </w:rPr>
        <w:t xml:space="preserve">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throughout the main estuary (</w:t>
      </w:r>
      <w:proofErr w:type="spellStart"/>
      <w:r w:rsidR="00C41434" w:rsidRPr="00FC5E5F">
        <w:rPr>
          <w:rFonts w:cs="Times New Roman"/>
        </w:rPr>
        <w:t>Herfort</w:t>
      </w:r>
      <w:proofErr w:type="spellEnd"/>
      <w:r w:rsidR="00C41434" w:rsidRPr="00FC5E5F">
        <w:rPr>
          <w:rFonts w:cs="Times New Roman"/>
        </w:rPr>
        <w:t xml:space="preserve">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proofErr w:type="spellStart"/>
      <w:r w:rsidR="008D4B36" w:rsidRPr="00FC5E5F">
        <w:rPr>
          <w:rFonts w:cs="Times New Roman"/>
          <w:i/>
        </w:rPr>
        <w:t>Teleaulax</w:t>
      </w:r>
      <w:proofErr w:type="spellEnd"/>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 xml:space="preserve">M. </w:t>
      </w:r>
      <w:proofErr w:type="spellStart"/>
      <w:r w:rsidR="00FC5E5F" w:rsidRPr="00FC5E5F">
        <w:rPr>
          <w:rFonts w:cs="Times New Roman"/>
          <w:i/>
        </w:rPr>
        <w:t>rubrum</w:t>
      </w:r>
      <w:proofErr w:type="spellEnd"/>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of free-living cryp</w:t>
      </w:r>
      <w:r w:rsidR="00EB76CE">
        <w:rPr>
          <w:rFonts w:cs="Times New Roman"/>
        </w:rPr>
        <w:t>to</w:t>
      </w:r>
      <w:r w:rsidR="00FC5E5F">
        <w:rPr>
          <w:rFonts w:cs="Times New Roman"/>
        </w:rPr>
        <w:t xml:space="preserve">phyte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 xml:space="preserve">are complicated due to the influence </w:t>
      </w:r>
      <w:r w:rsidR="00ED6F43" w:rsidRPr="00FC5E5F">
        <w:rPr>
          <w:rFonts w:cs="Times New Roman"/>
        </w:rPr>
        <w:lastRenderedPageBreak/>
        <w:t>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w:t>
      </w:r>
      <w:proofErr w:type="spellStart"/>
      <w:r w:rsidRPr="00FC5E5F">
        <w:rPr>
          <w:rFonts w:cs="Times New Roman"/>
        </w:rPr>
        <w:t>Hassett</w:t>
      </w:r>
      <w:proofErr w:type="spellEnd"/>
      <w:r w:rsidRPr="00FC5E5F">
        <w:rPr>
          <w:rFonts w:cs="Times New Roman"/>
        </w:rPr>
        <w:t xml:space="preserve">,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w:t>
      </w:r>
      <w:proofErr w:type="spellStart"/>
      <w:r w:rsidRPr="00FC5E5F">
        <w:rPr>
          <w:rFonts w:cs="Times New Roman"/>
        </w:rPr>
        <w:t>Sosik</w:t>
      </w:r>
      <w:proofErr w:type="spellEnd"/>
      <w:r w:rsidRPr="00FC5E5F">
        <w:rPr>
          <w:rFonts w:cs="Times New Roman"/>
        </w:rPr>
        <w:t xml:space="preserve">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w:t>
      </w:r>
      <w:proofErr w:type="spellStart"/>
      <w:r w:rsidR="00ED6F43" w:rsidRPr="00FC5E5F">
        <w:rPr>
          <w:rFonts w:cs="Times New Roman"/>
        </w:rPr>
        <w:t>Sosik</w:t>
      </w:r>
      <w:proofErr w:type="spellEnd"/>
      <w:r w:rsidR="00ED6F43" w:rsidRPr="00FC5E5F">
        <w:rPr>
          <w:rFonts w:cs="Times New Roman"/>
        </w:rPr>
        <w:t xml:space="preserve"> et al., 2003; Hunter-</w:t>
      </w:r>
      <w:proofErr w:type="spellStart"/>
      <w:r w:rsidR="00ED6F43" w:rsidRPr="00FC5E5F">
        <w:rPr>
          <w:rFonts w:cs="Times New Roman"/>
        </w:rPr>
        <w:t>Cevera</w:t>
      </w:r>
      <w:proofErr w:type="spellEnd"/>
      <w:r w:rsidR="00ED6F43" w:rsidRPr="00FC5E5F">
        <w:rPr>
          <w:rFonts w:cs="Times New Roman"/>
        </w:rPr>
        <w:t xml:space="preserve">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277046A8"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r w:rsidR="00933F5B" w:rsidRPr="00FC5E5F">
        <w:rPr>
          <w:rFonts w:cs="Times New Roman"/>
        </w:rPr>
        <w:t>.</w:t>
      </w:r>
      <w:r w:rsidR="00AC7240" w:rsidRPr="00AC7240">
        <w:rPr>
          <w:rFonts w:cs="Times New Roman"/>
        </w:rPr>
        <w:t xml:space="preserve"> </w:t>
      </w:r>
    </w:p>
    <w:p w14:paraId="59FCD9DE" w14:textId="58C2209A"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 </w:t>
      </w:r>
      <w:r>
        <w:rPr>
          <w:rFonts w:cs="Times New Roman"/>
        </w:rPr>
        <w:t xml:space="preserve">also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w:t>
      </w:r>
      <w:proofErr w:type="spellStart"/>
      <w:r w:rsidRPr="00D0541A">
        <w:rPr>
          <w:rFonts w:cs="Times New Roman"/>
        </w:rPr>
        <w:t>Sosik</w:t>
      </w:r>
      <w:proofErr w:type="spellEnd"/>
      <w:r w:rsidRPr="00D0541A">
        <w:rPr>
          <w:rFonts w:cs="Times New Roman"/>
        </w:rPr>
        <w:t xml:space="preserve">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w:t>
      </w:r>
      <w:proofErr w:type="gramStart"/>
      <w:r w:rsidRPr="00FC5E5F">
        <w:rPr>
          <w:rFonts w:cs="Times New Roman"/>
        </w:rPr>
        <w:t>It is characterized by its dynamic physical processes and strong influence from diurnal and semi-diurnal tides</w:t>
      </w:r>
      <w:proofErr w:type="gramEnd"/>
      <w:r w:rsidRPr="00FC5E5F">
        <w:rPr>
          <w:rFonts w:cs="Times New Roman"/>
        </w:rPr>
        <w:t xml:space="preserve"> (Jay, 1984). The estuary also has a short residence time, with flushing in the range of 0.5-5 days (Neal, 1972). </w:t>
      </w:r>
      <w:r w:rsidR="0028101C" w:rsidRPr="00FC5E5F">
        <w:rPr>
          <w:rFonts w:cs="Times New Roman"/>
        </w:rPr>
        <w:lastRenderedPageBreak/>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proofErr w:type="spellStart"/>
      <w:r w:rsidRPr="00FC5E5F">
        <w:rPr>
          <w:rFonts w:cs="Times New Roman"/>
          <w:b/>
          <w:i/>
        </w:rPr>
        <w:t>Teleaulax</w:t>
      </w:r>
      <w:proofErr w:type="spellEnd"/>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w:t>
      </w:r>
      <w:proofErr w:type="spellStart"/>
      <w:r w:rsidR="00695C2B" w:rsidRPr="00FC5E5F">
        <w:rPr>
          <w:rFonts w:cs="Times New Roman"/>
        </w:rPr>
        <w:t>Melles</w:t>
      </w:r>
      <w:proofErr w:type="spellEnd"/>
      <w:r w:rsidR="00695C2B" w:rsidRPr="00FC5E5F">
        <w:rPr>
          <w:rFonts w:cs="Times New Roman"/>
        </w:rPr>
        <w:t xml:space="preserve"> </w:t>
      </w:r>
      <w:proofErr w:type="spellStart"/>
      <w:r w:rsidR="00695C2B" w:rsidRPr="00FC5E5F">
        <w:rPr>
          <w:rFonts w:cs="Times New Roman"/>
        </w:rPr>
        <w:t>Griot</w:t>
      </w:r>
      <w:proofErr w:type="spellEnd"/>
      <w:r w:rsidR="00695C2B" w:rsidRPr="00FC5E5F">
        <w:rPr>
          <w:rFonts w:cs="Times New Roman"/>
        </w:rPr>
        <w:t xml:space="preserve">). Forward light scatter (a proxy for cell size), red and orange fluorescence were collected using a 457–50 </w:t>
      </w:r>
      <w:proofErr w:type="spellStart"/>
      <w:r w:rsidR="00695C2B" w:rsidRPr="00FC5E5F">
        <w:rPr>
          <w:rFonts w:cs="Times New Roman"/>
        </w:rPr>
        <w:t>bandpass</w:t>
      </w:r>
      <w:proofErr w:type="spellEnd"/>
      <w:r w:rsidR="00695C2B" w:rsidRPr="00FC5E5F">
        <w:rPr>
          <w:rFonts w:cs="Times New Roman"/>
        </w:rPr>
        <w:t xml:space="preserve"> filter, 572–27 </w:t>
      </w:r>
      <w:proofErr w:type="spellStart"/>
      <w:r w:rsidR="00695C2B" w:rsidRPr="00FC5E5F">
        <w:rPr>
          <w:rFonts w:cs="Times New Roman"/>
        </w:rPr>
        <w:t>bandpass</w:t>
      </w:r>
      <w:proofErr w:type="spellEnd"/>
      <w:r w:rsidR="00695C2B" w:rsidRPr="00FC5E5F">
        <w:rPr>
          <w:rFonts w:cs="Times New Roman"/>
        </w:rPr>
        <w:t xml:space="preserve"> filter and 692–40 band-pass filter, respectively. Seawater was </w:t>
      </w:r>
      <w:proofErr w:type="spellStart"/>
      <w:r w:rsidR="00695C2B" w:rsidRPr="00FC5E5F">
        <w:rPr>
          <w:rFonts w:cs="Times New Roman"/>
        </w:rPr>
        <w:t>prefiltered</w:t>
      </w:r>
      <w:proofErr w:type="spellEnd"/>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w:t>
      </w:r>
      <w:proofErr w:type="spellStart"/>
      <w:r w:rsidR="00695C2B" w:rsidRPr="00FC5E5F">
        <w:rPr>
          <w:rFonts w:cs="Times New Roman"/>
        </w:rPr>
        <w:t>Cavro</w:t>
      </w:r>
      <w:proofErr w:type="spellEnd"/>
      <w:r w:rsidR="00695C2B" w:rsidRPr="00FC5E5F">
        <w:rPr>
          <w:rFonts w:cs="Times New Roman"/>
        </w:rPr>
        <w:t xml:space="preserve">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w:t>
      </w:r>
      <w:proofErr w:type="spellStart"/>
      <w:r w:rsidR="00695C2B" w:rsidRPr="00FC5E5F">
        <w:rPr>
          <w:rFonts w:cs="Times New Roman"/>
        </w:rPr>
        <w:t>Polysciences</w:t>
      </w:r>
      <w:proofErr w:type="spellEnd"/>
      <w:r w:rsidR="00695C2B" w:rsidRPr="00FC5E5F">
        <w:rPr>
          <w:rFonts w:cs="Times New Roman"/>
        </w:rPr>
        <w:t xml:space="preserve">) into the water stream as an internal standard. Data files were </w:t>
      </w:r>
      <w:r w:rsidR="00695C2B" w:rsidRPr="00FC5E5F">
        <w:rPr>
          <w:rFonts w:cs="Times New Roman"/>
        </w:rPr>
        <w:lastRenderedPageBreak/>
        <w:t xml:space="preserve">created every three minutes. </w:t>
      </w:r>
      <w:r w:rsidRPr="00FC5E5F">
        <w:rPr>
          <w:rFonts w:cs="Times New Roman"/>
        </w:rPr>
        <w:t xml:space="preserve">Data were analyzed using the R package </w:t>
      </w:r>
      <w:proofErr w:type="spellStart"/>
      <w:r w:rsidRPr="00FC5E5F">
        <w:rPr>
          <w:rFonts w:cs="Times New Roman"/>
        </w:rPr>
        <w:t>Popcycle</w:t>
      </w:r>
      <w:proofErr w:type="spellEnd"/>
      <w:r w:rsidRPr="00FC5E5F">
        <w:rPr>
          <w:rFonts w:cs="Times New Roman"/>
        </w:rPr>
        <w:t xml:space="preserve"> version 0.2, which uses </w:t>
      </w:r>
      <w:proofErr w:type="gramStart"/>
      <w:r w:rsidRPr="00FC5E5F">
        <w:rPr>
          <w:rFonts w:cs="Times New Roman"/>
        </w:rPr>
        <w:t>a</w:t>
      </w:r>
      <w:proofErr w:type="gramEnd"/>
      <w:r w:rsidRPr="00FC5E5F">
        <w:rPr>
          <w:rFonts w:cs="Times New Roman"/>
        </w:rPr>
        <w:t xml:space="preserve">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proofErr w:type="spellStart"/>
      <w:r w:rsidR="00D75F3A" w:rsidRPr="00FC5E5F">
        <w:rPr>
          <w:rFonts w:cs="Times New Roman"/>
          <w:i/>
        </w:rPr>
        <w:t>Teleaulax</w:t>
      </w:r>
      <w:proofErr w:type="spellEnd"/>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w:t>
      </w:r>
      <w:proofErr w:type="spellStart"/>
      <w:r w:rsidR="00B03CF1" w:rsidRPr="00FC5E5F">
        <w:rPr>
          <w:rFonts w:cs="Times New Roman"/>
        </w:rPr>
        <w:t>epifluorescent</w:t>
      </w:r>
      <w:proofErr w:type="spellEnd"/>
      <w:r w:rsidR="00B03CF1" w:rsidRPr="00FC5E5F">
        <w:rPr>
          <w:rFonts w:cs="Times New Roman"/>
        </w:rPr>
        <w:t xml:space="preserve"> microscope at 20x magnification and photographed using a </w:t>
      </w:r>
      <w:proofErr w:type="spellStart"/>
      <w:r w:rsidR="00B03CF1" w:rsidRPr="00FC5E5F">
        <w:rPr>
          <w:rFonts w:cs="Times New Roman"/>
        </w:rPr>
        <w:t>Qimaging</w:t>
      </w:r>
      <w:proofErr w:type="spellEnd"/>
      <w:r w:rsidR="00B03CF1" w:rsidRPr="00FC5E5F">
        <w:rPr>
          <w:rFonts w:cs="Times New Roman"/>
        </w:rPr>
        <w:t xml:space="preserve"> </w:t>
      </w:r>
      <w:proofErr w:type="spellStart"/>
      <w:r w:rsidR="00B03CF1" w:rsidRPr="00FC5E5F">
        <w:rPr>
          <w:rFonts w:cs="Times New Roman"/>
        </w:rPr>
        <w:t>MicroPublisher</w:t>
      </w:r>
      <w:proofErr w:type="spellEnd"/>
      <w:r w:rsidR="00B03CF1" w:rsidRPr="00FC5E5F">
        <w:rPr>
          <w:rFonts w:cs="Times New Roman"/>
        </w:rPr>
        <w:t xml:space="preserve">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w:t>
      </w:r>
      <w:proofErr w:type="spellStart"/>
      <w:r w:rsidR="00294B07" w:rsidRPr="00FC5E5F">
        <w:rPr>
          <w:rFonts w:cs="Times New Roman"/>
        </w:rPr>
        <w:t>Sosik</w:t>
      </w:r>
      <w:proofErr w:type="spellEnd"/>
      <w:r w:rsidR="00294B07" w:rsidRPr="00FC5E5F">
        <w:rPr>
          <w:rFonts w:cs="Times New Roman"/>
        </w:rPr>
        <w:t xml:space="preserve"> et al. (2013) to estimate population division rates of </w:t>
      </w:r>
      <w:r w:rsidR="00AC7240">
        <w:rPr>
          <w:rFonts w:cs="Times New Roman"/>
        </w:rPr>
        <w:t>TLC</w:t>
      </w:r>
      <w:r w:rsidR="00294B07" w:rsidRPr="00FC5E5F">
        <w:rPr>
          <w:rFonts w:cs="Times New Roman"/>
        </w:rPr>
        <w:t xml:space="preserve">. We implemented </w:t>
      </w:r>
      <w:proofErr w:type="spellStart"/>
      <w:r w:rsidR="00294B07" w:rsidRPr="00FC5E5F">
        <w:rPr>
          <w:rFonts w:cs="Times New Roman"/>
        </w:rPr>
        <w:t>Sosik’s</w:t>
      </w:r>
      <w:proofErr w:type="spellEnd"/>
      <w:r w:rsidR="00294B07" w:rsidRPr="00FC5E5F">
        <w:rPr>
          <w:rFonts w:cs="Times New Roman"/>
        </w:rPr>
        <w:t xml:space="preserve"> original </w:t>
      </w:r>
      <w:proofErr w:type="spellStart"/>
      <w:r w:rsidR="00294B07" w:rsidRPr="00FC5E5F">
        <w:rPr>
          <w:rFonts w:cs="Times New Roman"/>
        </w:rPr>
        <w:t>Matlab</w:t>
      </w:r>
      <w:proofErr w:type="spellEnd"/>
      <w:r w:rsidR="00294B07" w:rsidRPr="00FC5E5F">
        <w:rPr>
          <w:rFonts w:cs="Times New Roman"/>
        </w:rPr>
        <w:t xml:space="preserve"> model in an R package </w:t>
      </w:r>
      <w:proofErr w:type="spellStart"/>
      <w:r w:rsidR="00294B07" w:rsidRPr="00FC5E5F">
        <w:rPr>
          <w:rFonts w:cs="Times New Roman"/>
        </w:rPr>
        <w:t>ssPopModel</w:t>
      </w:r>
      <w:proofErr w:type="spellEnd"/>
      <w:r w:rsidR="00294B07" w:rsidRPr="00FC5E5F">
        <w:rPr>
          <w:rFonts w:cs="Times New Roman"/>
        </w:rPr>
        <w:t xml:space="preserve">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w:t>
      </w:r>
      <w:r w:rsidR="00294B07" w:rsidRPr="00FC5E5F">
        <w:rPr>
          <w:rFonts w:cs="Times New Roman"/>
        </w:rPr>
        <w:lastRenderedPageBreak/>
        <w:t xml:space="preserve">observed in the field or in cultures. In our study, cell death of </w:t>
      </w:r>
      <w:proofErr w:type="spellStart"/>
      <w:r w:rsidR="00E127C8" w:rsidRPr="00FC5E5F">
        <w:rPr>
          <w:rFonts w:cs="Times New Roman"/>
          <w:i/>
        </w:rPr>
        <w:t>Rhodomonas</w:t>
      </w:r>
      <w:proofErr w:type="spellEnd"/>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145DC14D"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proofErr w:type="spellStart"/>
      <w:r w:rsidR="00F34B51" w:rsidRPr="00FC5E5F">
        <w:rPr>
          <w:rFonts w:cs="Times New Roman"/>
          <w:i/>
          <w:iCs/>
        </w:rPr>
        <w:t>Rhodomonas</w:t>
      </w:r>
      <w:proofErr w:type="spellEnd"/>
      <w:r w:rsidR="00F34B51" w:rsidRPr="00FC5E5F">
        <w:rPr>
          <w:rFonts w:cs="Times New Roman"/>
          <w:i/>
          <w:iCs/>
        </w:rPr>
        <w:t xml:space="preserve">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w:t>
      </w:r>
      <w:proofErr w:type="spellStart"/>
      <w:r w:rsidR="002821F1" w:rsidRPr="00FC5E5F">
        <w:rPr>
          <w:rFonts w:cs="Times New Roman"/>
        </w:rPr>
        <w:t>stirbar</w:t>
      </w:r>
      <w:proofErr w:type="spellEnd"/>
      <w:r w:rsidR="002821F1" w:rsidRPr="00FC5E5F">
        <w:rPr>
          <w:rFonts w:cs="Times New Roman"/>
        </w:rPr>
        <w:t xml:space="preserve">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r w:rsidR="00FE75DC" w:rsidRPr="00FC5E5F">
        <w:rPr>
          <w:rFonts w:cs="Times New Roman"/>
        </w:rPr>
        <w:t>XX</w:t>
      </w:r>
      <w:r w:rsidR="00FE75DC" w:rsidRPr="00FE75DC">
        <w:rPr>
          <w:rFonts w:cs="Times New Roman"/>
        </w:rPr>
        <w:t xml:space="preserve"> months after sample collection, fixed samples were stained with 0.01% green-fluorescing DNA stain SYBR Green I (diluted with </w:t>
      </w:r>
      <w:proofErr w:type="spellStart"/>
      <w:r w:rsidR="00FE75DC" w:rsidRPr="00FE75DC">
        <w:rPr>
          <w:rFonts w:cs="Times New Roman"/>
        </w:rPr>
        <w:t>dimethylsulfoxide</w:t>
      </w:r>
      <w:proofErr w:type="spellEnd"/>
      <w:r w:rsidR="00FE75DC" w:rsidRPr="00FE75DC">
        <w:rPr>
          <w:rFonts w:cs="Times New Roman"/>
        </w:rPr>
        <w:t xml:space="preserve">) for 15 minutes at room temperature in the dark. Following the addition of fluorescent microspheres (1 </w:t>
      </w:r>
      <w:proofErr w:type="spellStart"/>
      <w:r w:rsidR="00FE75DC" w:rsidRPr="00FE75DC">
        <w:rPr>
          <w:rFonts w:cs="Times New Roman"/>
        </w:rPr>
        <w:t>μm</w:t>
      </w:r>
      <w:proofErr w:type="spellEnd"/>
      <w:r w:rsidR="00FE75DC" w:rsidRPr="00FE75DC">
        <w:rPr>
          <w:rFonts w:cs="Times New Roman"/>
        </w:rPr>
        <w:t xml:space="preserve">, </w:t>
      </w:r>
      <w:proofErr w:type="spellStart"/>
      <w:r w:rsidR="00FE75DC" w:rsidRPr="00FE75DC">
        <w:rPr>
          <w:rFonts w:cs="Times New Roman"/>
        </w:rPr>
        <w:t>Polysciences</w:t>
      </w:r>
      <w:proofErr w:type="spellEnd"/>
      <w:r w:rsidR="00FE75DC" w:rsidRPr="00FE75DC">
        <w:rPr>
          <w:rFonts w:cs="Times New Roman"/>
        </w:rPr>
        <w:t xml:space="preserve">) used as internal standard, stained samples were analyzed with a BD Influx flow cytometer. Data were obtained using the Spigot Operating Software version 5.0 (BD Biosciences) and analyzed using </w:t>
      </w:r>
      <w:proofErr w:type="spellStart"/>
      <w:r w:rsidR="00FE75DC" w:rsidRPr="00FE75DC">
        <w:rPr>
          <w:rFonts w:cs="Times New Roman"/>
        </w:rPr>
        <w:t>FlowJo</w:t>
      </w:r>
      <w:proofErr w:type="spellEnd"/>
      <w:r w:rsidR="00FE75DC" w:rsidRPr="00FE75DC">
        <w:rPr>
          <w:rFonts w:cs="Times New Roman"/>
        </w:rPr>
        <w:t xml:space="preserve"> version 9.7.2 (Tree Star). A minimum of 10,000 cells was</w:t>
      </w:r>
      <w:r w:rsidR="00FE75DC" w:rsidRPr="00FE75DC">
        <w:rPr>
          <w:rFonts w:cs="Times New Roman"/>
          <w:i/>
        </w:rPr>
        <w:t xml:space="preserve"> </w:t>
      </w:r>
      <w:r w:rsidR="00FE75DC" w:rsidRPr="00FE75DC">
        <w:rPr>
          <w:rFonts w:cs="Times New Roman"/>
        </w:rPr>
        <w:t xml:space="preserve">collected per sample. DNA frequency distributions were analyzed using </w:t>
      </w:r>
      <w:proofErr w:type="spellStart"/>
      <w:r w:rsidR="00FE75DC" w:rsidRPr="00FE75DC">
        <w:rPr>
          <w:rFonts w:cs="Times New Roman"/>
        </w:rPr>
        <w:t>FlowJo</w:t>
      </w:r>
      <w:proofErr w:type="spellEnd"/>
      <w:r w:rsidR="00FE75DC" w:rsidRPr="00FE75DC">
        <w:rPr>
          <w:rFonts w:cs="Times New Roman"/>
        </w:rPr>
        <w:t xml:space="preserve">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2DB0B0BE" w14:textId="621CA0B9" w:rsidR="00E127C8" w:rsidRPr="004F2AEA" w:rsidRDefault="007C608D" w:rsidP="00FC5E5F">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proofErr w:type="spellStart"/>
      <w:r w:rsidR="00FE75DC" w:rsidRPr="004F2AEA">
        <w:rPr>
          <w:rFonts w:cs="Times New Roman"/>
          <w:i/>
        </w:rPr>
        <w:t>Rhodomonas</w:t>
      </w:r>
      <w:proofErr w:type="spellEnd"/>
      <w:r w:rsidRPr="004F2AEA">
        <w:rPr>
          <w:rFonts w:cs="Times New Roman"/>
          <w:i/>
        </w:rPr>
        <w:t xml:space="preserve"> </w:t>
      </w:r>
      <w:r w:rsidRPr="004F2AEA">
        <w:rPr>
          <w:rFonts w:cs="Times New Roman"/>
        </w:rPr>
        <w:t>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d</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proofErr w:type="spellStart"/>
      <w:r w:rsidR="00E127C8" w:rsidRPr="004F2AEA">
        <w:rPr>
          <w:rFonts w:cs="Times New Roman"/>
          <w:i/>
          <w:highlight w:val="yellow"/>
        </w:rPr>
        <w:t>g</w:t>
      </w:r>
      <w:r w:rsidR="00E127C8" w:rsidRPr="004F2AEA">
        <w:rPr>
          <w:rFonts w:cs="Times New Roman"/>
          <w:i/>
          <w:highlight w:val="yellow"/>
          <w:vertAlign w:val="subscript"/>
        </w:rPr>
        <w:t>max</w:t>
      </w:r>
      <w:proofErr w:type="spellEnd"/>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1966BCBF" w14:textId="77777777" w:rsidR="0077365D" w:rsidRPr="004F2AEA" w:rsidRDefault="0077365D" w:rsidP="0077365D">
      <w:pPr>
        <w:spacing w:line="360" w:lineRule="auto"/>
        <w:rPr>
          <w:rFonts w:cs="Times New Roman"/>
        </w:rPr>
      </w:pPr>
    </w:p>
    <w:p w14:paraId="1563B69E" w14:textId="77777777" w:rsidR="0077365D" w:rsidRPr="004F2AEA" w:rsidRDefault="0077365D" w:rsidP="0077365D">
      <w:pPr>
        <w:spacing w:line="360" w:lineRule="auto"/>
        <w:rPr>
          <w:rFonts w:cs="Times New Roman"/>
        </w:rPr>
      </w:pPr>
      <w:r w:rsidRPr="004F2AEA">
        <w:rPr>
          <w:rFonts w:cs="Times New Roman"/>
          <w:b/>
          <w:bCs/>
        </w:rPr>
        <w:t xml:space="preserve">Fluorescent In Situ Hybridization of </w:t>
      </w:r>
      <w:proofErr w:type="spellStart"/>
      <w:r w:rsidRPr="004F2AEA">
        <w:rPr>
          <w:rFonts w:cs="Times New Roman"/>
          <w:bCs/>
          <w:i/>
        </w:rPr>
        <w:t>Teleaulax</w:t>
      </w:r>
      <w:proofErr w:type="spellEnd"/>
      <w:r w:rsidRPr="004F2AEA">
        <w:rPr>
          <w:rFonts w:cs="Times New Roman"/>
          <w:bCs/>
          <w:i/>
        </w:rPr>
        <w:t xml:space="preserve"> </w:t>
      </w:r>
      <w:proofErr w:type="spellStart"/>
      <w:r w:rsidRPr="004F2AEA">
        <w:rPr>
          <w:rFonts w:cs="Times New Roman"/>
          <w:bCs/>
          <w:i/>
        </w:rPr>
        <w:t>amphioexa</w:t>
      </w:r>
      <w:proofErr w:type="spellEnd"/>
    </w:p>
    <w:p w14:paraId="2D618CF6" w14:textId="77777777" w:rsidR="0077365D" w:rsidRPr="004F2AEA" w:rsidRDefault="0077365D" w:rsidP="0077365D">
      <w:pPr>
        <w:spacing w:line="360" w:lineRule="auto"/>
        <w:rPr>
          <w:rFonts w:cs="Times New Roman"/>
        </w:rPr>
      </w:pPr>
      <w:r w:rsidRPr="004F2AEA">
        <w:rPr>
          <w:rFonts w:cs="Times New Roman"/>
          <w:highlight w:val="yellow"/>
        </w:rPr>
        <w:t>KM and PZ write this</w:t>
      </w:r>
    </w:p>
    <w:p w14:paraId="52976C17" w14:textId="77777777" w:rsidR="00BA7753" w:rsidRPr="004F2AEA" w:rsidRDefault="00BA7753"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proofErr w:type="spellStart"/>
      <w:r w:rsidRPr="004F2AEA">
        <w:rPr>
          <w:rFonts w:cs="Times New Roman"/>
          <w:b/>
        </w:rPr>
        <w:t>Mesodinium</w:t>
      </w:r>
      <w:proofErr w:type="spellEnd"/>
      <w:r w:rsidRPr="004F2AEA">
        <w:rPr>
          <w:rFonts w:cs="Times New Roman"/>
          <w:b/>
        </w:rPr>
        <w:t xml:space="preserve"> </w:t>
      </w:r>
      <w:proofErr w:type="spellStart"/>
      <w:r w:rsidR="004F2AEA">
        <w:rPr>
          <w:rFonts w:cs="Times New Roman"/>
          <w:b/>
        </w:rPr>
        <w:t>rubrum</w:t>
      </w:r>
      <w:proofErr w:type="spellEnd"/>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w:t>
      </w:r>
      <w:proofErr w:type="spellStart"/>
      <w:r w:rsidRPr="004F2AEA">
        <w:rPr>
          <w:rFonts w:cs="Times New Roman"/>
        </w:rPr>
        <w:t>FlowCAM</w:t>
      </w:r>
      <w:proofErr w:type="spellEnd"/>
      <w:r w:rsidRPr="004F2AEA">
        <w:rPr>
          <w:rFonts w:cs="Times New Roman"/>
        </w:rPr>
        <w:t xml:space="preserve">. </w:t>
      </w:r>
    </w:p>
    <w:p w14:paraId="16740EF9" w14:textId="655BFB7D" w:rsidR="00BA7753" w:rsidRPr="004F2AEA" w:rsidRDefault="00BA7753" w:rsidP="00BA7753">
      <w:pPr>
        <w:spacing w:line="360" w:lineRule="auto"/>
        <w:rPr>
          <w:rFonts w:cs="Times New Roman"/>
        </w:rPr>
      </w:pPr>
      <w:r w:rsidRPr="004F2AEA">
        <w:rPr>
          <w:rFonts w:cs="Times New Roman"/>
          <w:highlight w:val="yellow"/>
        </w:rPr>
        <w:t>TP writes this</w:t>
      </w:r>
      <w:r w:rsidRPr="004F2AEA">
        <w:rPr>
          <w:rFonts w:cs="Times New Roman"/>
        </w:rPr>
        <w:t xml:space="preserve"> </w:t>
      </w:r>
    </w:p>
    <w:p w14:paraId="722759BA" w14:textId="77777777" w:rsidR="00BA7753" w:rsidRPr="004F2AEA" w:rsidRDefault="00BA7753" w:rsidP="00BA7753">
      <w:pPr>
        <w:spacing w:line="360" w:lineRule="auto"/>
        <w:rPr>
          <w:rFonts w:cs="Times New Roman"/>
        </w:rPr>
      </w:pPr>
    </w:p>
    <w:p w14:paraId="6AAA25EF" w14:textId="7E38D935" w:rsidR="00BA7753" w:rsidRPr="004F2AEA" w:rsidRDefault="00BA7753" w:rsidP="00BA7753">
      <w:pPr>
        <w:spacing w:line="360" w:lineRule="auto"/>
        <w:rPr>
          <w:rFonts w:cs="Times New Roman"/>
        </w:rPr>
      </w:pPr>
      <w:r w:rsidRPr="004F2AEA">
        <w:rPr>
          <w:rFonts w:cs="Times New Roman"/>
          <w:b/>
          <w:bCs/>
        </w:rPr>
        <w:t xml:space="preserve">Nutrient </w:t>
      </w:r>
      <w:r w:rsidR="004F2AEA">
        <w:rPr>
          <w:rFonts w:cs="Times New Roman"/>
          <w:b/>
          <w:bCs/>
        </w:rPr>
        <w:t>concentrations</w:t>
      </w:r>
      <w:bookmarkStart w:id="4" w:name="_GoBack"/>
      <w:bookmarkEnd w:id="4"/>
      <w:r w:rsidRPr="004F2AEA">
        <w:rPr>
          <w:rFonts w:cs="Times New Roman"/>
          <w:b/>
          <w:bCs/>
        </w:rPr>
        <w:t xml:space="preserve"> </w:t>
      </w:r>
    </w:p>
    <w:p w14:paraId="1C7E3B49" w14:textId="39F47973" w:rsidR="00BA7753" w:rsidRPr="004F2AEA" w:rsidRDefault="00BA7753" w:rsidP="00BA7753">
      <w:pPr>
        <w:spacing w:line="360" w:lineRule="auto"/>
        <w:rPr>
          <w:rFonts w:cs="Times New Roman"/>
        </w:rPr>
      </w:pPr>
      <w:r w:rsidRPr="004F2AEA">
        <w:rPr>
          <w:rFonts w:cs="Times New Roman"/>
        </w:rPr>
        <w:t>30 mL surface water samples for nutrient analysis were taken in duplicate.</w:t>
      </w:r>
    </w:p>
    <w:p w14:paraId="31B523DB" w14:textId="77777777" w:rsidR="00BA7753" w:rsidRPr="004F2AEA" w:rsidRDefault="00BA7753" w:rsidP="00BA7753">
      <w:pPr>
        <w:spacing w:line="360" w:lineRule="auto"/>
        <w:rPr>
          <w:rFonts w:cs="Times New Roman"/>
        </w:rPr>
      </w:pPr>
      <w:r w:rsidRPr="004F2AEA">
        <w:rPr>
          <w:rFonts w:cs="Times New Roman"/>
          <w:highlight w:val="yellow"/>
        </w:rPr>
        <w:t>JN writes this</w:t>
      </w:r>
      <w:r w:rsidRPr="004F2AEA">
        <w:rPr>
          <w:rFonts w:cs="Times New Roman"/>
        </w:rPr>
        <w:t xml:space="preserve"> </w:t>
      </w:r>
    </w:p>
    <w:p w14:paraId="688B59A9" w14:textId="77777777" w:rsidR="00F34B51" w:rsidRPr="00FE75DC" w:rsidRDefault="00F34B51" w:rsidP="00FC5E5F">
      <w:pPr>
        <w:spacing w:line="480" w:lineRule="auto"/>
        <w:rPr>
          <w:rFonts w:cs="Times New Roman"/>
        </w:rPr>
      </w:pP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38680578" w:rsidR="00865D87" w:rsidRPr="00B2208E" w:rsidRDefault="00F34B51" w:rsidP="00865D87">
      <w:pPr>
        <w:spacing w:line="480" w:lineRule="auto"/>
        <w:jc w:val="both"/>
        <w:rPr>
          <w:rFonts w:cs="Times New Roman"/>
        </w:rPr>
      </w:pPr>
      <w:r w:rsidRPr="00FC5E5F">
        <w:rPr>
          <w:rFonts w:cs="Times New Roman"/>
        </w:rPr>
        <w:tab/>
        <w:t xml:space="preserve">The hourly division rates estimated using both cell cycle analysis and the model ranged </w:t>
      </w:r>
      <w:proofErr w:type="gramStart"/>
      <w:r w:rsidRPr="00FC5E5F">
        <w:rPr>
          <w:rFonts w:cs="Times New Roman"/>
        </w:rPr>
        <w:t xml:space="preserve">from 0.012 to 0.042 </w:t>
      </w:r>
      <w:r w:rsidR="006824CD">
        <w:rPr>
          <w:rFonts w:cs="Times New Roman"/>
        </w:rPr>
        <w:t>h</w:t>
      </w:r>
      <w:r w:rsidR="006824CD" w:rsidRPr="00FC5E5F">
        <w:rPr>
          <w:rFonts w:cs="Times New Roman"/>
          <w:vertAlign w:val="superscript"/>
        </w:rPr>
        <w:t>-1</w:t>
      </w:r>
      <w:proofErr w:type="gramEnd"/>
      <w:r w:rsidRPr="00FC5E5F">
        <w:rPr>
          <w:rFonts w:cs="Times New Roman"/>
        </w:rPr>
        <w:t xml:space="preserve">. The estimates for each method appear to follow the same general trend and are closely coupled throughout the </w:t>
      </w:r>
      <w:r w:rsidR="00FC7391">
        <w:rPr>
          <w:rFonts w:cs="Times New Roman"/>
        </w:rPr>
        <w:t>survey</w:t>
      </w:r>
      <w:r w:rsidRPr="00FC5E5F">
        <w:rPr>
          <w:rFonts w:cs="Times New Roman"/>
        </w:rPr>
        <w:t xml:space="preserve">. </w:t>
      </w:r>
      <w:r w:rsidR="00865D87" w:rsidRPr="00B2208E">
        <w:rPr>
          <w:rFonts w:cs="Times New Roman"/>
        </w:rPr>
        <w:t>The coefficients of determination R</w:t>
      </w:r>
      <w:r w:rsidR="00865D87" w:rsidRPr="00B2208E">
        <w:rPr>
          <w:rFonts w:cs="Times New Roman"/>
          <w:vertAlign w:val="superscript"/>
        </w:rPr>
        <w:t>2</w:t>
      </w:r>
      <w:r w:rsidR="00865D87" w:rsidRPr="00B2208E">
        <w:rPr>
          <w:rFonts w:cs="Times New Roman"/>
        </w:rPr>
        <w:t xml:space="preserve"> = 0.</w:t>
      </w:r>
      <w:r w:rsidR="007C608D">
        <w:rPr>
          <w:rFonts w:cs="Times New Roman"/>
        </w:rPr>
        <w:t>60</w:t>
      </w:r>
      <w:r w:rsidR="00865D87" w:rsidRPr="00B2208E">
        <w:rPr>
          <w:rFonts w:cs="Times New Roman"/>
        </w:rPr>
        <w:t xml:space="preserve"> (p &lt; </w:t>
      </w:r>
      <w:r w:rsidR="007C608D">
        <w:rPr>
          <w:rFonts w:cs="Times New Roman"/>
        </w:rPr>
        <w:t>0.001</w:t>
      </w:r>
      <w:r w:rsidR="00865D87" w:rsidRPr="00B2208E">
        <w:rPr>
          <w:rFonts w:cs="Times New Roman"/>
        </w:rPr>
        <w:t>) indicate that the division rate estimates from the model agree with those from DNA distributions (Fig. S</w:t>
      </w:r>
      <w:r w:rsidR="007C608D">
        <w:rPr>
          <w:rFonts w:cs="Times New Roman"/>
        </w:rPr>
        <w:t>2</w:t>
      </w:r>
      <w:r w:rsidR="00865D87" w:rsidRPr="00B2208E">
        <w:rPr>
          <w:rFonts w:cs="Times New Roman"/>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16441487" w14:textId="76F1CB32"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w:t>
      </w:r>
      <w:proofErr w:type="spellStart"/>
      <w:r w:rsidRPr="00FC5E5F">
        <w:rPr>
          <w:rFonts w:cs="Times New Roman"/>
        </w:rPr>
        <w:t>psu</w:t>
      </w:r>
      <w:proofErr w:type="spellEnd"/>
      <w:r w:rsidRPr="00FC5E5F">
        <w:rPr>
          <w:rFonts w:cs="Times New Roman"/>
        </w:rPr>
        <w:t xml:space="preserve">, respectively. In </w:t>
      </w:r>
      <w:r w:rsidR="00865D87">
        <w:rPr>
          <w:rFonts w:cs="Times New Roman"/>
        </w:rPr>
        <w:t>week 1 and 3</w:t>
      </w:r>
      <w:r w:rsidRPr="00FC5E5F">
        <w:rPr>
          <w:rFonts w:cs="Times New Roman"/>
        </w:rPr>
        <w:t xml:space="preserve">, the salinity is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w:t>
      </w:r>
      <w:proofErr w:type="spellStart"/>
      <w:r w:rsidRPr="00FC5E5F">
        <w:rPr>
          <w:rFonts w:cs="Times New Roman"/>
        </w:rPr>
        <w:t>psu</w:t>
      </w:r>
      <w:proofErr w:type="spellEnd"/>
      <w:r w:rsidRPr="00FC5E5F">
        <w:rPr>
          <w:rFonts w:cs="Times New Roman"/>
        </w:rPr>
        <w:t>)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High tide </w:t>
      </w:r>
      <w:r w:rsidR="00865D87">
        <w:rPr>
          <w:rFonts w:cs="Times New Roman"/>
        </w:rPr>
        <w:t>was</w:t>
      </w:r>
      <w:r w:rsidR="00865D87" w:rsidRPr="00FC5E5F">
        <w:rPr>
          <w:rFonts w:cs="Times New Roman"/>
        </w:rPr>
        <w:t xml:space="preserve"> </w:t>
      </w:r>
      <w:r w:rsidRPr="00FC5E5F">
        <w:rPr>
          <w:rFonts w:cs="Times New Roman"/>
        </w:rPr>
        <w:t xml:space="preserve">characterized by an influx of colder </w:t>
      </w:r>
      <w:r w:rsidR="00865D87" w:rsidRPr="00FC5E5F">
        <w:rPr>
          <w:rFonts w:cs="Times New Roman"/>
        </w:rPr>
        <w:t>s</w:t>
      </w:r>
      <w:r w:rsidR="00865D87">
        <w:rPr>
          <w:rFonts w:cs="Times New Roman"/>
        </w:rPr>
        <w:t>ea</w:t>
      </w:r>
      <w:r w:rsidRPr="00FC5E5F">
        <w:rPr>
          <w:rFonts w:cs="Times New Roman"/>
        </w:rPr>
        <w:t xml:space="preserve">water, and low tide by an increase </w:t>
      </w:r>
      <w:r w:rsidR="00865D87">
        <w:rPr>
          <w:rFonts w:cs="Times New Roman"/>
        </w:rPr>
        <w:t>of</w:t>
      </w:r>
      <w:r w:rsidR="00865D87" w:rsidRPr="00FC5E5F">
        <w:rPr>
          <w:rFonts w:cs="Times New Roman"/>
        </w:rPr>
        <w:t xml:space="preserve"> </w:t>
      </w:r>
      <w:r w:rsidRPr="00FC5E5F">
        <w:rPr>
          <w:rFonts w:cs="Times New Roman"/>
        </w:rPr>
        <w:t xml:space="preserve">warmer freshwater. </w:t>
      </w:r>
    </w:p>
    <w:p w14:paraId="4CD44C72" w14:textId="0FCB5DD7" w:rsidR="00F34B51" w:rsidRPr="00FE75DC" w:rsidRDefault="00F34B51" w:rsidP="00FC5E5F">
      <w:pPr>
        <w:spacing w:line="480" w:lineRule="auto"/>
        <w:rPr>
          <w:rFonts w:cs="Times New Roman"/>
        </w:rPr>
      </w:pPr>
      <w:r w:rsidRPr="00FE75DC">
        <w:rPr>
          <w:rFonts w:cs="Times New Roman"/>
        </w:rPr>
        <w:tab/>
      </w:r>
      <w:r w:rsidRPr="00FC5E5F">
        <w:rPr>
          <w:rFonts w:cs="Times New Roman"/>
        </w:rPr>
        <w:t xml:space="preserve">A </w:t>
      </w:r>
      <w:proofErr w:type="gramStart"/>
      <w:r w:rsidR="00865D87">
        <w:rPr>
          <w:rFonts w:cs="Times New Roman"/>
        </w:rPr>
        <w:t>6</w:t>
      </w:r>
      <w:r w:rsidRPr="00FC5E5F">
        <w:rPr>
          <w:rFonts w:cs="Times New Roman"/>
        </w:rPr>
        <w:t xml:space="preserve"> fold</w:t>
      </w:r>
      <w:proofErr w:type="gramEnd"/>
      <w:r w:rsidRPr="00FC5E5F">
        <w:rPr>
          <w:rFonts w:cs="Times New Roman"/>
        </w:rPr>
        <w:t xml:space="preserve">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p>
    <w:p w14:paraId="07857D3F" w14:textId="39ED3C3D" w:rsidR="00F34B51" w:rsidRPr="00FE75DC" w:rsidRDefault="00F34B51" w:rsidP="00FC5E5F">
      <w:pPr>
        <w:spacing w:line="480" w:lineRule="auto"/>
        <w:rPr>
          <w:rFonts w:cs="Times New Roman"/>
        </w:rPr>
      </w:pPr>
      <w:r w:rsidRPr="00FC5E5F">
        <w:rPr>
          <w:rFonts w:cs="Times New Roman"/>
        </w:rPr>
        <w:tab/>
        <w:t xml:space="preserve">Changes in phosphate and </w:t>
      </w:r>
      <w:r w:rsidR="00FC7391">
        <w:rPr>
          <w:rFonts w:cs="Times New Roman"/>
        </w:rPr>
        <w:t>dissolved inorganic nitrogen (DIN)</w:t>
      </w:r>
      <w:r w:rsidR="00FC7391" w:rsidRPr="00FC5E5F">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xml:space="preserve">). In the first week, nutrient concentrations remained relatively stable.  </w:t>
      </w:r>
      <w:r w:rsidR="00FC7391">
        <w:rPr>
          <w:rFonts w:cs="Times New Roman"/>
        </w:rPr>
        <w:t>Higher nutrient concentrations were observed at the beginning of week 2.</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0F470D59" w14:textId="702F2F62" w:rsidR="005B7744"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FC7391">
        <w:rPr>
          <w:rFonts w:cs="Times New Roman"/>
        </w:rPr>
        <w:t xml:space="preserve">ranged </w:t>
      </w:r>
      <w:proofErr w:type="gramStart"/>
      <w:r w:rsidR="00FC7391">
        <w:rPr>
          <w:rFonts w:cs="Times New Roman"/>
        </w:rPr>
        <w:t xml:space="preserve">from  </w:t>
      </w:r>
      <w:r w:rsidRPr="00FC5E5F">
        <w:rPr>
          <w:rFonts w:cs="Times New Roman"/>
        </w:rPr>
        <w:t>0.0</w:t>
      </w:r>
      <w:r w:rsidR="000F0ADB">
        <w:rPr>
          <w:rFonts w:cs="Times New Roman"/>
        </w:rPr>
        <w:t>2</w:t>
      </w:r>
      <w:proofErr w:type="gramEnd"/>
      <w:r w:rsidR="00FC7391"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00696794">
        <w:rPr>
          <w:rFonts w:cs="Times New Roman"/>
          <w:b/>
          <w:bCs/>
        </w:rPr>
        <w:t>A</w:t>
      </w:r>
      <w:r w:rsidRPr="00FC5E5F">
        <w:rPr>
          <w:rFonts w:cs="Times New Roman"/>
        </w:rPr>
        <w:t xml:space="preserve">). </w:t>
      </w:r>
      <w:r w:rsidR="000F0ADB">
        <w:rPr>
          <w:rFonts w:cs="Times New Roman"/>
        </w:rPr>
        <w:t xml:space="preserve">Cell </w:t>
      </w:r>
      <w:r w:rsidR="00CE6D1A" w:rsidRPr="0076654C">
        <w:rPr>
          <w:rFonts w:cs="Times New Roman"/>
        </w:rPr>
        <w:t xml:space="preserve">abundance did not appear to be correlated with tidal cycle, though oscillations in abundance did occur within individual days. </w:t>
      </w:r>
      <w:r w:rsidR="00CE6D1A" w:rsidRPr="007C608D">
        <w:rPr>
          <w:rFonts w:cs="Times New Roman"/>
          <w:highlight w:val="yellow"/>
        </w:rPr>
        <w:t xml:space="preserve">DESCRIBE </w:t>
      </w:r>
      <w:r w:rsidR="007C608D">
        <w:rPr>
          <w:rFonts w:cs="Times New Roman"/>
          <w:highlight w:val="yellow"/>
        </w:rPr>
        <w:t>the stochastic</w:t>
      </w:r>
      <w:r w:rsidR="007C608D" w:rsidRPr="007C608D">
        <w:rPr>
          <w:rFonts w:cs="Times New Roman"/>
          <w:highlight w:val="yellow"/>
        </w:rPr>
        <w:t xml:space="preserve"> variations in abundances</w:t>
      </w:r>
      <w:r w:rsidR="00CE6D1A" w:rsidRPr="007C608D">
        <w:rPr>
          <w:rFonts w:cs="Times New Roman"/>
          <w:highlight w:val="yellow"/>
        </w:rPr>
        <w:t>.</w:t>
      </w:r>
      <w:r w:rsidR="00CE6D1A">
        <w:rPr>
          <w:rFonts w:cs="Times New Roman"/>
        </w:rPr>
        <w:t xml:space="preserve"> </w:t>
      </w:r>
    </w:p>
    <w:p w14:paraId="3A6825F4" w14:textId="72C83924" w:rsidR="00F34B51" w:rsidRPr="00FE75DC" w:rsidRDefault="00FC7391" w:rsidP="00FC5E5F">
      <w:pPr>
        <w:spacing w:line="480" w:lineRule="auto"/>
        <w:rPr>
          <w:rFonts w:cs="Times New Roman"/>
        </w:rPr>
      </w:pPr>
      <w:r>
        <w:rPr>
          <w:rFonts w:cs="Times New Roman"/>
        </w:rPr>
        <w:t xml:space="preserve">The highest </w:t>
      </w:r>
      <w:r w:rsidR="000F0ADB">
        <w:rPr>
          <w:rFonts w:cs="Times New Roman"/>
        </w:rPr>
        <w:t>abundances</w:t>
      </w:r>
      <w:r>
        <w:rPr>
          <w:rFonts w:cs="Times New Roman"/>
        </w:rPr>
        <w:t xml:space="preserve"> were observed during the first two days of the survey, with </w:t>
      </w:r>
      <w:r w:rsidR="000F0ADB">
        <w:rPr>
          <w:rFonts w:cs="Times New Roman"/>
        </w:rPr>
        <w:t>daily-averaged</w:t>
      </w:r>
      <w:r w:rsidR="00F34B51" w:rsidRPr="00FC5E5F">
        <w:rPr>
          <w:rFonts w:cs="Times New Roman"/>
        </w:rPr>
        <w:t xml:space="preserve"> abundance </w:t>
      </w:r>
      <w:r w:rsidR="00CE6D1A">
        <w:rPr>
          <w:rFonts w:cs="Times New Roman"/>
        </w:rPr>
        <w:t>of</w:t>
      </w:r>
      <w:r w:rsidR="00CE6D1A" w:rsidRPr="00FC5E5F">
        <w:rPr>
          <w:rFonts w:cs="Times New Roman"/>
        </w:rPr>
        <w:t xml:space="preserve"> </w:t>
      </w:r>
      <w:r w:rsidR="00F34B51" w:rsidRPr="00FC5E5F">
        <w:rPr>
          <w:rFonts w:cs="Times New Roman"/>
        </w:rPr>
        <w:t>0.52</w:t>
      </w:r>
      <w:r w:rsidR="00CE6D1A">
        <w:rPr>
          <w:rFonts w:cs="Times New Roman"/>
        </w:rPr>
        <w:t xml:space="preserve"> </w:t>
      </w:r>
      <w:r w:rsidR="00F34B51"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Pr>
          <w:rFonts w:cs="Times New Roman"/>
        </w:rPr>
        <w:t>, while w</w:t>
      </w:r>
      <w:r w:rsidR="00F34B51" w:rsidRPr="00FC5E5F">
        <w:rPr>
          <w:rFonts w:cs="Times New Roman"/>
        </w:rPr>
        <w:t xml:space="preserve">eek 2 and 3 </w:t>
      </w:r>
      <w:r w:rsidR="00CE6D1A">
        <w:rPr>
          <w:rFonts w:cs="Times New Roman"/>
        </w:rPr>
        <w:t>exhibited</w:t>
      </w:r>
      <w:r w:rsidR="00CE6D1A" w:rsidRPr="00FC5E5F">
        <w:rPr>
          <w:rFonts w:cs="Times New Roman"/>
        </w:rPr>
        <w:t xml:space="preserve"> </w:t>
      </w:r>
      <w:r w:rsidR="00F34B51" w:rsidRPr="00FC5E5F">
        <w:rPr>
          <w:rFonts w:cs="Times New Roman"/>
        </w:rPr>
        <w:t>the lowest abundances</w:t>
      </w:r>
      <w:r w:rsidR="00CE6D1A">
        <w:rPr>
          <w:rFonts w:cs="Times New Roman"/>
        </w:rPr>
        <w:t>, with an average of</w:t>
      </w:r>
      <w:r w:rsidR="00F34B51" w:rsidRPr="00FC5E5F">
        <w:rPr>
          <w:rFonts w:cs="Times New Roman"/>
        </w:rPr>
        <w:t xml:space="preserve"> 0.08</w:t>
      </w:r>
      <w:r w:rsidR="00CE6D1A">
        <w:rPr>
          <w:rFonts w:cs="Times New Roman"/>
        </w:rPr>
        <w:t xml:space="preserve"> </w:t>
      </w:r>
      <w:r w:rsidR="00F34B51"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00F34B51"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00F34B51" w:rsidRPr="00FC5E5F">
        <w:rPr>
          <w:rFonts w:eastAsia="Calibri" w:cs="Times New Roman"/>
        </w:rPr>
        <w:t>respectively</w:t>
      </w:r>
      <w:r w:rsidR="00CE6D1A">
        <w:rPr>
          <w:rFonts w:eastAsia="Calibri" w:cs="Times New Roman"/>
        </w:rPr>
        <w:t xml:space="preserve">. </w:t>
      </w:r>
    </w:p>
    <w:p w14:paraId="4884D3D6" w14:textId="61CD2B03" w:rsidR="00F34B51" w:rsidRPr="00FE75DC" w:rsidRDefault="007C608D" w:rsidP="00FC5E5F">
      <w:pPr>
        <w:spacing w:line="480" w:lineRule="auto"/>
        <w:rPr>
          <w:rFonts w:cs="Times New Roman"/>
        </w:rPr>
      </w:pPr>
      <w:r>
        <w:rPr>
          <w:rFonts w:cs="Times New Roman"/>
        </w:rPr>
        <w:tab/>
      </w:r>
      <w:r w:rsidR="005B7744" w:rsidRPr="005D614B">
        <w:rPr>
          <w:rFonts w:cs="Times New Roman"/>
        </w:rPr>
        <w:t xml:space="preserve">Abundances of </w:t>
      </w:r>
      <w:r w:rsidR="005B7744" w:rsidRPr="005D614B">
        <w:rPr>
          <w:rFonts w:cs="Times New Roman"/>
          <w:i/>
          <w:iCs/>
        </w:rPr>
        <w:t>M. major</w:t>
      </w:r>
      <w:r w:rsidR="005B7744" w:rsidRPr="005D614B">
        <w:rPr>
          <w:rFonts w:cs="Times New Roman"/>
        </w:rPr>
        <w:t xml:space="preserve"> ranged from between </w:t>
      </w:r>
      <w:r w:rsidR="000F0ADB">
        <w:rPr>
          <w:rFonts w:cs="Times New Roman"/>
        </w:rPr>
        <w:t>0.0</w:t>
      </w:r>
      <w:r w:rsidR="005B7744" w:rsidRPr="005D614B">
        <w:rPr>
          <w:rFonts w:cs="Times New Roman"/>
        </w:rPr>
        <w:t>21-</w:t>
      </w:r>
      <w:r w:rsidR="000F0ADB">
        <w:rPr>
          <w:rFonts w:cs="Times New Roman"/>
        </w:rPr>
        <w:t>0.58 x 10</w:t>
      </w:r>
      <w:r w:rsidR="000F0ADB" w:rsidRPr="00FC5E5F">
        <w:rPr>
          <w:rFonts w:cs="Times New Roman"/>
          <w:vertAlign w:val="superscript"/>
        </w:rPr>
        <w:t>6</w:t>
      </w:r>
      <w:r w:rsidR="005B7744" w:rsidRPr="005D614B">
        <w:rPr>
          <w:rFonts w:cs="Times New Roman"/>
        </w:rPr>
        <w:t xml:space="preserve"> cells </w:t>
      </w:r>
      <w:r w:rsidR="005B7744" w:rsidRPr="005D614B">
        <w:rPr>
          <w:rFonts w:eastAsia="Calibri" w:cs="Times New Roman"/>
        </w:rPr>
        <w:t>L</w:t>
      </w:r>
      <w:r w:rsidR="005B7744" w:rsidRPr="008A0DAC">
        <w:rPr>
          <w:rFonts w:eastAsia="Calibri" w:cs="Times New Roman"/>
          <w:vertAlign w:val="superscript"/>
        </w:rPr>
        <w:t>-</w:t>
      </w:r>
      <w:r w:rsidR="005B7744" w:rsidRPr="005D614B">
        <w:rPr>
          <w:rFonts w:eastAsia="Calibri" w:cs="Times New Roman"/>
        </w:rPr>
        <w:t xml:space="preserve">¹, with the highest values occurring </w:t>
      </w:r>
      <w:r w:rsidR="000F0ADB">
        <w:rPr>
          <w:rFonts w:eastAsia="Calibri" w:cs="Times New Roman"/>
        </w:rPr>
        <w:t>the second days of the survey</w:t>
      </w:r>
      <w:r w:rsidR="002512CF">
        <w:rPr>
          <w:rFonts w:eastAsia="Calibri" w:cs="Times New Roman"/>
        </w:rPr>
        <w:t xml:space="preserve"> that coincided with the highest values of TLC abundances </w:t>
      </w:r>
      <w:r w:rsidR="002512CF" w:rsidRPr="005D614B">
        <w:rPr>
          <w:rFonts w:eastAsia="Calibri" w:cs="Times New Roman"/>
        </w:rPr>
        <w:t>(</w:t>
      </w:r>
      <w:r w:rsidR="002512CF" w:rsidRPr="00FC5E5F">
        <w:rPr>
          <w:rFonts w:eastAsia="Calibri" w:cs="Times New Roman"/>
          <w:b/>
        </w:rPr>
        <w:t>Fig. 3</w:t>
      </w:r>
      <w:r w:rsidR="002512CF" w:rsidRPr="005D614B">
        <w:rPr>
          <w:rFonts w:eastAsia="Calibri" w:cs="Times New Roman"/>
        </w:rPr>
        <w:t>)</w:t>
      </w:r>
      <w:r w:rsidR="005B7744" w:rsidRPr="005D614B">
        <w:rPr>
          <w:rFonts w:eastAsia="Calibri" w:cs="Times New Roman"/>
        </w:rPr>
        <w:t>.</w:t>
      </w:r>
      <w:r w:rsidR="002512CF" w:rsidRPr="002512CF">
        <w:rPr>
          <w:rFonts w:eastAsia="Calibri" w:cs="Times New Roman"/>
        </w:rPr>
        <w:t xml:space="preserve"> </w:t>
      </w:r>
      <w:r w:rsidR="000F0ADB" w:rsidRPr="005D614B">
        <w:rPr>
          <w:rFonts w:eastAsia="Calibri" w:cs="Times New Roman"/>
        </w:rPr>
        <w:t xml:space="preserve"> </w:t>
      </w:r>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 xml:space="preserve">14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r w:rsidR="005B7744" w:rsidRPr="00FC5E5F">
        <w:rPr>
          <w:rFonts w:eastAsia="Calibri" w:cs="Times New Roman"/>
          <w:vertAlign w:val="superscript"/>
        </w:rPr>
        <w:t>-</w:t>
      </w:r>
      <w:r w:rsidR="005B7744" w:rsidRPr="005D614B">
        <w:rPr>
          <w:rFonts w:eastAsia="Calibri" w:cs="Times New Roman"/>
        </w:rPr>
        <w:t xml:space="preserve">¹, and coincided </w:t>
      </w:r>
      <w:r w:rsidR="005B7744" w:rsidRPr="005D614B">
        <w:rPr>
          <w:rFonts w:eastAsia="Calibri" w:cs="Times New Roman"/>
        </w:rPr>
        <w:lastRenderedPageBreak/>
        <w:t>with decreasing nutrient concentrations (</w:t>
      </w:r>
      <w:r w:rsidR="006824CD" w:rsidRPr="00FC5E5F">
        <w:rPr>
          <w:rFonts w:eastAsia="Calibri" w:cs="Times New Roman"/>
          <w:b/>
        </w:rPr>
        <w:t>F</w:t>
      </w:r>
      <w:r w:rsidR="005B7744" w:rsidRPr="00FC5E5F">
        <w:rPr>
          <w:rFonts w:eastAsia="Calibri" w:cs="Times New Roman"/>
          <w:b/>
        </w:rPr>
        <w:t>ig. 2</w:t>
      </w:r>
      <w:r w:rsidR="006824CD" w:rsidRPr="00FC5E5F">
        <w:rPr>
          <w:rFonts w:eastAsia="Calibri" w:cs="Times New Roman"/>
          <w:b/>
        </w:rPr>
        <w:t>C</w:t>
      </w:r>
      <w:r w:rsidR="005B7744" w:rsidRPr="005D614B">
        <w:rPr>
          <w:rFonts w:eastAsia="Calibri" w:cs="Times New Roman"/>
        </w:rPr>
        <w:t>). The lowest average was during week</w:t>
      </w:r>
      <w:r w:rsidR="000F0ADB">
        <w:rPr>
          <w:rFonts w:eastAsia="Calibri" w:cs="Times New Roman"/>
        </w:rPr>
        <w:t xml:space="preserve"> </w:t>
      </w:r>
      <w:r w:rsidR="002512CF">
        <w:rPr>
          <w:rFonts w:eastAsia="Calibri" w:cs="Times New Roman"/>
        </w:rPr>
        <w:t xml:space="preserve">2 and </w:t>
      </w:r>
      <w:r w:rsidR="000F0ADB">
        <w:rPr>
          <w:rFonts w:eastAsia="Calibri" w:cs="Times New Roman"/>
        </w:rPr>
        <w:t>4</w:t>
      </w:r>
      <w:r w:rsidR="005B7744" w:rsidRPr="005D614B">
        <w:rPr>
          <w:rFonts w:eastAsia="Calibri" w:cs="Times New Roman"/>
        </w:rPr>
        <w:t xml:space="preserve"> with </w:t>
      </w:r>
      <w:r w:rsidR="002512CF">
        <w:rPr>
          <w:rFonts w:eastAsia="Calibri" w:cs="Times New Roman"/>
        </w:rPr>
        <w:t xml:space="preserve">0.13 and </w:t>
      </w:r>
      <w:r w:rsidR="000F0ADB">
        <w:rPr>
          <w:rFonts w:eastAsia="Calibri" w:cs="Times New Roman"/>
        </w:rPr>
        <w:t>0.</w:t>
      </w:r>
      <w:r w:rsidR="002512CF">
        <w:rPr>
          <w:rFonts w:eastAsia="Calibri" w:cs="Times New Roman"/>
        </w:rPr>
        <w:t xml:space="preserve">09 x </w:t>
      </w:r>
      <w:r w:rsidR="000F0ADB">
        <w:rPr>
          <w:rFonts w:cs="Times New Roman"/>
        </w:rPr>
        <w:t>10</w:t>
      </w:r>
      <w:r w:rsidR="000F0ADB" w:rsidRPr="008A0DAC">
        <w:rPr>
          <w:rFonts w:cs="Times New Roman"/>
          <w:vertAlign w:val="superscript"/>
        </w:rPr>
        <w:t>6</w:t>
      </w:r>
      <w:r w:rsidR="005B7744" w:rsidRPr="005D614B">
        <w:rPr>
          <w:rFonts w:eastAsia="Calibri" w:cs="Times New Roman"/>
        </w:rPr>
        <w:t xml:space="preserve"> </w:t>
      </w:r>
      <w:r w:rsidR="002512CF">
        <w:rPr>
          <w:rFonts w:eastAsia="Calibri" w:cs="Times New Roman"/>
        </w:rPr>
        <w:t xml:space="preserve">cells </w:t>
      </w:r>
      <w:r w:rsidR="005B7744" w:rsidRPr="005D614B">
        <w:rPr>
          <w:rFonts w:eastAsia="Calibri" w:cs="Times New Roman"/>
        </w:rPr>
        <w:t>L</w:t>
      </w:r>
      <w:r w:rsidR="005B7744" w:rsidRPr="008A0DAC">
        <w:rPr>
          <w:rFonts w:eastAsia="Calibri" w:cs="Times New Roman"/>
          <w:vertAlign w:val="superscript"/>
        </w:rPr>
        <w:t>-</w:t>
      </w:r>
      <w:r w:rsidR="005B7744">
        <w:rPr>
          <w:rFonts w:eastAsia="Calibri" w:cs="Times New Roman"/>
          <w:vertAlign w:val="superscript"/>
        </w:rPr>
        <w:t>1</w:t>
      </w:r>
      <w:r w:rsidR="005B7744" w:rsidRPr="005D614B">
        <w:rPr>
          <w:rFonts w:eastAsia="Calibri" w:cs="Times New Roman"/>
        </w:rPr>
        <w:t xml:space="preserve">, </w:t>
      </w:r>
      <w:r w:rsidR="002512CF">
        <w:rPr>
          <w:rFonts w:eastAsia="Calibri" w:cs="Times New Roman"/>
        </w:rPr>
        <w:t xml:space="preserve">respectively, which </w:t>
      </w:r>
      <w:r w:rsidR="005B7744" w:rsidRPr="005D614B">
        <w:rPr>
          <w:rFonts w:eastAsia="Calibri" w:cs="Times New Roman"/>
        </w:rPr>
        <w:t xml:space="preserve">coincided with the </w:t>
      </w:r>
      <w:r w:rsidR="000F0ADB">
        <w:rPr>
          <w:rFonts w:eastAsia="Calibri" w:cs="Times New Roman"/>
        </w:rPr>
        <w:t>low</w:t>
      </w:r>
      <w:r w:rsidR="005B7744" w:rsidRPr="005D614B">
        <w:rPr>
          <w:rFonts w:eastAsia="Calibri" w:cs="Times New Roman"/>
        </w:rPr>
        <w:t xml:space="preserve">est </w:t>
      </w:r>
      <w:r w:rsidR="000F0ADB">
        <w:rPr>
          <w:rFonts w:eastAsia="Calibri" w:cs="Times New Roman"/>
        </w:rPr>
        <w:t>abundances of TLC</w:t>
      </w:r>
      <w:r w:rsidR="005B7744" w:rsidRPr="005D614B">
        <w:rPr>
          <w:rFonts w:eastAsia="Calibri" w:cs="Times New Roman"/>
        </w:rPr>
        <w:t xml:space="preserve"> (</w:t>
      </w:r>
      <w:r w:rsidR="00696794" w:rsidRPr="00FC5E5F">
        <w:rPr>
          <w:rFonts w:eastAsia="Calibri" w:cs="Times New Roman"/>
          <w:b/>
        </w:rPr>
        <w:t>F</w:t>
      </w:r>
      <w:r w:rsidR="005B7744" w:rsidRPr="00FC5E5F">
        <w:rPr>
          <w:rFonts w:eastAsia="Calibri" w:cs="Times New Roman"/>
          <w:b/>
        </w:rPr>
        <w:t>ig. 3</w:t>
      </w:r>
      <w:r w:rsidR="00696794" w:rsidRPr="00FC5E5F">
        <w:rPr>
          <w:rFonts w:eastAsia="Calibri" w:cs="Times New Roman"/>
          <w:b/>
        </w:rPr>
        <w:t>A</w:t>
      </w:r>
      <w:r w:rsidR="005B7744" w:rsidRPr="005D614B">
        <w:rPr>
          <w:rFonts w:eastAsia="Calibri" w:cs="Times New Roman"/>
        </w:rPr>
        <w:t xml:space="preserve">). </w:t>
      </w:r>
      <w:r w:rsidR="002512CF">
        <w:rPr>
          <w:rFonts w:eastAsia="Calibri" w:cs="Times New Roman"/>
        </w:rPr>
        <w:t xml:space="preserve">A positive correlation between abundances of TLC and </w:t>
      </w:r>
      <w:r w:rsidR="002512CF" w:rsidRPr="004B24FD">
        <w:rPr>
          <w:rFonts w:eastAsia="Calibri" w:cs="Times New Roman"/>
          <w:i/>
        </w:rPr>
        <w:t>M. major</w:t>
      </w:r>
      <w:r w:rsidR="002512CF">
        <w:rPr>
          <w:rFonts w:eastAsia="Calibri" w:cs="Times New Roman"/>
        </w:rPr>
        <w:t xml:space="preserve"> was observed during the survey (R</w:t>
      </w:r>
      <w:r w:rsidR="002512CF" w:rsidRPr="00F513DF">
        <w:rPr>
          <w:rFonts w:eastAsia="Calibri" w:cs="Times New Roman"/>
          <w:vertAlign w:val="superscript"/>
        </w:rPr>
        <w:t>2</w:t>
      </w:r>
      <w:r w:rsidR="002512CF">
        <w:rPr>
          <w:rFonts w:eastAsia="Calibri" w:cs="Times New Roman"/>
        </w:rPr>
        <w:t xml:space="preserve"> = 0.63, p &lt; 0.001) (</w:t>
      </w:r>
      <w:r w:rsidR="002512CF" w:rsidRPr="00FC5E5F">
        <w:rPr>
          <w:rFonts w:eastAsia="Calibri" w:cs="Times New Roman"/>
          <w:b/>
        </w:rPr>
        <w:t>Fig. 4</w:t>
      </w:r>
      <w:r w:rsidR="002512CF">
        <w:rPr>
          <w:rFonts w:eastAsia="Calibri" w:cs="Times New Roman"/>
        </w:rPr>
        <w:t>)</w:t>
      </w:r>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7061FF6E"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proofErr w:type="spellStart"/>
      <w:r w:rsidR="001F5A8D" w:rsidRPr="00FC5E5F">
        <w:rPr>
          <w:rFonts w:cs="Times New Roman"/>
          <w:i/>
        </w:rPr>
        <w:t>Teleaulax</w:t>
      </w:r>
      <w:proofErr w:type="spellEnd"/>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0 ± 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xml:space="preserve">, which correspond to 0.43 and 2.4 </w:t>
      </w:r>
      <w:proofErr w:type="gramStart"/>
      <w:r w:rsidR="00CA5519">
        <w:rPr>
          <w:rFonts w:cs="Times New Roman"/>
        </w:rPr>
        <w:t>division</w:t>
      </w:r>
      <w:proofErr w:type="gramEnd"/>
      <w:r w:rsidR="00CA5519">
        <w:rPr>
          <w:rFonts w:cs="Times New Roman"/>
        </w:rPr>
        <w:t xml:space="preserve"> per day, respectively.  </w:t>
      </w:r>
      <w:r w:rsidR="00FF2F97">
        <w:rPr>
          <w:rFonts w:cs="Times New Roman"/>
        </w:rPr>
        <w:t>The highest division rates were observed during the first two weeks, when concentrations of inorganic nutrients were the highest (</w:t>
      </w:r>
      <w:r w:rsidR="00FF2F97" w:rsidRPr="007C608D">
        <w:rPr>
          <w:rFonts w:cs="Times New Roman"/>
          <w:b/>
        </w:rPr>
        <w:t>Fig. 2C</w:t>
      </w:r>
      <w:r w:rsidR="00FF2F97">
        <w:rPr>
          <w:rFonts w:cs="Times New Roman"/>
        </w:rPr>
        <w:t xml:space="preserve">).  </w:t>
      </w:r>
      <w:r w:rsidR="00AC5751">
        <w:rPr>
          <w:rFonts w:cs="Times New Roman"/>
        </w:rPr>
        <w:t>While no</w:t>
      </w:r>
      <w:r w:rsidR="00222090">
        <w:rPr>
          <w:rFonts w:cs="Times New Roman"/>
        </w:rPr>
        <w:t xml:space="preserve"> significant correlation was observed between division rates and environmental conditions such as temperature, salinity, PAR and nutrient concentrations (</w:t>
      </w:r>
      <w:r w:rsidR="00222090" w:rsidRPr="007C608D">
        <w:rPr>
          <w:rFonts w:cs="Times New Roman"/>
          <w:b/>
        </w:rPr>
        <w:t>Fig. 6A-E</w:t>
      </w:r>
      <w:r w:rsidR="00222090">
        <w:rPr>
          <w:rFonts w:cs="Times New Roman"/>
        </w:rPr>
        <w:t>)</w:t>
      </w:r>
      <w:r w:rsidR="00AC5751">
        <w:rPr>
          <w:rFonts w:cs="Times New Roman"/>
        </w:rPr>
        <w:t xml:space="preserve">, a positive correlation </w:t>
      </w:r>
      <w:r w:rsidR="007C608D">
        <w:rPr>
          <w:rFonts w:cs="Times New Roman"/>
        </w:rPr>
        <w:t xml:space="preserve">was observed </w:t>
      </w:r>
      <w:r w:rsidR="00AC5751">
        <w:rPr>
          <w:rFonts w:cs="Times New Roman"/>
        </w:rPr>
        <w:t>between cell production (i.e., cell abundance x division rate) and concentration of dissolved inorganic nitrogen (R</w:t>
      </w:r>
      <w:r w:rsidR="00AC5751" w:rsidRPr="00FC5E5F">
        <w:rPr>
          <w:rFonts w:cs="Times New Roman"/>
          <w:vertAlign w:val="superscript"/>
        </w:rPr>
        <w:t>2</w:t>
      </w:r>
      <w:r w:rsidR="00AC5751">
        <w:rPr>
          <w:rFonts w:cs="Times New Roman"/>
        </w:rPr>
        <w:t xml:space="preserve"> = 0.57, p &lt; 0.01)</w:t>
      </w:r>
      <w:r w:rsidR="00222090">
        <w:rPr>
          <w:rFonts w:cs="Times New Roman"/>
        </w:rPr>
        <w:t xml:space="preserve"> </w:t>
      </w:r>
      <w:r w:rsidR="00AC5751">
        <w:rPr>
          <w:rFonts w:cs="Times New Roman"/>
        </w:rPr>
        <w:t>(</w:t>
      </w:r>
      <w:r w:rsidR="00AC5751" w:rsidRPr="007C608D">
        <w:rPr>
          <w:rFonts w:cs="Times New Roman"/>
          <w:b/>
        </w:rPr>
        <w:t>Fig. 6F</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79DF3C20" w14:textId="1169EFB0" w:rsidR="001E5066" w:rsidRPr="00FC5E5F" w:rsidRDefault="001E5066" w:rsidP="00FC5E5F">
      <w:pPr>
        <w:spacing w:line="480" w:lineRule="auto"/>
        <w:rPr>
          <w:rFonts w:cs="Times New Roman"/>
          <w:b/>
        </w:rPr>
      </w:pPr>
      <w:r w:rsidRPr="00FC5E5F">
        <w:rPr>
          <w:rFonts w:cs="Times New Roman"/>
          <w:b/>
        </w:rPr>
        <w:t xml:space="preserve">Dynamics of </w:t>
      </w:r>
      <w:proofErr w:type="spellStart"/>
      <w:r w:rsidRPr="00FC5E5F">
        <w:rPr>
          <w:rFonts w:cs="Times New Roman"/>
          <w:b/>
          <w:i/>
        </w:rPr>
        <w:t>Teleaulax</w:t>
      </w:r>
      <w:proofErr w:type="spellEnd"/>
      <w:r w:rsidRPr="00FC5E5F">
        <w:rPr>
          <w:rFonts w:cs="Times New Roman"/>
          <w:b/>
        </w:rPr>
        <w:t>-like cryptophytes</w:t>
      </w:r>
    </w:p>
    <w:p w14:paraId="192F7D98" w14:textId="6F435336" w:rsidR="001E5066" w:rsidRDefault="007C608D" w:rsidP="00FC5E5F">
      <w:pPr>
        <w:spacing w:line="480" w:lineRule="auto"/>
        <w:rPr>
          <w:rFonts w:cs="Times New Roman"/>
        </w:rPr>
      </w:pPr>
      <w:r>
        <w:rPr>
          <w:rFonts w:cs="Times New Roman"/>
        </w:rPr>
        <w:tab/>
      </w:r>
      <w:r w:rsidR="00AC5751">
        <w:rPr>
          <w:rFonts w:cs="Times New Roman"/>
        </w:rPr>
        <w:t xml:space="preserve">To the best of our knowledge, this study is the first to attempt to measure </w:t>
      </w:r>
      <w:r w:rsidR="001E5066">
        <w:rPr>
          <w:rFonts w:cs="Times New Roman"/>
        </w:rPr>
        <w:t xml:space="preserve">abundance of </w:t>
      </w:r>
      <w:proofErr w:type="spellStart"/>
      <w:r w:rsidR="00AC5751" w:rsidRPr="00FC5E5F">
        <w:rPr>
          <w:rFonts w:cs="Times New Roman"/>
          <w:i/>
        </w:rPr>
        <w:t>Teleaulax</w:t>
      </w:r>
      <w:proofErr w:type="spellEnd"/>
      <w:r w:rsidR="00AC5751">
        <w:rPr>
          <w:rFonts w:cs="Times New Roman"/>
        </w:rPr>
        <w:t>-like cryptophyte</w:t>
      </w:r>
      <w:r w:rsidR="003471DD">
        <w:rPr>
          <w:rFonts w:cs="Times New Roman"/>
        </w:rPr>
        <w:t>s</w:t>
      </w:r>
      <w:r w:rsidR="00AC5751">
        <w:rPr>
          <w:rFonts w:cs="Times New Roman"/>
        </w:rPr>
        <w:t xml:space="preserve"> over tidal cycles. W</w:t>
      </w:r>
      <w:r w:rsidR="00F34B51" w:rsidRPr="00FC5E5F">
        <w:rPr>
          <w:rFonts w:cs="Times New Roman"/>
        </w:rPr>
        <w:t xml:space="preserve">hile </w:t>
      </w:r>
      <w:r w:rsidR="00AC5751">
        <w:rPr>
          <w:rFonts w:cs="Times New Roman"/>
        </w:rPr>
        <w:t>important</w:t>
      </w:r>
      <w:r w:rsidR="00AC5751" w:rsidRPr="00FC5E5F">
        <w:rPr>
          <w:rFonts w:cs="Times New Roman"/>
        </w:rPr>
        <w:t xml:space="preserve"> </w:t>
      </w:r>
      <w:r w:rsidR="00AC5751">
        <w:rPr>
          <w:rFonts w:cs="Times New Roman"/>
        </w:rPr>
        <w:t xml:space="preserve">variations in cell abundances </w:t>
      </w:r>
      <w:r w:rsidR="00F34B51" w:rsidRPr="00FC5E5F">
        <w:rPr>
          <w:rFonts w:cs="Times New Roman"/>
        </w:rPr>
        <w:t>occur</w:t>
      </w:r>
      <w:r w:rsidR="00AC5751">
        <w:rPr>
          <w:rFonts w:cs="Times New Roman"/>
        </w:rPr>
        <w:t xml:space="preserve">red </w:t>
      </w:r>
      <w:r w:rsidR="003471DD">
        <w:rPr>
          <w:rFonts w:cs="Times New Roman"/>
        </w:rPr>
        <w:t>within the tidal</w:t>
      </w:r>
      <w:r w:rsidR="00AC5751">
        <w:rPr>
          <w:rFonts w:cs="Times New Roman"/>
        </w:rPr>
        <w:t xml:space="preserve"> cycle</w:t>
      </w:r>
      <w:r w:rsidR="003471DD">
        <w:rPr>
          <w:rFonts w:cs="Times New Roman"/>
        </w:rPr>
        <w:t>s</w:t>
      </w:r>
      <w:r w:rsidR="00F34B51" w:rsidRPr="00FC5E5F">
        <w:rPr>
          <w:rFonts w:cs="Times New Roman"/>
        </w:rPr>
        <w:t xml:space="preserve">, </w:t>
      </w:r>
      <w:r w:rsidR="003471DD">
        <w:rPr>
          <w:rFonts w:cs="Times New Roman"/>
        </w:rPr>
        <w:t xml:space="preserve">no general correlation between tidal cycle and abundance of </w:t>
      </w:r>
      <w:proofErr w:type="spellStart"/>
      <w:r w:rsidR="003471DD">
        <w:rPr>
          <w:rFonts w:cs="Times New Roman"/>
        </w:rPr>
        <w:t>Teleaulax</w:t>
      </w:r>
      <w:proofErr w:type="spellEnd"/>
      <w:r w:rsidR="003471DD">
        <w:rPr>
          <w:rFonts w:cs="Times New Roman"/>
        </w:rPr>
        <w:t xml:space="preserve">-like cryptophytes patterns emerged from our survey. Although </w:t>
      </w:r>
      <w:r w:rsidR="003471DD" w:rsidRPr="004C6C68">
        <w:rPr>
          <w:rFonts w:cs="Times New Roman"/>
        </w:rPr>
        <w:t xml:space="preserve">co-occurring biological </w:t>
      </w:r>
      <w:r w:rsidR="003471DD">
        <w:rPr>
          <w:rFonts w:cs="Times New Roman"/>
        </w:rPr>
        <w:t xml:space="preserve">and physical processes may </w:t>
      </w:r>
      <w:r w:rsidR="001E5066">
        <w:rPr>
          <w:rFonts w:cs="Times New Roman"/>
        </w:rPr>
        <w:t>obscure</w:t>
      </w:r>
      <w:r w:rsidR="003471DD" w:rsidRPr="004C6C68">
        <w:rPr>
          <w:rFonts w:cs="Times New Roman"/>
        </w:rPr>
        <w:t xml:space="preserve"> this relationship</w:t>
      </w:r>
      <w:r w:rsidR="003471DD">
        <w:rPr>
          <w:rFonts w:cs="Times New Roman"/>
        </w:rPr>
        <w:t xml:space="preserve">, our result indicate that </w:t>
      </w:r>
      <w:proofErr w:type="spellStart"/>
      <w:r w:rsidR="003471DD" w:rsidRPr="00FC5E5F">
        <w:rPr>
          <w:rFonts w:cs="Times New Roman"/>
          <w:i/>
        </w:rPr>
        <w:t>Teleaulax</w:t>
      </w:r>
      <w:proofErr w:type="spellEnd"/>
      <w:r w:rsidR="003471DD">
        <w:rPr>
          <w:rFonts w:cs="Times New Roman"/>
        </w:rPr>
        <w:t>-like cryptophytes w</w:t>
      </w:r>
      <w:r w:rsidR="005B2226">
        <w:rPr>
          <w:rFonts w:cs="Times New Roman"/>
        </w:rPr>
        <w:t>as</w:t>
      </w:r>
      <w:r w:rsidR="003471DD">
        <w:rPr>
          <w:rFonts w:cs="Times New Roman"/>
        </w:rPr>
        <w:t xml:space="preserve"> not </w:t>
      </w:r>
      <w:r w:rsidR="001E5066">
        <w:rPr>
          <w:rFonts w:cs="Times New Roman"/>
        </w:rPr>
        <w:t xml:space="preserve">associated with any particular water masses (i.e., marine or freshwater) suggesting </w:t>
      </w:r>
      <w:r w:rsidRPr="007C608D">
        <w:rPr>
          <w:rFonts w:cs="Times New Roman"/>
          <w:highlight w:val="yellow"/>
        </w:rPr>
        <w:t>SOMETHING (</w:t>
      </w:r>
      <w:r w:rsidR="001E5066" w:rsidRPr="007C608D">
        <w:rPr>
          <w:rFonts w:cs="Times New Roman"/>
          <w:highlight w:val="yellow"/>
        </w:rPr>
        <w:t xml:space="preserve">that </w:t>
      </w:r>
      <w:proofErr w:type="spellStart"/>
      <w:r w:rsidR="001E5066" w:rsidRPr="007C608D">
        <w:rPr>
          <w:rFonts w:cs="Times New Roman"/>
          <w:i/>
          <w:highlight w:val="yellow"/>
        </w:rPr>
        <w:t>Teleaulax</w:t>
      </w:r>
      <w:proofErr w:type="spellEnd"/>
      <w:r w:rsidR="001E5066" w:rsidRPr="007C608D">
        <w:rPr>
          <w:rFonts w:cs="Times New Roman"/>
          <w:highlight w:val="yellow"/>
        </w:rPr>
        <w:t>-like cryptophytes are estuarine</w:t>
      </w:r>
      <w:r w:rsidRPr="007C608D">
        <w:rPr>
          <w:rFonts w:cs="Times New Roman"/>
          <w:highlight w:val="yellow"/>
        </w:rPr>
        <w:t xml:space="preserve"> species?)</w:t>
      </w:r>
      <w:r w:rsidR="009E185E" w:rsidRPr="007C608D">
        <w:rPr>
          <w:rFonts w:cs="Times New Roman"/>
          <w:highlight w:val="yellow"/>
        </w:rPr>
        <w:t>.</w:t>
      </w:r>
      <w:r w:rsidR="001E5066">
        <w:rPr>
          <w:rFonts w:cs="Times New Roman"/>
        </w:rPr>
        <w:t xml:space="preserve"> </w:t>
      </w:r>
    </w:p>
    <w:p w14:paraId="726A4A01" w14:textId="77777777" w:rsidR="00962DC5" w:rsidRPr="00FE75DC" w:rsidRDefault="00962DC5" w:rsidP="00962DC5">
      <w:pPr>
        <w:spacing w:line="480" w:lineRule="auto"/>
        <w:rPr>
          <w:rFonts w:cs="Times New Roman"/>
        </w:rPr>
      </w:pPr>
      <w:r w:rsidRPr="00845FEE">
        <w:rPr>
          <w:rFonts w:cs="Times New Roman"/>
          <w:color w:val="FF0000"/>
          <w:highlight w:val="yellow"/>
        </w:rPr>
        <w:t>## THIS IS WHERE I STOPPED TODAY ###</w:t>
      </w:r>
    </w:p>
    <w:p w14:paraId="6DA10F43" w14:textId="26E149C5" w:rsidR="00F34B51" w:rsidRPr="00FE75DC" w:rsidRDefault="00F34B51" w:rsidP="00FC5E5F">
      <w:pPr>
        <w:spacing w:line="480" w:lineRule="auto"/>
        <w:rPr>
          <w:rFonts w:cs="Times New Roman"/>
        </w:rPr>
      </w:pPr>
      <w:r w:rsidRPr="00FC5E5F">
        <w:rPr>
          <w:rFonts w:cs="Times New Roman"/>
        </w:rPr>
        <w:tab/>
      </w:r>
      <w:r w:rsidR="006E26A8">
        <w:rPr>
          <w:rFonts w:cs="Times New Roman"/>
        </w:rPr>
        <w:t>N</w:t>
      </w:r>
      <w:r w:rsidRPr="00FC5E5F">
        <w:rPr>
          <w:rFonts w:cs="Times New Roman"/>
        </w:rPr>
        <w:t xml:space="preserve">o </w:t>
      </w:r>
      <w:r w:rsidR="006E26A8" w:rsidRPr="00FC5E5F">
        <w:rPr>
          <w:rFonts w:cs="Times New Roman"/>
          <w:i/>
        </w:rPr>
        <w:t>in situ</w:t>
      </w:r>
      <w:r w:rsidR="006E26A8">
        <w:rPr>
          <w:rFonts w:cs="Times New Roman"/>
        </w:rPr>
        <w:t xml:space="preserve"> </w:t>
      </w:r>
      <w:r w:rsidR="00CC4909">
        <w:rPr>
          <w:rFonts w:cs="Times New Roman"/>
        </w:rPr>
        <w:t>division</w:t>
      </w:r>
      <w:r w:rsidRPr="00FC5E5F">
        <w:rPr>
          <w:rFonts w:cs="Times New Roman"/>
        </w:rPr>
        <w:t xml:space="preserve"> rates for the cryptophytes have been previously </w:t>
      </w:r>
      <w:r w:rsidR="00CC4909">
        <w:rPr>
          <w:rFonts w:cs="Times New Roman"/>
        </w:rPr>
        <w:t xml:space="preserve">estimated </w:t>
      </w:r>
      <w:r w:rsidR="00CC4909" w:rsidRPr="008A0DAC">
        <w:rPr>
          <w:rFonts w:cs="Times New Roman"/>
        </w:rPr>
        <w:t>in the CRE</w:t>
      </w:r>
      <w:r w:rsidR="006E26A8">
        <w:rPr>
          <w:rFonts w:cs="Times New Roman"/>
        </w:rPr>
        <w:t xml:space="preserve"> or elsewhere</w:t>
      </w:r>
      <w:r w:rsidR="00CC4909">
        <w:rPr>
          <w:rFonts w:cs="Times New Roman"/>
        </w:rPr>
        <w:t>. L</w:t>
      </w:r>
      <w:r w:rsidRPr="00FC5E5F">
        <w:rPr>
          <w:rFonts w:cs="Times New Roman"/>
        </w:rPr>
        <w:t xml:space="preserve">aboratory estimates of the </w:t>
      </w:r>
      <w:r w:rsidR="00CC4909">
        <w:rPr>
          <w:rFonts w:cs="Times New Roman"/>
        </w:rPr>
        <w:t>division</w:t>
      </w:r>
      <w:r w:rsidR="00CC4909" w:rsidRPr="00FC5E5F">
        <w:rPr>
          <w:rFonts w:cs="Times New Roman"/>
        </w:rPr>
        <w:t xml:space="preserve"> </w:t>
      </w:r>
      <w:r w:rsidRPr="00FC5E5F">
        <w:rPr>
          <w:rFonts w:cs="Times New Roman"/>
        </w:rPr>
        <w:t xml:space="preserve">rates of various strains of </w:t>
      </w:r>
      <w:proofErr w:type="spellStart"/>
      <w:r w:rsidRPr="00FC5E5F">
        <w:rPr>
          <w:rFonts w:cs="Times New Roman"/>
        </w:rPr>
        <w:t>cryptomonads</w:t>
      </w:r>
      <w:proofErr w:type="spellEnd"/>
      <w:r w:rsidRPr="00FC5E5F">
        <w:rPr>
          <w:rFonts w:cs="Times New Roman"/>
        </w:rPr>
        <w:t xml:space="preserve"> have found rates up to an average </w:t>
      </w:r>
      <w:proofErr w:type="gramStart"/>
      <w:r w:rsidRPr="00FC5E5F">
        <w:rPr>
          <w:rFonts w:cs="Times New Roman"/>
        </w:rPr>
        <w:t>of 0.85 d</w:t>
      </w:r>
      <w:r w:rsidR="001A6393" w:rsidRPr="008A0DAC">
        <w:rPr>
          <w:rFonts w:eastAsia="Calibri" w:cs="Times New Roman"/>
          <w:vertAlign w:val="superscript"/>
        </w:rPr>
        <w:t>-</w:t>
      </w:r>
      <w:r w:rsidRPr="00FC5E5F">
        <w:rPr>
          <w:rFonts w:eastAsia="Calibri" w:cs="Times New Roman"/>
        </w:rPr>
        <w:t>¹ (Park et al., 2007), which agrees with our overall average rate of 1.00</w:t>
      </w:r>
      <w:proofErr w:type="gramEnd"/>
      <w:r w:rsidRPr="00FC5E5F">
        <w:rPr>
          <w:rFonts w:eastAsia="Calibri" w:cs="Times New Roman"/>
        </w:rPr>
        <w:t>. Our highest estimates of mean daily division rate, as found in the final week of the survey, reach up to nine times greater than the average. This is unsurprising though, as g</w:t>
      </w:r>
      <w:r w:rsidRPr="00FC5E5F">
        <w:rPr>
          <w:rFonts w:cs="Times New Roman"/>
        </w:rPr>
        <w:t xml:space="preserve">rowth rates for </w:t>
      </w:r>
      <w:r w:rsidRPr="00FC5E5F">
        <w:rPr>
          <w:rFonts w:cs="Times New Roman"/>
          <w:i/>
          <w:iCs/>
        </w:rPr>
        <w:t>M. major</w:t>
      </w:r>
      <w:r w:rsidRPr="00FC5E5F">
        <w:rPr>
          <w:rFonts w:cs="Times New Roman"/>
        </w:rPr>
        <w:t xml:space="preserve"> found in the CRE in both 2011 and 2012 greatly exceeded the growth rates determined for laboratory cultures, at times by up to a seven-fold difference (</w:t>
      </w:r>
      <w:proofErr w:type="spellStart"/>
      <w:r w:rsidRPr="00FC5E5F">
        <w:rPr>
          <w:rFonts w:cs="Times New Roman"/>
        </w:rPr>
        <w:t>Yih</w:t>
      </w:r>
      <w:proofErr w:type="spellEnd"/>
      <w:r w:rsidRPr="00FC5E5F">
        <w:rPr>
          <w:rFonts w:cs="Times New Roman"/>
        </w:rPr>
        <w:t xml:space="preserve"> et al., 2004; </w:t>
      </w:r>
      <w:proofErr w:type="spellStart"/>
      <w:r w:rsidRPr="00FC5E5F">
        <w:rPr>
          <w:rFonts w:cs="Times New Roman"/>
        </w:rPr>
        <w:t>Herfort</w:t>
      </w:r>
      <w:proofErr w:type="spellEnd"/>
      <w:r w:rsidRPr="00FC5E5F">
        <w:rPr>
          <w:rFonts w:cs="Times New Roman"/>
        </w:rPr>
        <w:t xml:space="preserve"> et al., 2011; Peterson et al., 2012). It is possible that the environmental conditions and specific biological community found in the Columbia River Estuary allow for the growth of both ciliates and cryptophytes at a rate not yet replicated in culture. </w:t>
      </w:r>
    </w:p>
    <w:p w14:paraId="09D4B736" w14:textId="2EEFA91B" w:rsidR="00F34B51" w:rsidRPr="00FE75DC" w:rsidRDefault="007C608D" w:rsidP="00FC5E5F">
      <w:pPr>
        <w:spacing w:line="480" w:lineRule="auto"/>
        <w:rPr>
          <w:rFonts w:cs="Times New Roman"/>
        </w:rPr>
      </w:pPr>
      <w:r>
        <w:rPr>
          <w:rFonts w:cs="Times New Roman"/>
        </w:rPr>
        <w:tab/>
      </w:r>
    </w:p>
    <w:p w14:paraId="4085426C" w14:textId="77777777" w:rsidR="00F34B51" w:rsidRPr="00FE75DC" w:rsidRDefault="00F34B51" w:rsidP="00FC5E5F">
      <w:pPr>
        <w:spacing w:line="480" w:lineRule="auto"/>
        <w:rPr>
          <w:rFonts w:cs="Times New Roman"/>
        </w:rPr>
      </w:pPr>
      <w:r w:rsidRPr="00FC5E5F">
        <w:rPr>
          <w:rFonts w:cs="Times New Roman"/>
          <w:b/>
          <w:bCs/>
        </w:rPr>
        <w:t xml:space="preserve">Environmental Influences on Cryptophyte Production and </w:t>
      </w:r>
      <w:r w:rsidRPr="00FC5E5F">
        <w:rPr>
          <w:rFonts w:cs="Times New Roman"/>
          <w:b/>
          <w:bCs/>
          <w:i/>
          <w:iCs/>
        </w:rPr>
        <w:t>M. major</w:t>
      </w:r>
      <w:r w:rsidRPr="00FC5E5F">
        <w:rPr>
          <w:rFonts w:cs="Times New Roman"/>
          <w:b/>
          <w:bCs/>
        </w:rPr>
        <w:t xml:space="preserve"> Abundances </w:t>
      </w:r>
    </w:p>
    <w:p w14:paraId="5351FEBA" w14:textId="5962C852" w:rsidR="00F34B51" w:rsidRPr="00FE75DC" w:rsidRDefault="00F34B51" w:rsidP="00FC5E5F">
      <w:pPr>
        <w:spacing w:line="480" w:lineRule="auto"/>
        <w:rPr>
          <w:rFonts w:cs="Times New Roman"/>
        </w:rPr>
      </w:pPr>
      <w:r w:rsidRPr="00FE75DC">
        <w:rPr>
          <w:rFonts w:cs="Times New Roman"/>
        </w:rPr>
        <w:tab/>
      </w:r>
      <w:r w:rsidRPr="00FC5E5F">
        <w:rPr>
          <w:rFonts w:cs="Times New Roman"/>
        </w:rPr>
        <w:t>In the turbid waters of the Columbia River Estuary, light is generally considered to be the factor most limiting to phytoplankton growth (</w:t>
      </w:r>
      <w:proofErr w:type="spellStart"/>
      <w:r w:rsidRPr="00FC5E5F">
        <w:rPr>
          <w:rFonts w:cs="Times New Roman"/>
        </w:rPr>
        <w:t>Herfort</w:t>
      </w:r>
      <w:proofErr w:type="spellEnd"/>
      <w:r w:rsidRPr="00FC5E5F">
        <w:rPr>
          <w:rFonts w:cs="Times New Roman"/>
        </w:rPr>
        <w:t xml:space="preserve"> et al., 2012). Comparing </w:t>
      </w:r>
      <w:proofErr w:type="spellStart"/>
      <w:r w:rsidRPr="00FC5E5F">
        <w:rPr>
          <w:rFonts w:cs="Times New Roman"/>
        </w:rPr>
        <w:t>measurments</w:t>
      </w:r>
      <w:proofErr w:type="spellEnd"/>
      <w:r w:rsidRPr="00FC5E5F">
        <w:rPr>
          <w:rFonts w:cs="Times New Roman"/>
        </w:rPr>
        <w:t xml:space="preserve"> of PAR to our </w:t>
      </w:r>
      <w:r w:rsidRPr="00FC5E5F">
        <w:rPr>
          <w:rFonts w:cs="Times New Roman"/>
        </w:rPr>
        <w:lastRenderedPageBreak/>
        <w:t>cryptophyte production estimates did not result in any significant relationship (</w:t>
      </w:r>
      <w:r w:rsidRPr="00FC5E5F">
        <w:rPr>
          <w:rFonts w:cs="Times New Roman"/>
          <w:b/>
          <w:bCs/>
        </w:rPr>
        <w:t>fig 5, d</w:t>
      </w:r>
      <w:r w:rsidRPr="00FC5E5F">
        <w:rPr>
          <w:rFonts w:cs="Times New Roman"/>
        </w:rPr>
        <w:t xml:space="preserve">). But because the photosynthetic machinery of cryptophyte cells are well adapted to conditions of low light (Bergman et al., 2004), it makes sense that they are not limited by PAR during the time of our field study. It would actually be more likely that the cryptophytes would be </w:t>
      </w:r>
      <w:proofErr w:type="spellStart"/>
      <w:r w:rsidRPr="00FC5E5F">
        <w:rPr>
          <w:rFonts w:cs="Times New Roman"/>
        </w:rPr>
        <w:t>photoinhibited</w:t>
      </w:r>
      <w:proofErr w:type="spellEnd"/>
      <w:r w:rsidRPr="00FC5E5F">
        <w:rPr>
          <w:rFonts w:cs="Times New Roman"/>
        </w:rPr>
        <w:t xml:space="preserve"> by light, as they are not among the phytoplankton that produce light-protective compounds that shield cells from the damaging effects of radiation (</w:t>
      </w:r>
      <w:proofErr w:type="spellStart"/>
      <w:r w:rsidRPr="00FC5E5F">
        <w:rPr>
          <w:rFonts w:cs="Times New Roman"/>
        </w:rPr>
        <w:t>Vernet</w:t>
      </w:r>
      <w:proofErr w:type="spellEnd"/>
      <w:r w:rsidRPr="00FC5E5F">
        <w:rPr>
          <w:rFonts w:cs="Times New Roman"/>
        </w:rPr>
        <w:t xml:space="preserve"> et al., 1994). But again, our production estimates did not show any correlation with PAR, negative or otherwise. </w:t>
      </w:r>
    </w:p>
    <w:p w14:paraId="0BA60914" w14:textId="77777777" w:rsidR="00F34B51" w:rsidRPr="00FE75DC" w:rsidRDefault="00F34B51" w:rsidP="00FC5E5F">
      <w:pPr>
        <w:spacing w:line="480" w:lineRule="auto"/>
        <w:rPr>
          <w:rFonts w:cs="Times New Roman"/>
        </w:rPr>
      </w:pPr>
      <w:r w:rsidRPr="00FC5E5F">
        <w:rPr>
          <w:rFonts w:cs="Times New Roman"/>
        </w:rPr>
        <w:tab/>
        <w:t>Comparisons of nitrate concentration with daily average cryptophyte production revealed a potentially weak positive correlation (R²=0.231, p-value=0.048) between the two (</w:t>
      </w:r>
      <w:r w:rsidRPr="00FC5E5F">
        <w:rPr>
          <w:rFonts w:cs="Times New Roman"/>
          <w:b/>
          <w:bCs/>
        </w:rPr>
        <w:t>fig. 5, a</w:t>
      </w:r>
      <w:r w:rsidRPr="00FC5E5F">
        <w:rPr>
          <w:rFonts w:cs="Times New Roman"/>
        </w:rPr>
        <w:t xml:space="preserve">). This possible relationship could be interpreted in a multiple ways. It may be that nitrate is the limiting factor for cryptophyte production. But, </w:t>
      </w:r>
      <w:r w:rsidRPr="00FC5E5F">
        <w:rPr>
          <w:rFonts w:cs="Times New Roman"/>
          <w:i/>
          <w:iCs/>
        </w:rPr>
        <w:t>M. major</w:t>
      </w:r>
      <w:r w:rsidRPr="00FC5E5F">
        <w:rPr>
          <w:rFonts w:cs="Times New Roman"/>
        </w:rPr>
        <w:t xml:space="preserve"> also requires a nitrogen source and appears to have a weak anti-correlation with cryptophyte abundance (potentially due to grazing). An additional possibility is that the positive relationship between cryptophyte production and nitrate concentration is actually dependent on</w:t>
      </w:r>
      <w:r w:rsidRPr="00FC5E5F">
        <w:rPr>
          <w:rFonts w:cs="Times New Roman"/>
          <w:i/>
          <w:iCs/>
        </w:rPr>
        <w:t xml:space="preserve"> </w:t>
      </w:r>
      <w:r w:rsidRPr="00FC5E5F">
        <w:rPr>
          <w:rFonts w:cs="Times New Roman"/>
        </w:rPr>
        <w:t xml:space="preserve">the abundance of the ciliate.  </w:t>
      </w:r>
    </w:p>
    <w:p w14:paraId="7BB70021" w14:textId="77777777" w:rsidR="00F34B51" w:rsidRPr="00FE75DC" w:rsidRDefault="00F34B51" w:rsidP="00FC5E5F">
      <w:pPr>
        <w:spacing w:line="480" w:lineRule="auto"/>
        <w:rPr>
          <w:rFonts w:cs="Times New Roman"/>
        </w:rPr>
      </w:pPr>
      <w:r w:rsidRPr="00FC5E5F">
        <w:rPr>
          <w:rFonts w:cs="Times New Roman"/>
        </w:rPr>
        <w:tab/>
        <w:t xml:space="preserve">Past studies of the blooms occurring from 2007-2010 showed a negative correlation between ammonium, </w:t>
      </w:r>
      <w:r w:rsidRPr="00FC5E5F">
        <w:rPr>
          <w:rFonts w:cs="Times New Roman"/>
          <w:i/>
          <w:iCs/>
        </w:rPr>
        <w:t>M. major'</w:t>
      </w:r>
      <w:r w:rsidRPr="00FC5E5F">
        <w:rPr>
          <w:rFonts w:cs="Times New Roman"/>
        </w:rPr>
        <w:t>s preferred nitrogen source (Crawford et al., 2007), and the abundance of the ciliate in the estuary's main channel (</w:t>
      </w:r>
      <w:proofErr w:type="spellStart"/>
      <w:r w:rsidRPr="00FC5E5F">
        <w:rPr>
          <w:rFonts w:cs="Times New Roman"/>
        </w:rPr>
        <w:t>Herfort</w:t>
      </w:r>
      <w:proofErr w:type="spellEnd"/>
      <w:r w:rsidRPr="00FC5E5F">
        <w:rPr>
          <w:rFonts w:cs="Times New Roman"/>
        </w:rPr>
        <w:t xml:space="preserve"> et al., 2012). In our comparison of </w:t>
      </w:r>
      <w:r w:rsidRPr="00FC5E5F">
        <w:rPr>
          <w:rFonts w:cs="Times New Roman"/>
          <w:i/>
          <w:iCs/>
        </w:rPr>
        <w:t>M. major</w:t>
      </w:r>
      <w:r w:rsidRPr="00FC5E5F">
        <w:rPr>
          <w:rFonts w:cs="Times New Roman"/>
        </w:rPr>
        <w:t xml:space="preserve"> abundance and surface water ammonium, no significant correlation was found (supplemental fig). There was also no relationship between abundance and nitrate, phosphate, or PAR, suggesting that </w:t>
      </w:r>
      <w:r w:rsidRPr="00FC5E5F">
        <w:rPr>
          <w:rFonts w:cs="Times New Roman"/>
          <w:i/>
          <w:iCs/>
        </w:rPr>
        <w:t>M. major</w:t>
      </w:r>
      <w:r w:rsidRPr="00FC5E5F">
        <w:rPr>
          <w:rFonts w:cs="Times New Roman"/>
        </w:rPr>
        <w:t xml:space="preserve"> may potentially be limited by non-environmental factors.</w:t>
      </w:r>
    </w:p>
    <w:p w14:paraId="368CF736" w14:textId="77777777" w:rsidR="00F34B51" w:rsidRPr="00FE75DC" w:rsidRDefault="00F34B51" w:rsidP="00FC5E5F">
      <w:pPr>
        <w:spacing w:line="480" w:lineRule="auto"/>
        <w:rPr>
          <w:rFonts w:cs="Times New Roman"/>
        </w:rPr>
      </w:pPr>
    </w:p>
    <w:p w14:paraId="58F4AAF5" w14:textId="77777777" w:rsidR="00F34B51" w:rsidRPr="00FE75DC" w:rsidRDefault="00F34B51" w:rsidP="00FC5E5F">
      <w:pPr>
        <w:spacing w:line="480" w:lineRule="auto"/>
        <w:rPr>
          <w:rFonts w:cs="Times New Roman"/>
        </w:rPr>
      </w:pPr>
      <w:r w:rsidRPr="00FC5E5F">
        <w:rPr>
          <w:rFonts w:cs="Times New Roman"/>
          <w:b/>
          <w:bCs/>
          <w:i/>
          <w:iCs/>
        </w:rPr>
        <w:t xml:space="preserve">M. </w:t>
      </w:r>
      <w:proofErr w:type="gramStart"/>
      <w:r w:rsidRPr="00FC5E5F">
        <w:rPr>
          <w:rFonts w:cs="Times New Roman"/>
          <w:b/>
          <w:bCs/>
          <w:i/>
          <w:iCs/>
        </w:rPr>
        <w:t>major</w:t>
      </w:r>
      <w:proofErr w:type="gramEnd"/>
      <w:r w:rsidRPr="00FC5E5F">
        <w:rPr>
          <w:rFonts w:cs="Times New Roman"/>
          <w:b/>
          <w:bCs/>
        </w:rPr>
        <w:t xml:space="preserve"> Abundances in Relation to Cryptophyte Data </w:t>
      </w:r>
    </w:p>
    <w:p w14:paraId="3D4F58C3" w14:textId="77777777" w:rsidR="00F34B51" w:rsidRPr="00FE75DC" w:rsidRDefault="00F34B51" w:rsidP="00FC5E5F">
      <w:pPr>
        <w:spacing w:line="480" w:lineRule="auto"/>
        <w:rPr>
          <w:rFonts w:cs="Times New Roman"/>
        </w:rPr>
      </w:pPr>
      <w:r w:rsidRPr="00FC5E5F">
        <w:rPr>
          <w:rFonts w:cs="Times New Roman"/>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sidRPr="00FC5E5F">
        <w:rPr>
          <w:rFonts w:cs="Times New Roman"/>
          <w:i/>
          <w:iCs/>
        </w:rPr>
        <w:t>M. major</w:t>
      </w:r>
      <w:r w:rsidRPr="00FC5E5F">
        <w:rPr>
          <w:rFonts w:cs="Times New Roman"/>
        </w:rPr>
        <w:t xml:space="preserve"> and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i/>
          <w:iCs/>
        </w:rPr>
        <w:t>.</w:t>
      </w:r>
      <w:r w:rsidRPr="00FC5E5F">
        <w:rPr>
          <w:rFonts w:cs="Times New Roman"/>
        </w:rPr>
        <w:t xml:space="preserve"> But </w:t>
      </w:r>
      <w:r w:rsidRPr="00FC5E5F">
        <w:rPr>
          <w:rFonts w:cs="Times New Roman"/>
        </w:rPr>
        <w:lastRenderedPageBreak/>
        <w:t xml:space="preserve">with our data set, we were unable to find a distinct relationship between the abundances of </w:t>
      </w:r>
      <w:r w:rsidRPr="00FC5E5F">
        <w:rPr>
          <w:rFonts w:cs="Times New Roman"/>
          <w:i/>
          <w:iCs/>
        </w:rPr>
        <w:t>M. major</w:t>
      </w:r>
      <w:r w:rsidRPr="00FC5E5F">
        <w:rPr>
          <w:rFonts w:cs="Times New Roman"/>
        </w:rPr>
        <w:t xml:space="preserve"> and the division rates of the cryptophytes. Again, these division rate estimates are determined for the population of cryptophytes, as a whole. </w:t>
      </w:r>
      <w:r w:rsidRPr="00FC5E5F">
        <w:rPr>
          <w:rFonts w:cs="Times New Roman"/>
          <w:i/>
          <w:iCs/>
        </w:rPr>
        <w:t xml:space="preserve">M. </w:t>
      </w:r>
      <w:proofErr w:type="gramStart"/>
      <w:r w:rsidRPr="00FC5E5F">
        <w:rPr>
          <w:rFonts w:cs="Times New Roman"/>
          <w:i/>
          <w:iCs/>
        </w:rPr>
        <w:t>major's</w:t>
      </w:r>
      <w:proofErr w:type="gramEnd"/>
      <w:r w:rsidRPr="00FC5E5F">
        <w:rPr>
          <w:rFonts w:cs="Times New Roman"/>
        </w:rPr>
        <w:t xml:space="preserve"> preferred prey,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makes up &lt;1% of the total cryptophyte population, and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cryptophytes could potentially have the same effect on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w:t>
      </w:r>
    </w:p>
    <w:p w14:paraId="280D0FED" w14:textId="2B124347" w:rsidR="00F34B51" w:rsidRPr="00FE75DC" w:rsidRDefault="00F34B51" w:rsidP="00FC5E5F">
      <w:pPr>
        <w:spacing w:line="480" w:lineRule="auto"/>
        <w:rPr>
          <w:rFonts w:cs="Times New Roman"/>
        </w:rPr>
      </w:pPr>
      <w:r w:rsidRPr="00FC5E5F">
        <w:rPr>
          <w:rFonts w:cs="Times New Roman"/>
        </w:rPr>
        <w:tab/>
        <w:t xml:space="preserve"> Comparisons of our estimates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abundance and percent composition to </w:t>
      </w:r>
      <w:r w:rsidRPr="00FC5E5F">
        <w:rPr>
          <w:rFonts w:cs="Times New Roman"/>
          <w:i/>
          <w:iCs/>
        </w:rPr>
        <w:t>M. major</w:t>
      </w:r>
      <w:r w:rsidRPr="00FC5E5F">
        <w:rPr>
          <w:rFonts w:cs="Times New Roman"/>
        </w:rPr>
        <w:t xml:space="preserve"> counts point to the potential importance of the prey community composition in </w:t>
      </w:r>
      <w:r w:rsidRPr="00FC5E5F">
        <w:rPr>
          <w:rFonts w:cs="Times New Roman"/>
          <w:i/>
          <w:iCs/>
        </w:rPr>
        <w:t>M. major</w:t>
      </w:r>
      <w:r w:rsidRPr="00FC5E5F">
        <w:rPr>
          <w:rFonts w:cs="Times New Roman"/>
        </w:rPr>
        <w:t xml:space="preserve"> bloom development, despite only having four time points. Of these four coinciding time points, the highest </w:t>
      </w:r>
      <w:r w:rsidRPr="00FC5E5F">
        <w:rPr>
          <w:rFonts w:cs="Times New Roman"/>
          <w:i/>
          <w:iCs/>
        </w:rPr>
        <w:t>M. major</w:t>
      </w:r>
      <w:r w:rsidRPr="00FC5E5F">
        <w:rPr>
          <w:rFonts w:cs="Times New Roman"/>
        </w:rPr>
        <w:t xml:space="preserve"> count (179) occurs when the percent of the total cryptophytes that are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is the lowest (0.0615%), and vice versa (</w:t>
      </w:r>
      <w:r w:rsidRPr="00FC5E5F">
        <w:rPr>
          <w:rFonts w:cs="Times New Roman"/>
          <w:b/>
          <w:bCs/>
        </w:rPr>
        <w:t>table 1</w:t>
      </w:r>
      <w:r w:rsidRPr="00FC5E5F">
        <w:rPr>
          <w:rFonts w:cs="Times New Roman"/>
        </w:rPr>
        <w:t xml:space="preserve">). This could potentially be considered evidence of selective grazing on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though again, additional time points and multiple replicates of </w:t>
      </w:r>
      <w:r w:rsidRPr="00FC5E5F">
        <w:rPr>
          <w:rFonts w:cs="Times New Roman"/>
          <w:i/>
          <w:iCs/>
        </w:rPr>
        <w:t>M. major</w:t>
      </w:r>
      <w:r w:rsidRPr="00FC5E5F">
        <w:rPr>
          <w:rFonts w:cs="Times New Roman"/>
        </w:rPr>
        <w:t xml:space="preserve"> counts would be needed to be able to draw any concrete conclusions. The estimated abundances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are generally low throughout the bloom. The very first time point, taken during week one of the study at the beginning of the bloom, is the only instance in which the abundance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exceeds that of the ciliate. This finding is curious, as grazing experiments using laboratory cultures of </w:t>
      </w:r>
      <w:r w:rsidRPr="00FC5E5F">
        <w:rPr>
          <w:rFonts w:cs="Times New Roman"/>
          <w:i/>
          <w:iCs/>
        </w:rPr>
        <w:t xml:space="preserve">M. </w:t>
      </w:r>
      <w:proofErr w:type="spellStart"/>
      <w:r w:rsidRPr="00FC5E5F">
        <w:rPr>
          <w:rFonts w:cs="Times New Roman"/>
          <w:i/>
          <w:iCs/>
        </w:rPr>
        <w:t>rubrum</w:t>
      </w:r>
      <w:proofErr w:type="spellEnd"/>
      <w:r w:rsidRPr="00FC5E5F">
        <w:rPr>
          <w:rFonts w:cs="Times New Roman"/>
        </w:rPr>
        <w:t xml:space="preserve"> have estimated ingestion rates between ~3.5 and 8.9 cryptophytes ciliate</w:t>
      </w:r>
      <w:r w:rsidR="001A6393" w:rsidRPr="008A0DAC">
        <w:rPr>
          <w:rFonts w:eastAsia="Calibri" w:cs="Times New Roman"/>
          <w:vertAlign w:val="superscript"/>
        </w:rPr>
        <w:t>-</w:t>
      </w:r>
      <w:r w:rsidRPr="00FC5E5F">
        <w:rPr>
          <w:rFonts w:eastAsia="Calibri" w:cs="Times New Roman"/>
        </w:rPr>
        <w:t>¹</w:t>
      </w:r>
      <w:r w:rsidRPr="00FC5E5F">
        <w:rPr>
          <w:rFonts w:cs="Times New Roman"/>
        </w:rPr>
        <w:t xml:space="preserve"> day</w:t>
      </w:r>
      <w:r w:rsidR="001A6393" w:rsidRPr="008A0DAC">
        <w:rPr>
          <w:rFonts w:eastAsia="Calibri" w:cs="Times New Roman"/>
          <w:vertAlign w:val="superscript"/>
        </w:rPr>
        <w:t>-</w:t>
      </w:r>
      <w:r w:rsidRPr="00FC5E5F">
        <w:rPr>
          <w:rFonts w:eastAsia="Calibri" w:cs="Times New Roman"/>
        </w:rPr>
        <w:t>¹ (</w:t>
      </w:r>
      <w:proofErr w:type="spellStart"/>
      <w:r w:rsidRPr="00FC5E5F">
        <w:rPr>
          <w:rFonts w:eastAsia="Calibri" w:cs="Times New Roman"/>
        </w:rPr>
        <w:t>Yih</w:t>
      </w:r>
      <w:proofErr w:type="spellEnd"/>
      <w:r w:rsidRPr="00FC5E5F">
        <w:rPr>
          <w:rFonts w:eastAsia="Calibri" w:cs="Times New Roman"/>
        </w:rPr>
        <w:t xml:space="preserve"> et al., 2004; Hansen and </w:t>
      </w:r>
      <w:proofErr w:type="spellStart"/>
      <w:r w:rsidRPr="00FC5E5F">
        <w:rPr>
          <w:rFonts w:eastAsia="Calibri" w:cs="Times New Roman"/>
        </w:rPr>
        <w:t>Fenchel</w:t>
      </w:r>
      <w:proofErr w:type="spellEnd"/>
      <w:r w:rsidRPr="00FC5E5F">
        <w:rPr>
          <w:rFonts w:eastAsia="Calibri" w:cs="Times New Roman"/>
        </w:rPr>
        <w:t xml:space="preserve">, 2006). Additionally, using a FISH probe for </w:t>
      </w:r>
      <w:r w:rsidRPr="00FC5E5F">
        <w:rPr>
          <w:rFonts w:eastAsia="Calibri" w:cs="Times New Roman"/>
          <w:i/>
          <w:iCs/>
        </w:rPr>
        <w:t xml:space="preserve">T. </w:t>
      </w:r>
      <w:proofErr w:type="spellStart"/>
      <w:r w:rsidRPr="00FC5E5F">
        <w:rPr>
          <w:rFonts w:eastAsia="Calibri" w:cs="Times New Roman"/>
          <w:i/>
          <w:iCs/>
        </w:rPr>
        <w:t>amphioexa</w:t>
      </w:r>
      <w:proofErr w:type="spellEnd"/>
      <w:r w:rsidRPr="00FC5E5F">
        <w:rPr>
          <w:rFonts w:eastAsia="Calibri" w:cs="Times New Roman"/>
        </w:rPr>
        <w:t xml:space="preserve">, we have been able to observe up to &gt;20 prey within a single </w:t>
      </w:r>
      <w:r w:rsidRPr="00FC5E5F">
        <w:rPr>
          <w:rFonts w:eastAsia="Calibri" w:cs="Times New Roman"/>
          <w:i/>
          <w:iCs/>
        </w:rPr>
        <w:t>M. major</w:t>
      </w:r>
      <w:r w:rsidRPr="00FC5E5F">
        <w:rPr>
          <w:rFonts w:eastAsia="Calibri" w:cs="Times New Roman"/>
        </w:rPr>
        <w:t xml:space="preserve"> cell (pic as supplemental fig). It is possible that the low abundances of the prey cryptophyte that we observe in the Columbia River Estuary are the result of the result of grazing by</w:t>
      </w:r>
      <w:r w:rsidRPr="00FC5E5F">
        <w:rPr>
          <w:rFonts w:eastAsia="Calibri" w:cs="Times New Roman"/>
          <w:i/>
          <w:iCs/>
        </w:rPr>
        <w:t xml:space="preserve"> M. major </w:t>
      </w:r>
      <w:r w:rsidRPr="00FC5E5F">
        <w:rPr>
          <w:rFonts w:eastAsia="Calibri" w:cs="Times New Roman"/>
        </w:rPr>
        <w:t>and other microzooplankton. Dilution experiments to determine grazing rates of M. major on cryptophytes in the field should be considered to test this hypothesis.</w:t>
      </w:r>
    </w:p>
    <w:p w14:paraId="1828BDD5" w14:textId="77777777" w:rsidR="00F34B51" w:rsidRPr="00FE75DC" w:rsidRDefault="00F34B51" w:rsidP="00FC5E5F">
      <w:pPr>
        <w:spacing w:line="480" w:lineRule="auto"/>
        <w:rPr>
          <w:rFonts w:cs="Times New Roman"/>
        </w:rPr>
      </w:pPr>
      <w:r w:rsidRPr="00FC5E5F">
        <w:rPr>
          <w:rFonts w:eastAsia="Calibri" w:cs="Times New Roman"/>
        </w:rPr>
        <w:lastRenderedPageBreak/>
        <w:tab/>
        <w:t xml:space="preserve">An alternative explanation could be related to </w:t>
      </w:r>
      <w:r w:rsidRPr="00FC5E5F">
        <w:rPr>
          <w:rFonts w:cs="Times New Roman"/>
          <w:i/>
          <w:iCs/>
        </w:rPr>
        <w:t>M. major</w:t>
      </w:r>
      <w:r w:rsidRPr="00FC5E5F">
        <w:rPr>
          <w:rFonts w:cs="Times New Roman"/>
        </w:rPr>
        <w:t xml:space="preserve">'s ability to retain cryptophytes attached to the ciliate's cirri, as it this has been observed in the CRE during the 2011 red water events (Peterson et al., 2012). Our measurements of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abundance are limited to those that are free-living, and it is possible that a number of </w:t>
      </w:r>
      <w:proofErr w:type="gramStart"/>
      <w:r w:rsidRPr="00FC5E5F">
        <w:rPr>
          <w:rFonts w:cs="Times New Roman"/>
        </w:rPr>
        <w:t>prey</w:t>
      </w:r>
      <w:proofErr w:type="gramEnd"/>
      <w:r w:rsidRPr="00FC5E5F">
        <w:rPr>
          <w:rFonts w:cs="Times New Roman"/>
        </w:rPr>
        <w:t xml:space="preserve"> are living attached to the outside of </w:t>
      </w:r>
      <w:r w:rsidRPr="00FC5E5F">
        <w:rPr>
          <w:rFonts w:cs="Times New Roman"/>
          <w:i/>
          <w:iCs/>
        </w:rPr>
        <w:t>M. major</w:t>
      </w:r>
      <w:r w:rsidRPr="00FC5E5F">
        <w:rPr>
          <w:rFonts w:cs="Times New Roman"/>
        </w:rPr>
        <w:t xml:space="preserve"> cells. </w:t>
      </w:r>
      <w:proofErr w:type="gramStart"/>
      <w:r w:rsidRPr="00FC5E5F">
        <w:rPr>
          <w:rFonts w:cs="Times New Roman"/>
        </w:rPr>
        <w:t>These</w:t>
      </w:r>
      <w:proofErr w:type="gramEnd"/>
      <w:r w:rsidRPr="00FC5E5F">
        <w:rPr>
          <w:rFonts w:cs="Times New Roman"/>
        </w:rPr>
        <w:t xml:space="preserve"> captured prey could be what sustains M. major throughout the bloom, despite low numbers of the free-living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Another possibility could be that the ingested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remain a full or partial </w:t>
      </w:r>
      <w:proofErr w:type="spellStart"/>
      <w:r w:rsidRPr="00FC5E5F">
        <w:rPr>
          <w:rFonts w:cs="Times New Roman"/>
        </w:rPr>
        <w:t>endosymbiont</w:t>
      </w:r>
      <w:proofErr w:type="spellEnd"/>
      <w:r w:rsidRPr="00FC5E5F">
        <w:rPr>
          <w:rFonts w:cs="Times New Roman"/>
        </w:rPr>
        <w:t xml:space="preserve"> and are able to divide inside the ciliate, allowing </w:t>
      </w:r>
      <w:r w:rsidRPr="00FC5E5F">
        <w:rPr>
          <w:rFonts w:cs="Times New Roman"/>
          <w:i/>
          <w:iCs/>
        </w:rPr>
        <w:t>M. major</w:t>
      </w:r>
      <w:r w:rsidRPr="00FC5E5F">
        <w:rPr>
          <w:rFonts w:cs="Times New Roman"/>
        </w:rPr>
        <w:t xml:space="preserve"> to essentially “farm” the cryptophytes as a source of chloroplasts. But these explanations remain pure speculation and require more in depth molecular investigations into the predator-prey relationship between </w:t>
      </w:r>
      <w:r w:rsidRPr="00FC5E5F">
        <w:rPr>
          <w:rFonts w:cs="Times New Roman"/>
          <w:i/>
          <w:iCs/>
        </w:rPr>
        <w:t>M. major</w:t>
      </w:r>
      <w:r w:rsidRPr="00FC5E5F">
        <w:rPr>
          <w:rFonts w:cs="Times New Roman"/>
        </w:rPr>
        <w:t xml:space="preserve"> and </w:t>
      </w:r>
      <w:r w:rsidRPr="00FC5E5F">
        <w:rPr>
          <w:rFonts w:cs="Times New Roman"/>
          <w:i/>
          <w:iCs/>
        </w:rPr>
        <w:t xml:space="preserve">T. </w:t>
      </w:r>
      <w:proofErr w:type="spellStart"/>
      <w:r w:rsidRPr="00FC5E5F">
        <w:rPr>
          <w:rFonts w:cs="Times New Roman"/>
          <w:i/>
          <w:iCs/>
        </w:rPr>
        <w:t>amphioexa</w:t>
      </w:r>
      <w:proofErr w:type="spellEnd"/>
      <w:r w:rsidRPr="00FC5E5F">
        <w:rPr>
          <w:rFonts w:cs="Times New Roman"/>
        </w:rPr>
        <w:t xml:space="preserve"> in the Columbia River Estuary. </w:t>
      </w:r>
    </w:p>
    <w:p w14:paraId="6E0759D6" w14:textId="77777777" w:rsidR="00F34B51" w:rsidRPr="00FE75DC" w:rsidRDefault="00F34B51" w:rsidP="00FC5E5F">
      <w:pPr>
        <w:spacing w:line="480" w:lineRule="auto"/>
        <w:rPr>
          <w:rFonts w:cs="Times New Roman"/>
        </w:rPr>
      </w:pPr>
    </w:p>
    <w:p w14:paraId="2B0E4F32" w14:textId="77777777" w:rsidR="00F34B51" w:rsidRPr="00FE75DC" w:rsidRDefault="00F34B51" w:rsidP="00FC5E5F">
      <w:pPr>
        <w:spacing w:line="480" w:lineRule="auto"/>
        <w:rPr>
          <w:rFonts w:cs="Times New Roman"/>
        </w:rPr>
      </w:pPr>
      <w:r w:rsidRPr="00FC5E5F">
        <w:rPr>
          <w:rFonts w:cs="Times New Roman"/>
          <w:b/>
          <w:bCs/>
        </w:rPr>
        <w:t xml:space="preserve">Conclusion </w:t>
      </w:r>
    </w:p>
    <w:p w14:paraId="5F00ECBB" w14:textId="77777777" w:rsidR="00F34B51" w:rsidRPr="00FE75DC"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until now, the cryptophyte population within the bloom had not yet been investigated.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From our data, no clear relationship appears between the dynamics and physiology of the free-living cryptophytes and </w:t>
      </w:r>
      <w:r w:rsidRPr="00FC5E5F">
        <w:rPr>
          <w:rFonts w:cs="Times New Roman"/>
          <w:i/>
          <w:iCs/>
        </w:rPr>
        <w:t>M. major</w:t>
      </w:r>
      <w:r w:rsidRPr="00FC5E5F">
        <w:rPr>
          <w:rFonts w:cs="Times New Roman"/>
        </w:rPr>
        <w:t xml:space="preserve">, pointing to the importance of the non free-living cryptophyte prey, either attached to or within the ciliate. Future studies should focus on using molecular approaches to better understand the specific interactions between </w:t>
      </w:r>
      <w:r w:rsidRPr="00FC5E5F">
        <w:rPr>
          <w:rFonts w:cs="Times New Roman"/>
          <w:i/>
        </w:rPr>
        <w:t>M. major</w:t>
      </w:r>
      <w:r w:rsidRPr="00FC5E5F">
        <w:rPr>
          <w:rFonts w:cs="Times New Roman"/>
        </w:rPr>
        <w:t xml:space="preserve"> and </w:t>
      </w:r>
      <w:r w:rsidRPr="00FC5E5F">
        <w:rPr>
          <w:rFonts w:cs="Times New Roman"/>
          <w:i/>
        </w:rPr>
        <w:t xml:space="preserve">T. </w:t>
      </w:r>
      <w:proofErr w:type="spellStart"/>
      <w:r w:rsidRPr="00FC5E5F">
        <w:rPr>
          <w:rFonts w:cs="Times New Roman"/>
          <w:i/>
        </w:rPr>
        <w:t>amphioexa</w:t>
      </w:r>
      <w:proofErr w:type="spellEnd"/>
      <w:r w:rsidRPr="00FC5E5F">
        <w:rPr>
          <w:rFonts w:cs="Times New Roman"/>
        </w:rPr>
        <w:t xml:space="preserve">, in combination with </w:t>
      </w:r>
      <w:r w:rsidRPr="00FC5E5F">
        <w:rPr>
          <w:rFonts w:cs="Times New Roman"/>
          <w:i/>
        </w:rPr>
        <w:t>in situ</w:t>
      </w:r>
      <w:r w:rsidRPr="00FC5E5F">
        <w:rPr>
          <w:rFonts w:cs="Times New Roman"/>
        </w:rPr>
        <w:t xml:space="preserve"> measurements of grazing rates. Additional investigations into the cause of the exceptionally high growth rates of phytoplankton in the Columbia River Estuary, as found in this and other studies (</w:t>
      </w:r>
      <w:proofErr w:type="spellStart"/>
      <w:r w:rsidRPr="00FC5E5F">
        <w:rPr>
          <w:rFonts w:cs="Times New Roman"/>
        </w:rPr>
        <w:t>Herfort</w:t>
      </w:r>
      <w:proofErr w:type="spellEnd"/>
      <w:r w:rsidRPr="00FC5E5F">
        <w:rPr>
          <w:rFonts w:cs="Times New Roman"/>
        </w:rPr>
        <w:t xml:space="preserve"> et al., 2011; Peterson et al., 2012), may also help to reveal any unique properties of this system- some of which could be contributing to the dynamics of this bloom. </w:t>
      </w: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6B2FA8B3" w14:textId="77777777" w:rsidR="00F34B51" w:rsidRPr="00FE75DC" w:rsidRDefault="00F34B51" w:rsidP="00FC5E5F">
      <w:pPr>
        <w:spacing w:line="480" w:lineRule="auto"/>
        <w:rPr>
          <w:rFonts w:cs="Times New Roman"/>
        </w:rPr>
      </w:pPr>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 xml:space="preserve">Fig. </w:t>
      </w:r>
      <w:proofErr w:type="gramStart"/>
      <w:r w:rsidRPr="00FC5E5F">
        <w:rPr>
          <w:rFonts w:cs="Times New Roman"/>
          <w:b/>
          <w:bCs/>
        </w:rPr>
        <w:t>1</w:t>
      </w:r>
      <w:r w:rsidRPr="00FC5E5F">
        <w:rPr>
          <w:rFonts w:cs="Times New Roman"/>
        </w:rPr>
        <w:t xml:space="preserve">  Map</w:t>
      </w:r>
      <w:proofErr w:type="gramEnd"/>
      <w:r w:rsidRPr="00FC5E5F">
        <w:rPr>
          <w:rFonts w:cs="Times New Roman"/>
        </w:rPr>
        <w:t xml:space="preserve">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F84EEAA"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proofErr w:type="gramStart"/>
      <w:r w:rsidR="00C20035">
        <w:rPr>
          <w:rFonts w:cs="Times New Roman"/>
        </w:rPr>
        <w:t>during the 4 week-survey in the CRE</w:t>
      </w:r>
      <w:proofErr w:type="gramEnd"/>
      <w:r w:rsidR="003519E7">
        <w:rPr>
          <w:rFonts w:cs="Times New Roman"/>
        </w:rPr>
        <w:t>. A) Salinity (</w:t>
      </w:r>
      <w:proofErr w:type="spellStart"/>
      <w:r w:rsidR="003519E7">
        <w:rPr>
          <w:rFonts w:cs="Times New Roman"/>
        </w:rPr>
        <w:t>psu</w:t>
      </w:r>
      <w:proofErr w:type="spellEnd"/>
      <w:r w:rsidR="003519E7">
        <w:rPr>
          <w:rFonts w:cs="Times New Roman"/>
        </w:rPr>
        <w:t xml:space="preserve">, black line) </w:t>
      </w:r>
      <w:proofErr w:type="gramStart"/>
      <w:r w:rsidR="003519E7">
        <w:rPr>
          <w:rFonts w:cs="Times New Roman"/>
        </w:rPr>
        <w:t xml:space="preserve">and </w:t>
      </w:r>
      <w:r w:rsidRPr="00FC5E5F">
        <w:rPr>
          <w:rFonts w:cs="Times New Roman"/>
        </w:rPr>
        <w:t xml:space="preserve"> temperature</w:t>
      </w:r>
      <w:proofErr w:type="gramEnd"/>
      <w:r w:rsidRPr="00FC5E5F">
        <w:rPr>
          <w:rFonts w:cs="Times New Roman"/>
        </w:rPr>
        <w:t xml:space="preserv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3519E7" w:rsidRPr="00FC5E5F">
        <w:rPr>
          <w:rFonts w:cs="Times New Roman"/>
        </w:rPr>
        <w:t>)</w:t>
      </w:r>
      <w:r w:rsidR="003519E7">
        <w:rPr>
          <w:rFonts w:cs="Times New Roman"/>
        </w:rPr>
        <w:t xml:space="preserve"> in surface waters</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2CA96FB2" w:rsidR="00F34B51" w:rsidRPr="00FE75DC" w:rsidRDefault="00F34B51" w:rsidP="00FC5E5F">
      <w:pPr>
        <w:spacing w:line="480" w:lineRule="auto"/>
        <w:rPr>
          <w:rFonts w:cs="Times New Roman"/>
        </w:rPr>
      </w:pPr>
      <w:r w:rsidRPr="00FC5E5F">
        <w:rPr>
          <w:rFonts w:cs="Times New Roman"/>
          <w:b/>
          <w:bCs/>
        </w:rPr>
        <w:t>Fig. 3</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proofErr w:type="spellStart"/>
      <w:r w:rsidR="00C4165B" w:rsidRPr="00FC5E5F">
        <w:rPr>
          <w:rFonts w:cs="Times New Roman"/>
          <w:i/>
        </w:rPr>
        <w:t>Teleaulax</w:t>
      </w:r>
      <w:proofErr w:type="spellEnd"/>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daily abundance of </w:t>
      </w:r>
      <w:proofErr w:type="spellStart"/>
      <w:r w:rsidR="006379E7" w:rsidRPr="00FC5E5F">
        <w:rPr>
          <w:rFonts w:cs="Times New Roman"/>
          <w:i/>
        </w:rPr>
        <w:t>Mesodinium</w:t>
      </w:r>
      <w:proofErr w:type="spellEnd"/>
      <w:r w:rsidR="006379E7" w:rsidRPr="00FC5E5F">
        <w:rPr>
          <w:rFonts w:cs="Times New Roman"/>
          <w:i/>
        </w:rPr>
        <w:t xml:space="preserve">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41284B9C" w14:textId="14D8BDC8" w:rsidR="00783B9A" w:rsidRPr="00FE75DC" w:rsidRDefault="00783B9A" w:rsidP="00783B9A">
      <w:pPr>
        <w:spacing w:line="480" w:lineRule="auto"/>
        <w:rPr>
          <w:rFonts w:cs="Times New Roman"/>
        </w:rPr>
      </w:pPr>
      <w:r>
        <w:rPr>
          <w:rFonts w:cs="Times New Roman"/>
          <w:b/>
          <w:bCs/>
        </w:rPr>
        <w:t>Fig. 4</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proofErr w:type="spellStart"/>
      <w:r w:rsidRPr="00FC5E5F">
        <w:rPr>
          <w:rFonts w:cs="Times New Roman"/>
          <w:i/>
        </w:rPr>
        <w:t>Teleaulax</w:t>
      </w:r>
      <w:proofErr w:type="spellEnd"/>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proofErr w:type="spellStart"/>
      <w:r w:rsidRPr="00FC5E5F">
        <w:rPr>
          <w:rFonts w:cs="Times New Roman"/>
          <w:i/>
        </w:rPr>
        <w:t>Mesodinium</w:t>
      </w:r>
      <w:proofErr w:type="spellEnd"/>
      <w:r w:rsidRPr="00FC5E5F">
        <w:rPr>
          <w:rFonts w:cs="Times New Roman"/>
          <w:i/>
        </w:rPr>
        <w:t xml:space="preserve">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Pr>
          <w:rFonts w:cs="Times New Roman"/>
        </w:rPr>
        <w:t xml:space="preserve">A positive correlation between the cryptophyte and </w:t>
      </w:r>
      <w:proofErr w:type="spellStart"/>
      <w:r w:rsidRPr="00FC5E5F">
        <w:rPr>
          <w:rFonts w:cs="Times New Roman"/>
          <w:i/>
        </w:rPr>
        <w:t>Mesodinium</w:t>
      </w:r>
      <w:proofErr w:type="spellEnd"/>
      <w:r>
        <w:rPr>
          <w:rFonts w:cs="Times New Roman"/>
        </w:rPr>
        <w:t xml:space="preserve"> abundances was observed (R</w:t>
      </w:r>
      <w:r w:rsidRPr="008A0DAC">
        <w:rPr>
          <w:rFonts w:cs="Times New Roman"/>
          <w:vertAlign w:val="superscript"/>
        </w:rPr>
        <w:t>2</w:t>
      </w:r>
      <w:r>
        <w:rPr>
          <w:rFonts w:cs="Times New Roman"/>
        </w:rPr>
        <w:t xml:space="preserve"> = 0.6</w:t>
      </w:r>
      <w:r w:rsidR="001064E6">
        <w:rPr>
          <w:rFonts w:cs="Times New Roman"/>
        </w:rPr>
        <w:t>3</w:t>
      </w:r>
      <w:r>
        <w:rPr>
          <w:rFonts w:cs="Times New Roman"/>
        </w:rPr>
        <w:t>, p &lt; 0.01).</w:t>
      </w:r>
    </w:p>
    <w:p w14:paraId="7C788DAB" w14:textId="77777777" w:rsidR="00F34B51" w:rsidRPr="00FE75DC" w:rsidRDefault="00F34B51" w:rsidP="00FC5E5F">
      <w:pPr>
        <w:spacing w:line="480" w:lineRule="auto"/>
        <w:rPr>
          <w:rFonts w:cs="Times New Roman"/>
        </w:rPr>
      </w:pPr>
    </w:p>
    <w:p w14:paraId="5F31F1FC" w14:textId="0A5973EF" w:rsidR="00E11168" w:rsidRDefault="00F34B51" w:rsidP="00FC5E5F">
      <w:pPr>
        <w:spacing w:line="480" w:lineRule="auto"/>
        <w:rPr>
          <w:rFonts w:cs="Times New Roman"/>
        </w:rPr>
      </w:pPr>
      <w:proofErr w:type="gramStart"/>
      <w:r w:rsidRPr="00FC5E5F">
        <w:rPr>
          <w:rFonts w:cs="Times New Roman"/>
          <w:b/>
          <w:bCs/>
        </w:rPr>
        <w:t xml:space="preserve">Fig. </w:t>
      </w:r>
      <w:r w:rsidR="00783B9A">
        <w:rPr>
          <w:rFonts w:cs="Times New Roman"/>
          <w:b/>
          <w:bCs/>
        </w:rPr>
        <w:t>5</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proofErr w:type="spellStart"/>
      <w:r w:rsidR="00E11168" w:rsidRPr="00FC5E5F">
        <w:rPr>
          <w:rFonts w:cs="Times New Roman"/>
          <w:i/>
        </w:rPr>
        <w:t>Teleaul</w:t>
      </w:r>
      <w:r w:rsidR="00C20035">
        <w:rPr>
          <w:rFonts w:cs="Times New Roman"/>
        </w:rPr>
        <w:t>ax</w:t>
      </w:r>
      <w:proofErr w:type="spellEnd"/>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w:t>
      </w:r>
      <w:proofErr w:type="gramEnd"/>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66D8390D" w:rsidR="00A056BE" w:rsidRPr="00FE75DC" w:rsidRDefault="00F34B51" w:rsidP="00FC5E5F">
      <w:pPr>
        <w:spacing w:line="480" w:lineRule="auto"/>
        <w:rPr>
          <w:rFonts w:cs="Times New Roman"/>
        </w:rPr>
      </w:pPr>
      <w:r w:rsidRPr="00FC5E5F">
        <w:rPr>
          <w:rFonts w:cs="Times New Roman"/>
          <w:b/>
          <w:bCs/>
        </w:rPr>
        <w:lastRenderedPageBreak/>
        <w:t xml:space="preserve">Fig. </w:t>
      </w:r>
      <w:r w:rsidR="00783B9A">
        <w:rPr>
          <w:rFonts w:cs="Times New Roman"/>
          <w:b/>
          <w:bCs/>
        </w:rPr>
        <w:t>6</w:t>
      </w:r>
      <w:r w:rsidR="00783B9A" w:rsidRPr="00FC5E5F">
        <w:rPr>
          <w:rFonts w:cs="Times New Roman"/>
        </w:rPr>
        <w:t xml:space="preserve"> </w:t>
      </w:r>
      <w:r w:rsidR="006F19EC">
        <w:rPr>
          <w:rFonts w:cs="Times New Roman"/>
        </w:rPr>
        <w:t xml:space="preserve">Relationship between </w:t>
      </w:r>
      <w:r w:rsidR="00B6644D">
        <w:rPr>
          <w:rFonts w:cs="Times New Roman"/>
        </w:rPr>
        <w:t>division rates (d</w:t>
      </w:r>
      <w:r w:rsidR="00B6644D" w:rsidRPr="00FC5E5F">
        <w:rPr>
          <w:rFonts w:cs="Times New Roman"/>
          <w:vertAlign w:val="superscript"/>
        </w:rPr>
        <w:t>-1</w:t>
      </w:r>
      <w:r w:rsidR="00B6644D">
        <w:rPr>
          <w:rFonts w:cs="Times New Roman"/>
        </w:rPr>
        <w:t>)</w:t>
      </w:r>
      <w:r w:rsidR="006F19EC">
        <w:rPr>
          <w:rFonts w:cs="Times New Roman"/>
        </w:rPr>
        <w:t xml:space="preserve"> of </w:t>
      </w:r>
      <w:proofErr w:type="spellStart"/>
      <w:r w:rsidR="006F19EC" w:rsidRPr="00FC5E5F">
        <w:rPr>
          <w:rFonts w:cs="Times New Roman"/>
          <w:i/>
        </w:rPr>
        <w:t>Teleau</w:t>
      </w:r>
      <w:r w:rsidR="00C20035">
        <w:rPr>
          <w:rFonts w:cs="Times New Roman"/>
          <w:i/>
        </w:rPr>
        <w:t>lax</w:t>
      </w:r>
      <w:proofErr w:type="spellEnd"/>
      <w:r w:rsidR="006F19EC" w:rsidRPr="008A0DAC">
        <w:rPr>
          <w:rFonts w:cs="Times New Roman"/>
        </w:rPr>
        <w:t>-like cryptophytes</w:t>
      </w:r>
      <w:r w:rsidR="0079574E">
        <w:rPr>
          <w:rFonts w:cs="Times New Roman"/>
        </w:rPr>
        <w:t xml:space="preserve"> </w:t>
      </w:r>
      <w:r w:rsidR="00B6644D">
        <w:rPr>
          <w:rFonts w:cs="Times New Roman"/>
        </w:rPr>
        <w:t>with A) daily-averaged salinity (</w:t>
      </w:r>
      <w:proofErr w:type="spellStart"/>
      <w:r w:rsidR="00B6644D">
        <w:rPr>
          <w:rFonts w:cs="Times New Roman"/>
        </w:rPr>
        <w:t>psu</w:t>
      </w:r>
      <w:proofErr w:type="spellEnd"/>
      <w:r w:rsidR="00B6644D">
        <w:rPr>
          <w:rFonts w:cs="Times New Roman"/>
        </w:rPr>
        <w:t>), B) daily-averaged temperature (ºC), C) daily-averaged Photosynthetic Active Radiation (µE m</w:t>
      </w:r>
      <w:r w:rsidR="00B6644D" w:rsidRPr="001A6120">
        <w:rPr>
          <w:rFonts w:cs="Times New Roman"/>
          <w:vertAlign w:val="superscript"/>
        </w:rPr>
        <w:t>-2</w:t>
      </w:r>
      <w:r w:rsidR="00B6644D">
        <w:rPr>
          <w:rFonts w:cs="Times New Roman"/>
        </w:rPr>
        <w:t xml:space="preserve"> s</w:t>
      </w:r>
      <w:r w:rsidR="00B6644D" w:rsidRPr="001A6120">
        <w:rPr>
          <w:rFonts w:cs="Times New Roman"/>
          <w:vertAlign w:val="superscript"/>
        </w:rPr>
        <w:t>-1</w:t>
      </w:r>
      <w:r w:rsidR="00B6644D">
        <w:rPr>
          <w:rFonts w:cs="Times New Roman"/>
        </w:rPr>
        <w:t xml:space="preserve">) </w:t>
      </w:r>
      <w:r w:rsidR="006F19EC">
        <w:rPr>
          <w:rFonts w:cs="Times New Roman"/>
        </w:rPr>
        <w:t xml:space="preserve">and concentrations of </w:t>
      </w:r>
      <w:r w:rsidR="00B6644D">
        <w:rPr>
          <w:rFonts w:cs="Times New Roman"/>
        </w:rPr>
        <w:t>D</w:t>
      </w:r>
      <w:r w:rsidR="006F19EC">
        <w:rPr>
          <w:rFonts w:cs="Times New Roman"/>
        </w:rPr>
        <w:t xml:space="preserve">) dissolved inorganic </w:t>
      </w:r>
      <w:r w:rsidR="00B6644D">
        <w:rPr>
          <w:rFonts w:cs="Times New Roman"/>
        </w:rPr>
        <w:t>nitrogen (DIN, µM) and E</w:t>
      </w:r>
      <w:r w:rsidR="006F19EC">
        <w:rPr>
          <w:rFonts w:cs="Times New Roman"/>
        </w:rPr>
        <w:t xml:space="preserve">) </w:t>
      </w:r>
      <w:r w:rsidR="00B6644D">
        <w:rPr>
          <w:rFonts w:cs="Times New Roman"/>
        </w:rPr>
        <w:t>phosphate (µM); relationship between cell production (10</w:t>
      </w:r>
      <w:r w:rsidR="00B6644D" w:rsidRPr="008A0DAC">
        <w:rPr>
          <w:rFonts w:cs="Times New Roman"/>
          <w:vertAlign w:val="superscript"/>
        </w:rPr>
        <w:t>6</w:t>
      </w:r>
      <w:r w:rsidR="00B6644D">
        <w:rPr>
          <w:rFonts w:cs="Times New Roman"/>
        </w:rPr>
        <w:t xml:space="preserve"> cells L</w:t>
      </w:r>
      <w:r w:rsidR="00B6644D" w:rsidRPr="008A0DAC">
        <w:rPr>
          <w:rFonts w:cs="Times New Roman"/>
          <w:vertAlign w:val="superscript"/>
        </w:rPr>
        <w:t>-1</w:t>
      </w:r>
      <w:r w:rsidR="00B6644D">
        <w:rPr>
          <w:rFonts w:cs="Times New Roman"/>
          <w:vertAlign w:val="superscript"/>
        </w:rPr>
        <w:t xml:space="preserve"> </w:t>
      </w:r>
      <w:r w:rsidR="00B6644D" w:rsidRPr="008A0DAC">
        <w:rPr>
          <w:rFonts w:cs="Times New Roman"/>
        </w:rPr>
        <w:t>d</w:t>
      </w:r>
      <w:r w:rsidR="00B6644D">
        <w:rPr>
          <w:rFonts w:cs="Times New Roman"/>
          <w:vertAlign w:val="superscript"/>
        </w:rPr>
        <w:t>-1</w:t>
      </w:r>
      <w:r w:rsidR="00B6644D">
        <w:rPr>
          <w:rFonts w:cs="Times New Roman"/>
        </w:rPr>
        <w:t>)</w:t>
      </w:r>
      <w:r w:rsidR="00B6644D" w:rsidRPr="00B6644D">
        <w:rPr>
          <w:rFonts w:cs="Times New Roman"/>
        </w:rPr>
        <w:t xml:space="preserve"> </w:t>
      </w:r>
      <w:r w:rsidR="00B6644D">
        <w:rPr>
          <w:rFonts w:cs="Times New Roman"/>
        </w:rPr>
        <w:t xml:space="preserve">and concentrations of F) dissolved inorganic nitrogen (DIN, µM) and G) phosphate (µM) and </w:t>
      </w:r>
      <w:r w:rsidR="006F19EC">
        <w:rPr>
          <w:rFonts w:cs="Times New Roman"/>
        </w:rPr>
        <w:t>during the survey in the CRE. A positive correlation between cell production and DIN was observed (R</w:t>
      </w:r>
      <w:r w:rsidR="006F19EC" w:rsidRPr="00FC5E5F">
        <w:rPr>
          <w:rFonts w:cs="Times New Roman"/>
          <w:vertAlign w:val="superscript"/>
        </w:rPr>
        <w:t>2</w:t>
      </w:r>
      <w:r w:rsidR="006F19EC">
        <w:rPr>
          <w:rFonts w:cs="Times New Roman"/>
        </w:rPr>
        <w:t xml:space="preserve"> = 0.5</w:t>
      </w:r>
      <w:r w:rsidR="00B6644D">
        <w:rPr>
          <w:rFonts w:cs="Times New Roman"/>
        </w:rPr>
        <w:t>7</w:t>
      </w:r>
      <w:r w:rsidR="006F19EC">
        <w:rPr>
          <w:rFonts w:cs="Times New Roman"/>
        </w:rPr>
        <w:t xml:space="preserve">, p &lt; 0.01).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4F2AEA" w:rsidRDefault="004F2AEA">
      <w:pPr>
        <w:pStyle w:val="CommentText"/>
      </w:pPr>
      <w:r>
        <w:rPr>
          <w:rStyle w:val="CommentReference"/>
        </w:rPr>
        <w:annotationRef/>
      </w:r>
      <w:r>
        <w:t>Joe/</w:t>
      </w:r>
      <w:proofErr w:type="spellStart"/>
      <w:r>
        <w:t>Tawnya</w:t>
      </w:r>
      <w:proofErr w:type="spellEnd"/>
      <w:r>
        <w:t>. Can you help us being a bit more specific?</w:t>
      </w:r>
    </w:p>
  </w:comment>
  <w:comment w:id="1" w:author="Francois Ribalet" w:date="2015-09-09T13:20:00Z" w:initials="FR">
    <w:p w14:paraId="27A51037" w14:textId="33A4D5B4" w:rsidR="004F2AEA" w:rsidRDefault="004F2AEA">
      <w:pPr>
        <w:pStyle w:val="CommentText"/>
      </w:pPr>
      <w:r>
        <w:rPr>
          <w:rStyle w:val="CommentReference"/>
        </w:rPr>
        <w:annotationRef/>
      </w:r>
      <w:proofErr w:type="spellStart"/>
      <w:r>
        <w:t>CMOPers</w:t>
      </w:r>
      <w:proofErr w:type="spellEnd"/>
      <w:r>
        <w:t xml:space="preserve">. Do you know a reference for SATURN network.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4F2AEA" w:rsidRDefault="004F2AEA" w:rsidP="006824CD">
      <w:r>
        <w:separator/>
      </w:r>
    </w:p>
  </w:endnote>
  <w:endnote w:type="continuationSeparator" w:id="0">
    <w:p w14:paraId="40A459A3" w14:textId="77777777" w:rsidR="004F2AEA" w:rsidRDefault="004F2AEA"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4F2AEA" w:rsidRDefault="004F2AEA"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4F2AEA" w:rsidRDefault="004F2A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4F2AEA" w:rsidRDefault="004F2AEA"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E0CB4DF" w14:textId="77777777" w:rsidR="004F2AEA" w:rsidRDefault="004F2A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4F2AEA" w:rsidRDefault="004F2AEA" w:rsidP="006824CD">
      <w:r>
        <w:separator/>
      </w:r>
    </w:p>
  </w:footnote>
  <w:footnote w:type="continuationSeparator" w:id="0">
    <w:p w14:paraId="36E45059" w14:textId="77777777" w:rsidR="004F2AEA" w:rsidRDefault="004F2AEA"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B2858"/>
    <w:rsid w:val="000D2E2F"/>
    <w:rsid w:val="000F0ADB"/>
    <w:rsid w:val="001064E6"/>
    <w:rsid w:val="001113C6"/>
    <w:rsid w:val="0011583F"/>
    <w:rsid w:val="00140BF8"/>
    <w:rsid w:val="001A6393"/>
    <w:rsid w:val="001A6A78"/>
    <w:rsid w:val="001B6646"/>
    <w:rsid w:val="001C68B4"/>
    <w:rsid w:val="001E5066"/>
    <w:rsid w:val="001F5A8D"/>
    <w:rsid w:val="00222090"/>
    <w:rsid w:val="00222506"/>
    <w:rsid w:val="00240D9B"/>
    <w:rsid w:val="002512CF"/>
    <w:rsid w:val="0028101C"/>
    <w:rsid w:val="002821F1"/>
    <w:rsid w:val="00294B07"/>
    <w:rsid w:val="00312AA7"/>
    <w:rsid w:val="003471DD"/>
    <w:rsid w:val="003519E7"/>
    <w:rsid w:val="00386162"/>
    <w:rsid w:val="003A28B3"/>
    <w:rsid w:val="003A3785"/>
    <w:rsid w:val="003A70CE"/>
    <w:rsid w:val="004739AE"/>
    <w:rsid w:val="00477BCF"/>
    <w:rsid w:val="004E3978"/>
    <w:rsid w:val="004F2AEA"/>
    <w:rsid w:val="005171A8"/>
    <w:rsid w:val="005B2226"/>
    <w:rsid w:val="005B7744"/>
    <w:rsid w:val="005E4016"/>
    <w:rsid w:val="006211C0"/>
    <w:rsid w:val="00625252"/>
    <w:rsid w:val="006379E7"/>
    <w:rsid w:val="006824CD"/>
    <w:rsid w:val="00684ABD"/>
    <w:rsid w:val="00695C2B"/>
    <w:rsid w:val="00696794"/>
    <w:rsid w:val="006E26A8"/>
    <w:rsid w:val="006F19EC"/>
    <w:rsid w:val="00705267"/>
    <w:rsid w:val="00716A04"/>
    <w:rsid w:val="00756A5E"/>
    <w:rsid w:val="0076721B"/>
    <w:rsid w:val="0077365D"/>
    <w:rsid w:val="00783B9A"/>
    <w:rsid w:val="0079574E"/>
    <w:rsid w:val="00796017"/>
    <w:rsid w:val="007C608D"/>
    <w:rsid w:val="007F6CB7"/>
    <w:rsid w:val="00827B3F"/>
    <w:rsid w:val="00847084"/>
    <w:rsid w:val="00865D87"/>
    <w:rsid w:val="008A5B24"/>
    <w:rsid w:val="008D4B36"/>
    <w:rsid w:val="008D4DDE"/>
    <w:rsid w:val="009337D9"/>
    <w:rsid w:val="00933F5B"/>
    <w:rsid w:val="00936B6D"/>
    <w:rsid w:val="00937CFA"/>
    <w:rsid w:val="00962DC5"/>
    <w:rsid w:val="009C5AFA"/>
    <w:rsid w:val="009D61BF"/>
    <w:rsid w:val="009E185E"/>
    <w:rsid w:val="00A056BE"/>
    <w:rsid w:val="00A76D49"/>
    <w:rsid w:val="00AC5751"/>
    <w:rsid w:val="00AC7240"/>
    <w:rsid w:val="00B03CF1"/>
    <w:rsid w:val="00B6644D"/>
    <w:rsid w:val="00BA7753"/>
    <w:rsid w:val="00C20035"/>
    <w:rsid w:val="00C300E1"/>
    <w:rsid w:val="00C41434"/>
    <w:rsid w:val="00C4165B"/>
    <w:rsid w:val="00C80EC9"/>
    <w:rsid w:val="00C9702F"/>
    <w:rsid w:val="00CA5519"/>
    <w:rsid w:val="00CB2E04"/>
    <w:rsid w:val="00CC139D"/>
    <w:rsid w:val="00CC4909"/>
    <w:rsid w:val="00CD5C61"/>
    <w:rsid w:val="00CE6D1A"/>
    <w:rsid w:val="00CF78A8"/>
    <w:rsid w:val="00D75F3A"/>
    <w:rsid w:val="00DA3C76"/>
    <w:rsid w:val="00DB249C"/>
    <w:rsid w:val="00E11168"/>
    <w:rsid w:val="00E127C8"/>
    <w:rsid w:val="00E42125"/>
    <w:rsid w:val="00E977DA"/>
    <w:rsid w:val="00EB76CE"/>
    <w:rsid w:val="00ED6F43"/>
    <w:rsid w:val="00EE7A93"/>
    <w:rsid w:val="00F34B51"/>
    <w:rsid w:val="00FC5E5F"/>
    <w:rsid w:val="00FC7391"/>
    <w:rsid w:val="00FE75DC"/>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15</Pages>
  <Words>3981</Words>
  <Characters>22692</Characters>
  <Application>Microsoft Macintosh Word</Application>
  <DocSecurity>0</DocSecurity>
  <Lines>189</Lines>
  <Paragraphs>53</Paragraphs>
  <ScaleCrop>false</ScaleCrop>
  <Company>Awesome Inc. </Company>
  <LinksUpToDate>false</LinksUpToDate>
  <CharactersWithSpaces>26620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Francois Ribalet</cp:lastModifiedBy>
  <cp:revision>47</cp:revision>
  <dcterms:created xsi:type="dcterms:W3CDTF">2015-09-04T16:22:00Z</dcterms:created>
  <dcterms:modified xsi:type="dcterms:W3CDTF">2015-09-09T23:12:00Z</dcterms:modified>
</cp:coreProperties>
</file>