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Figure Captions</w:t>
      </w:r>
    </w:p>
    <w:p>
      <w:pPr>
        <w:pStyle w:val="style0"/>
      </w:pPr>
      <w:r>
        <w:rPr>
          <w:rFonts w:ascii="Calibri" w:hAnsi="Calibri"/>
        </w:rPr>
      </w:r>
    </w:p>
    <w:p>
      <w:pPr>
        <w:pStyle w:val="style0"/>
      </w:pPr>
      <w:r>
        <w:rPr>
          <w:rFonts w:ascii="Calibri" w:hAnsi="Calibri"/>
          <w:b/>
          <w:bCs/>
        </w:rPr>
        <w:t>Fig. 1</w:t>
      </w:r>
      <w:r>
        <w:rPr>
          <w:rFonts w:ascii="Calibri" w:hAnsi="Calibri"/>
        </w:rPr>
        <w:t xml:space="preserve">  Map of the Columbia River estuary with the sampling site location marked. </w:t>
      </w:r>
    </w:p>
    <w:p>
      <w:pPr>
        <w:pStyle w:val="style0"/>
      </w:pPr>
      <w:r>
        <w:rPr>
          <w:rFonts w:ascii="Calibri" w:hAnsi="Calibri"/>
        </w:rPr>
      </w:r>
    </w:p>
    <w:p>
      <w:pPr>
        <w:pStyle w:val="style0"/>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pPr>
      <w:r>
        <w:rPr>
          <w:rFonts w:ascii="Calibri" w:hAnsi="Calibri"/>
        </w:rPr>
      </w:r>
    </w:p>
    <w:p>
      <w:pPr>
        <w:pStyle w:val="style0"/>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pPr>
      <w:r>
        <w:rPr>
          <w:rFonts w:ascii="Calibri" w:hAnsi="Calibri"/>
        </w:rPr>
      </w:r>
    </w:p>
    <w:p>
      <w:pPr>
        <w:pStyle w:val="style0"/>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pPr>
      <w:r>
        <w:rPr>
          <w:rFonts w:ascii="Calibri" w:hAnsi="Calibri"/>
        </w:rPr>
      </w:r>
    </w:p>
    <w:p>
      <w:pPr>
        <w:pStyle w:val="style0"/>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pPr>
      <w:r>
        <w:rPr>
          <w:rFonts w:ascii="Calibri" w:hAnsi="Calibri"/>
        </w:rPr>
      </w:r>
    </w:p>
    <w:p>
      <w:pPr>
        <w:pStyle w:val="style0"/>
      </w:pPr>
      <w:r>
        <w:rPr>
          <w:rFonts w:ascii="Calibri" w:hAnsi="Calibri"/>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ucida Sans"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ucida Sans" w:eastAsia="SimSun"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1379</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2015-07-23T11:14:25.00Z</dcterms:created>
  <dcterms:modified xsi:type="dcterms:W3CDTF">2015-07-23T11:53:39.00Z</dcterms:modified>
  <cp:revision>5</cp:revision>
</cp:coreProperties>
</file>