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Draft 1</w:t>
      </w:r>
    </w:p>
    <w:p>
      <w:pPr>
        <w:pStyle w:val="style0"/>
      </w:pPr>
      <w:r>
        <w:rPr/>
      </w:r>
    </w:p>
    <w:p>
      <w:pPr>
        <w:pStyle w:val="style0"/>
      </w:pPr>
      <w:r>
        <w:rPr>
          <w:rFonts w:ascii="Calibri" w:hAnsi="Calibri"/>
          <w:b/>
          <w:bCs/>
          <w:sz w:val="32"/>
          <w:szCs w:val="32"/>
        </w:rPr>
        <w:t xml:space="preserve">Working Title: </w:t>
      </w:r>
      <w:r>
        <w:rPr>
          <w:rFonts w:ascii="Calibri" w:hAnsi="Calibri"/>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tabs>
          <w:tab w:leader="none" w:pos="5265" w:val="left"/>
        </w:tabs>
        <w:spacing w:line="360" w:lineRule="auto"/>
      </w:pPr>
      <w:r>
        <w:rPr>
          <w:rFonts w:ascii="Calibri" w:hAnsi="Calibri"/>
        </w:rPr>
        <w:t xml:space="preserve">          </w:t>
      </w:r>
      <w:r>
        <w:rPr>
          <w:rFonts w:ascii="Calibri" w:hAnsi="Calibri"/>
        </w:rPr>
        <w:t xml:space="preserve">Every year, in the late summer or early fall, massive non-toxic red water blooms form in the Columbia River Estuary.  These blooms consist of both cryptophyte algae and the mixotrophic ciliate, </w:t>
      </w:r>
      <w:r>
        <w:rPr>
          <w:rFonts w:ascii="Calibri" w:hAnsi="Calibri"/>
          <w:i/>
          <w:iCs/>
        </w:rPr>
        <w:t>Mesodinium major,</w:t>
      </w:r>
      <w:r>
        <w:rPr>
          <w:rFonts w:ascii="Calibri" w:hAnsi="Calibri"/>
        </w:rPr>
        <w:t xml:space="preserve"> previously referred to as </w:t>
      </w:r>
      <w:r>
        <w:rPr>
          <w:rFonts w:ascii="Calibri" w:hAnsi="Calibri"/>
          <w:i/>
          <w:iCs/>
        </w:rPr>
        <w:t>Mesodinium rubrum</w:t>
      </w:r>
      <w:r>
        <w:rPr>
          <w:rFonts w:ascii="Calibri" w:hAnsi="Calibri"/>
        </w:rPr>
        <w:t xml:space="preserve"> (</w:t>
      </w:r>
      <w:r>
        <w:rPr>
          <w:rFonts w:ascii="Calibri" w:hAnsi="Calibri"/>
          <w:i/>
          <w:iCs/>
        </w:rPr>
        <w:t>= Myrionecta rubra</w:t>
      </w:r>
      <w:r>
        <w:rPr>
          <w:rFonts w:ascii="Calibri" w:hAnsi="Calibri"/>
        </w:rPr>
        <w:t>)</w:t>
      </w:r>
      <w:r>
        <w:rPr>
          <w:rFonts w:ascii="Calibri" w:hAnsi="Calibri"/>
          <w:i/>
          <w:iCs/>
        </w:rPr>
        <w:t xml:space="preserve"> </w:t>
      </w:r>
      <w:r>
        <w:rPr>
          <w:rFonts w:ascii="Calibri" w:hAnsi="Calibri"/>
        </w:rPr>
        <w:t xml:space="preserve">(Lohmann, 1908; Jankowski, 1976). </w:t>
      </w:r>
      <w:r>
        <w:rPr>
          <w:rFonts w:ascii="Calibri" w:hAnsi="Calibri"/>
          <w:i/>
          <w:iCs/>
        </w:rPr>
        <w:t>M. major</w:t>
      </w:r>
      <w:r>
        <w:rPr>
          <w:rFonts w:ascii="Calibri" w:hAnsi="Calibri"/>
        </w:rPr>
        <w:t xml:space="preserve"> and </w:t>
      </w:r>
      <w:r>
        <w:rPr>
          <w:rFonts w:ascii="Calibri" w:hAnsi="Calibri"/>
          <w:i/>
          <w:iCs/>
        </w:rPr>
        <w:t>M. rubrum</w:t>
      </w:r>
      <w:r>
        <w:rPr>
          <w:rFonts w:ascii="Calibri" w:hAnsi="Calibri"/>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The specifics of the </w:t>
      </w:r>
      <w:r>
        <w:rPr>
          <w:rFonts w:ascii="Calibri" w:hAnsi="Calibri"/>
          <w:i/>
          <w:iCs/>
        </w:rPr>
        <w:t>M. major</w:t>
      </w:r>
      <w:r>
        <w:rPr>
          <w:rFonts w:ascii="Calibri" w:hAnsi="Calibri"/>
        </w:rPr>
        <w:t xml:space="preserve">-cryptophyte relationship though, have not yet been determined with certainty. It is unclear as to whether the cryptophytes inside </w:t>
      </w:r>
      <w:r>
        <w:rPr>
          <w:rFonts w:ascii="Calibri" w:hAnsi="Calibri"/>
          <w:i/>
          <w:iCs/>
        </w:rPr>
        <w:t>M. major</w:t>
      </w:r>
      <w:r>
        <w:rPr>
          <w:rFonts w:ascii="Calibri" w:hAnsi="Calibri"/>
        </w:rPr>
        <w:t xml:space="preserve"> remain endosymbionts (Hansen and Fenchel, 2006; Hansen et al., 2012), or if the organelles are being “stolen” from the cryptophytes, as in the processes of kleptoplasty and karyoklepty (Gustafson et al., 2000; Johnson et al., 2007). But without an </w:t>
      </w:r>
      <w:r>
        <w:rPr>
          <w:rFonts w:ascii="Calibri" w:hAnsi="Calibri"/>
          <w:i/>
          <w:iCs/>
        </w:rPr>
        <w:t>M. major</w:t>
      </w:r>
      <w:r>
        <w:rPr>
          <w:rFonts w:ascii="Calibri" w:hAnsi="Calibri"/>
        </w:rPr>
        <w:t xml:space="preserve"> isolate from the Columbia River Estuary to use in controlled laboratory experiments, investigations into the details of this specific predator-prey relationship remain limited to field studies on the bloom. </w:t>
      </w:r>
    </w:p>
    <w:p>
      <w:pPr>
        <w:pStyle w:val="style0"/>
        <w:tabs>
          <w:tab w:leader="none" w:pos="5265" w:val="left"/>
        </w:tabs>
        <w:spacing w:line="360" w:lineRule="auto"/>
      </w:pPr>
      <w:r>
        <w:rPr>
          <w:rFonts w:ascii="Calibri" w:hAnsi="Calibri"/>
        </w:rPr>
        <w:t xml:space="preserve">        </w:t>
      </w:r>
      <w:r>
        <w:rPr>
          <w:rFonts w:ascii="Calibri" w:hAnsi="Calibri"/>
        </w:rPr>
        <w:t xml:space="preserve">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i/>
        </w:rPr>
        <w:t>Mesodinium sp.</w:t>
      </w:r>
      <w:r>
        <w:rPr>
          <w:rFonts w:ascii="Calibri" w:hAnsi="Calibri"/>
        </w:rPr>
        <w:t xml:space="preserve"> bloom in the estuary (Herfort et al., 2011a). But reasons for the timing, patchiness, and persistence of the bloom are still not yet fully understood. </w:t>
      </w:r>
    </w:p>
    <w:p>
      <w:pPr>
        <w:pStyle w:val="style0"/>
        <w:tabs>
          <w:tab w:leader="none" w:pos="5265" w:val="left"/>
        </w:tabs>
        <w:spacing w:line="360" w:lineRule="auto"/>
      </w:pPr>
      <w:r>
        <w:rPr>
          <w:rFonts w:ascii="Calibri" w:hAnsi="Calibri"/>
        </w:rPr>
        <w:t xml:space="preserve">        </w:t>
      </w:r>
      <w:r>
        <w:rPr>
          <w:rFonts w:ascii="Calibri" w:hAnsi="Calibri"/>
        </w:rPr>
        <w:t xml:space="preserve">Past research on the estuary has focused largely on understanding the dynamics of the </w:t>
      </w:r>
      <w:r>
        <w:rPr>
          <w:rFonts w:ascii="Calibri" w:hAnsi="Calibri"/>
          <w:i/>
          <w:iCs/>
        </w:rPr>
        <w:t>M. major</w:t>
      </w:r>
      <w:r>
        <w:rPr>
          <w:rFonts w:ascii="Calibri" w:hAnsi="Calibri"/>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i/>
          <w:iCs/>
        </w:rPr>
        <w:t>Teleaulax amphioexa,</w:t>
      </w:r>
      <w:r>
        <w:rPr>
          <w:rFonts w:ascii="Calibri" w:hAnsi="Calibri"/>
        </w:rPr>
        <w:t xml:space="preserve"> are found inside the </w:t>
      </w:r>
      <w:r>
        <w:rPr>
          <w:rFonts w:ascii="Calibri" w:hAnsi="Calibri"/>
          <w:i/>
          <w:iCs/>
        </w:rPr>
        <w:t>M. major</w:t>
      </w:r>
      <w:r>
        <w:rPr>
          <w:rFonts w:ascii="Calibri" w:hAnsi="Calibri"/>
        </w:rPr>
        <w:t xml:space="preserve"> in the Columbia River Estuary, conferring photosynthetic capabilities </w:t>
      </w:r>
      <w:bookmarkStart w:id="0" w:name="__DdeLink__1397_60455303711"/>
      <w:r>
        <w:rPr>
          <w:rFonts w:ascii="Calibri" w:hAnsi="Calibri"/>
        </w:rPr>
        <w:t>(Herfort et al., 2011b)</w:t>
      </w:r>
      <w:bookmarkEnd w:id="0"/>
      <w:r>
        <w:rPr>
          <w:rFonts w:ascii="Calibri" w:hAnsi="Calibri"/>
        </w:rPr>
        <w:t>. Weekly counts of M. major and cryptophyte cells during a red tide bloom in 2011 showed that the abundance of small (&lt;5 um) “Teleaulax-like” cryptophytes declined just prior to an increase in M. major abundance, suggesting active predation by M. major or another zooplankton (Peterson et al., 2012). Though free-living T. amphioexa</w:t>
      </w:r>
      <w:r>
        <w:rPr>
          <w:rFonts w:ascii="Calibri" w:hAnsi="Calibri"/>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tab/>
      </w:r>
      <w:r>
        <w:rPr>
          <w:rFonts w:ascii="Calibri" w:hAnsi="Calibri"/>
        </w:rPr>
        <w:t>This intent of this study is to monitor the dynamics of the cryptophyte populations in the Columbia River Estuary in an attempt to better understand their role the bloom. The specific questions that this study will address include:</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rPr>
        <w:t>M. major</w:t>
      </w:r>
      <w:r>
        <w:rPr>
          <w:rFonts w:ascii="Calibri" w:hAnsi="Calibri"/>
        </w:rPr>
        <w:t>?</w:t>
      </w:r>
    </w:p>
    <w:p>
      <w:pPr>
        <w:pStyle w:val="style0"/>
        <w:spacing w:line="360" w:lineRule="auto"/>
      </w:pPr>
      <w:r>
        <w:rPr>
          <w:rFonts w:ascii="Calibri" w:hAnsi="Calibri"/>
        </w:rPr>
        <w:tab/>
        <w:t>To answer these questions, we have monitored the abundances of a cryptophyte population continuously during a red tide bloom in the Columbia River Estuary from September-October 2013, and have estimated division rates of the combined populations of cryptophytes using a size structured division rate model from Sosik et al. (2003). In addition,</w:t>
      </w:r>
      <w:r>
        <w:rPr>
          <w:rFonts w:ascii="Calibri" w:hAnsi="Calibri"/>
          <w:i/>
          <w:iCs/>
        </w:rPr>
        <w:t xml:space="preserve"> M. major</w:t>
      </w:r>
      <w:r>
        <w:rPr>
          <w:rFonts w:ascii="Calibri" w:hAnsi="Calibri"/>
        </w:rPr>
        <w:t xml:space="preserve"> abundances were determined using FlowCAM, with daily counts of the ciliate. The abundances of </w:t>
      </w:r>
      <w:r>
        <w:rPr>
          <w:rFonts w:ascii="Calibri" w:hAnsi="Calibri"/>
          <w:i/>
          <w:iCs/>
        </w:rPr>
        <w:t xml:space="preserve">T. amphioexa </w:t>
      </w:r>
      <w:r>
        <w:rPr>
          <w:rFonts w:ascii="Calibri" w:hAnsi="Calibri"/>
        </w:rPr>
        <w:t xml:space="preserve">were estimated weekly, using qPCR.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20μL and 1mL of 25% gluteraldehyde, respectively. The samples for flow cytometry and nutrient analysis were then stored at -20°C, the samples for </w:t>
      </w:r>
      <w:r>
        <w:rPr>
          <w:rFonts w:ascii="Calibri" w:hAnsi="Calibri"/>
          <w:i/>
          <w:iCs/>
        </w:rPr>
        <w:t>M. major</w:t>
      </w:r>
      <w:r>
        <w:rPr>
          <w:rFonts w:ascii="Calibri" w:hAnsi="Calibri"/>
        </w:rPr>
        <w:t xml:space="preserve"> counts refrigerated at 4°C.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Nalgene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20μL of 50% gluteraldehyde, flash frozen, and stored at -80 °C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KM writes this</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μm)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rPr>
        <w:t xml:space="preserve">JN writes this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rPr>
        <w:tab/>
        <w:t>All SeaFlow data was analyzed using the R package, popcycle (</w:t>
      </w:r>
      <w:hyperlink r:id="rId2">
        <w:r>
          <w:rPr>
            <w:rStyle w:val="style16"/>
            <w:rStyle w:val="style16"/>
            <w:rFonts w:ascii="Calibri" w:hAnsi="Calibri"/>
          </w:rPr>
          <w:t>https://github.com/uwescience/popcycle</w:t>
        </w:r>
      </w:hyperlink>
      <w:r>
        <w:rPr>
          <w:rFonts w:ascii="Calibri" w:hAnsi="Calibri"/>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Fonts w:ascii="Calibri" w:hAnsi="Calibri"/>
        </w:rPr>
        <w:tab/>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rPr>
        <w:t>Lab Verification</w:t>
      </w:r>
    </w:p>
    <w:p>
      <w:pPr>
        <w:pStyle w:val="style0"/>
        <w:spacing w:line="360" w:lineRule="auto"/>
      </w:pPr>
      <w:r>
        <w:rPr>
          <w:rFonts w:ascii="Calibri" w:hAnsi="Calibri"/>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rPr>
        <w:t>Surface water temperature and salinity (</w:t>
      </w:r>
      <w:r>
        <w:rPr>
          <w:rFonts w:ascii="Calibri" w:hAnsi="Calibri"/>
          <w:b/>
          <w:bCs/>
        </w:rPr>
        <w:t>fig. 2, a</w:t>
      </w:r>
      <w:r>
        <w:rPr>
          <w:rFonts w:ascii="Calibri" w:hAnsi="Calibri"/>
        </w:rPr>
        <w:t>)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(Compare these values for temperature and salinity to data from past red tides?)</w:t>
      </w:r>
    </w:p>
    <w:p>
      <w:pPr>
        <w:pStyle w:val="style0"/>
        <w:spacing w:line="360" w:lineRule="auto"/>
      </w:pPr>
      <w:r>
        <w:rPr/>
        <w:tab/>
      </w:r>
      <w:r>
        <w:rPr>
          <w:rFonts w:ascii="Calibri" w:hAnsi="Calibri"/>
        </w:rPr>
        <w:t>During the time course, the daily maximum PAR fell between 116.6-802.9 (units) (</w:t>
      </w:r>
      <w:r>
        <w:rPr>
          <w:rFonts w:ascii="Calibri" w:hAnsi="Calibri"/>
          <w:b/>
          <w:bCs/>
        </w:rPr>
        <w:t>fig. 2, b</w:t>
      </w:r>
      <w:r>
        <w:rPr>
          <w:rFonts w:ascii="Calibri" w:hAnsi="Calibri"/>
        </w:rPr>
        <w:t xml:space="preserve">). The average daily PAR was between 28.9-177. </w:t>
      </w:r>
    </w:p>
    <w:p>
      <w:pPr>
        <w:pStyle w:val="style0"/>
        <w:spacing w:line="360" w:lineRule="auto"/>
      </w:pPr>
      <w:r>
        <w:rPr>
          <w:rFonts w:ascii="Calibri" w:hAnsi="Calibri"/>
        </w:rPr>
        <w:tab/>
        <w:t xml:space="preserve">Surface water concentrations of ammonium ranged from 2.3 μM-74.4 μM, concentrations of nitrate from 3.5 μM-16.1 μM, and of phosphate from 0.4μM-1.5 </w:t>
      </w:r>
      <w:bookmarkStart w:id="3" w:name="__DdeLink__1566_1453569631"/>
      <w:r>
        <w:rPr>
          <w:rFonts w:ascii="Calibri" w:hAnsi="Calibri"/>
        </w:rPr>
        <w:t>μM</w:t>
      </w:r>
      <w:bookmarkEnd w:id="3"/>
      <w:r>
        <w:rPr>
          <w:rFonts w:ascii="Calibri" w:hAnsi="Calibri"/>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rPr>
        <w:tab/>
      </w:r>
    </w:p>
    <w:p>
      <w:pPr>
        <w:pStyle w:val="style0"/>
        <w:spacing w:line="360" w:lineRule="auto"/>
      </w:pPr>
      <w:r>
        <w:rPr>
          <w:rFonts w:ascii="Calibri" w:hAnsi="Calibri"/>
          <w:b/>
          <w:bCs/>
        </w:rPr>
        <w:t>Abundances</w:t>
      </w:r>
    </w:p>
    <w:p>
      <w:pPr>
        <w:pStyle w:val="style0"/>
        <w:spacing w:line="360" w:lineRule="auto"/>
      </w:pPr>
      <w:r>
        <w:rPr>
          <w:rFonts w:ascii="Calibri" w:hAnsi="Calibri"/>
        </w:rPr>
        <w:tab/>
        <w:t>Data from SeaFlow showed the abundances of the surface water cryptophytes to be between &lt;0.01x10</w:t>
      </w:r>
      <w:r>
        <w:rPr>
          <w:rFonts w:ascii="Calibri" w:cs="Calibri" w:eastAsia="Calibri" w:hAnsi="Calibri"/>
        </w:rPr>
        <w:t xml:space="preserve">⁶ </w:t>
      </w:r>
      <w:r>
        <w:rPr>
          <w:rFonts w:ascii="Calibri" w:hAnsi="Calibri"/>
        </w:rPr>
        <w:t>- 19.2x10</w:t>
      </w:r>
      <w:r>
        <w:rPr>
          <w:rFonts w:ascii="Calibri" w:cs="Calibri" w:eastAsia="Calibri" w:hAnsi="Calibri"/>
        </w:rPr>
        <w:t>⁶ cells L⁻¹</w:t>
      </w:r>
      <w:r>
        <w:rPr>
          <w:rFonts w:ascii="Calibri" w:hAnsi="Calibri"/>
        </w:rPr>
        <w:t xml:space="preserve"> throughout the time course, with some of the highest concentrations occurring within the first week (</w:t>
      </w:r>
      <w:r>
        <w:rPr>
          <w:rFonts w:ascii="Calibri" w:hAnsi="Calibri"/>
          <w:b/>
          <w:bCs/>
        </w:rPr>
        <w:t>fig. 3, a</w:t>
      </w:r>
      <w:r>
        <w:rPr>
          <w:rFonts w:ascii="Calibri" w:hAnsi="Calibri"/>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rPr>
        <w:tab/>
        <w:t>Model estimates of the mean daily division rate of the surface water cryptophytes ranged from 0.023 to 9.78 (units?) (</w:t>
      </w:r>
      <w:r>
        <w:rPr>
          <w:rFonts w:ascii="Calibri" w:hAnsi="Calibri"/>
          <w:b/>
          <w:bCs/>
        </w:rPr>
        <w:t>fig. 4</w:t>
      </w:r>
      <w:r>
        <w:rPr>
          <w:rFonts w:ascii="Calibri" w:hAnsi="Calibri"/>
        </w:rPr>
        <w:t>), with weeks three (</w:t>
      </w:r>
      <w:r>
        <w:rPr>
          <w:rFonts w:ascii="Calibri" w:hAnsi="Calibri"/>
          <w:b/>
          <w:bCs/>
        </w:rPr>
        <w:t>fig. 4, c</w:t>
      </w:r>
      <w:r>
        <w:rPr>
          <w:rFonts w:ascii="Calibri" w:hAnsi="Calibri"/>
        </w:rPr>
        <w:t>) and four (</w:t>
      </w:r>
      <w:r>
        <w:rPr>
          <w:rFonts w:ascii="Calibri" w:hAnsi="Calibri"/>
          <w:b/>
          <w:bCs/>
        </w:rPr>
        <w:t>fig. 4, b</w:t>
      </w:r>
      <w:r>
        <w:rPr>
          <w:rFonts w:ascii="Calibri" w:hAnsi="Calibri"/>
        </w:rPr>
        <w:t xml:space="preserve">) exhibiting dramatically increased rates as compared to the first two weeks. </w:t>
      </w:r>
    </w:p>
    <w:p>
      <w:pPr>
        <w:pStyle w:val="style0"/>
        <w:spacing w:line="360" w:lineRule="auto"/>
      </w:pPr>
      <w:r>
        <w:rPr>
          <w:rFonts w:ascii="Calibri" w:hAnsi="Calibri"/>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cs="Calibri" w:eastAsia="Calibri" w:hAnsi="Calibri"/>
        </w:rPr>
        <w:t>mL</w:t>
      </w:r>
      <w:bookmarkStart w:id="4" w:name="__DdeLink__1200_1455561233"/>
      <w:r>
        <w:rPr>
          <w:rFonts w:ascii="Calibri" w:cs="Calibri" w:eastAsia="Calibri" w:hAnsi="Calibri"/>
        </w:rPr>
        <w:t>⁻¹</w:t>
      </w:r>
      <w:bookmarkEnd w:id="4"/>
      <w:r>
        <w:rPr>
          <w:rFonts w:ascii="Calibri" w:cs="Calibri" w:eastAsia="Calibri" w:hAnsi="Calibri"/>
        </w:rPr>
        <w:t>, with the some of the highest values occurring during weeks 2 and 3  (table 1). The most dramatic change in abundance occurred between 9/12 and 9/13, with a decrease from 175 to 27 cells  mL⁻¹, within 24 hours. The M. major</w:t>
      </w:r>
      <w:r>
        <w:rPr>
          <w:rFonts w:ascii="Calibri" w:cs="Calibri" w:eastAsia="Calibri" w:hAnsi="Calibri"/>
        </w:rPr>
        <w:t xml:space="preserve"> abundances showed no relationship with cryptophyte division rate, nor any correlation with surface water nutrient concentrations or mean PAR (supplemental fig?).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ab/>
        <w:t xml:space="preserve">The percent of the total cryptophytes that were </w:t>
      </w:r>
      <w:r>
        <w:rPr>
          <w:rFonts w:ascii="Calibri" w:hAnsi="Calibri"/>
          <w:i/>
          <w:iCs/>
        </w:rPr>
        <w:t>T. amphioexa</w:t>
      </w:r>
      <w:r>
        <w:rPr>
          <w:rFonts w:ascii="Calibri" w:hAnsi="Calibri"/>
        </w:rPr>
        <w:t>, as estimated from qPCR data, was very low across the entire time series, ranging from 0.0615% - 0.397% (</w:t>
      </w:r>
      <w:r>
        <w:rPr>
          <w:rFonts w:ascii="Calibri" w:hAnsi="Calibri"/>
          <w:b/>
          <w:bCs/>
        </w:rPr>
        <w:t>table 1</w:t>
      </w:r>
      <w:r>
        <w:rPr>
          <w:rFonts w:ascii="Calibri" w:hAnsi="Calibri"/>
        </w:rPr>
        <w:t xml:space="preserve">), and agreed with observations made in previous years (Herfort et al., 2011b). When applied to abundances measured via SeaFlow, this percent translated to between 5.03 and 93.18 </w:t>
      </w:r>
      <w:r>
        <w:rPr>
          <w:rFonts w:ascii="Calibri" w:hAnsi="Calibri"/>
          <w:i/>
          <w:iCs/>
        </w:rPr>
        <w:t>T. amphioexa</w:t>
      </w:r>
      <w:r>
        <w:rPr>
          <w:rFonts w:ascii="Calibri" w:hAnsi="Calibri"/>
        </w:rPr>
        <w:t xml:space="preserve"> cells </w:t>
      </w:r>
      <w:r>
        <w:rPr>
          <w:rFonts w:ascii="Calibri" w:cs="Calibri" w:eastAsia="Calibri" w:hAnsi="Calibri"/>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rPr>
        <w:t xml:space="preserve">Cryptophyte Abundances </w:t>
      </w:r>
    </w:p>
    <w:p>
      <w:pPr>
        <w:pStyle w:val="style0"/>
        <w:spacing w:line="360" w:lineRule="auto"/>
      </w:pPr>
      <w:r>
        <w:rPr>
          <w:rFonts w:ascii="Calibri" w:hAnsi="Calibri"/>
        </w:rPr>
        <w:tab/>
        <w:t xml:space="preserve">Though past data has suggested that the cryptophytes in the Columbia River Estuary are of freshwater origin (Peterson, unpublished data?) and thus increase in number with the outgoing tide, our data do not support this finding. 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tidal cycle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Fonts w:ascii="Calibri" w:hAnsi="Calibri"/>
        </w:rPr>
        <w:tab/>
        <w:t>The cryptophyte abundances additionally change over the course of the month. The weekly average of cryptophyte abundance is highest during the first week, decreases in the middle of the month, and then increases again during the final week of the experiment (</w:t>
      </w:r>
      <w:r>
        <w:rPr>
          <w:rFonts w:ascii="Calibri" w:hAnsi="Calibri"/>
          <w:b/>
          <w:bCs/>
        </w:rPr>
        <w:t>table 1</w:t>
      </w:r>
      <w:r>
        <w:rPr>
          <w:rFonts w:ascii="Calibri" w:hAnsi="Calibri"/>
        </w:rPr>
        <w:t xml:space="preserve">). </w:t>
      </w:r>
    </w:p>
    <w:p>
      <w:pPr>
        <w:pStyle w:val="style0"/>
        <w:spacing w:line="360" w:lineRule="auto"/>
      </w:pPr>
      <w:r>
        <w:rPr/>
      </w:r>
    </w:p>
    <w:p>
      <w:pPr>
        <w:pStyle w:val="style0"/>
        <w:spacing w:line="360" w:lineRule="auto"/>
      </w:pPr>
      <w:r>
        <w:rPr>
          <w:rFonts w:ascii="Calibri" w:hAnsi="Calibri"/>
          <w:b/>
          <w:bCs/>
        </w:rPr>
        <w:t>Cryptophyte Division Rate Estimates and Evaluating the Model</w:t>
      </w:r>
      <w:r>
        <w:rPr>
          <w:rFonts w:ascii="Calibri" w:hAnsi="Calibri"/>
        </w:rPr>
        <w:t xml:space="preserve"> </w:t>
      </w:r>
    </w:p>
    <w:p>
      <w:pPr>
        <w:pStyle w:val="style0"/>
        <w:spacing w:line="360" w:lineRule="auto"/>
      </w:pPr>
      <w:r>
        <w:rPr>
          <w:rFonts w:ascii="Calibri" w:hAnsi="Calibri"/>
        </w:rPr>
        <w:tab/>
        <w:t xml:space="preserve">Though the cryptophyte division rates that we have estimated from the model (0.023 to 9.78) appear to conflict with our laboratory estimates for the cryptophyte, </w:t>
      </w:r>
      <w:r>
        <w:rPr>
          <w:rFonts w:ascii="Calibri" w:hAnsi="Calibri"/>
          <w:i/>
          <w:iCs/>
        </w:rPr>
        <w:t>Rhodomonas sp.</w:t>
      </w:r>
      <w:r>
        <w:rPr>
          <w:rFonts w:ascii="Calibri" w:hAnsi="Calibri"/>
        </w:rPr>
        <w:t xml:space="preserve"> (average daily?),  this does not necessarily suggest that our model estimates are incorrect. Growth rates for </w:t>
      </w:r>
      <w:r>
        <w:rPr>
          <w:rFonts w:ascii="Calibri" w:hAnsi="Calibri"/>
          <w:i/>
          <w:iCs/>
        </w:rPr>
        <w:t>M. major</w:t>
      </w:r>
      <w:r>
        <w:rPr>
          <w:rFonts w:ascii="Calibri" w:hAnsi="Calibri"/>
        </w:rPr>
        <w:t xml:space="preserve"> found in the Columbia River Estuary in both 2011 and 2012 greatly exceeded the growth rates determined for laboratory cultures, at times by up to a seven-fold difference (Yih et al., 2004; Herfort et al., 2011; Peterson et al., 2012). It is possible that the environmental conditions and specific biological community found in the Columbia River Estuary allow for the growth of both ciliates and cryptophytes at a rate not yet replicated in culture. </w:t>
      </w:r>
    </w:p>
    <w:p>
      <w:pPr>
        <w:pStyle w:val="style0"/>
        <w:spacing w:line="360" w:lineRule="auto"/>
      </w:pPr>
      <w:r>
        <w:rPr>
          <w:rFonts w:ascii="Calibri" w:hAnsi="Calibri"/>
        </w:rPr>
        <w:tab/>
        <w:t xml:space="preserve">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But we do not actually have any evidence that connects this possible model 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Hassett, 1982; Landry et al., 1995) and is less labor-intensive. </w:t>
      </w:r>
    </w:p>
    <w:p>
      <w:pPr>
        <w:pStyle w:val="style0"/>
        <w:spacing w:line="360" w:lineRule="auto"/>
      </w:pPr>
      <w:r>
        <w:rPr/>
      </w:r>
    </w:p>
    <w:p>
      <w:pPr>
        <w:pStyle w:val="style0"/>
        <w:spacing w:line="360" w:lineRule="auto"/>
      </w:pPr>
      <w:r>
        <w:rPr>
          <w:rFonts w:ascii="Calibri" w:hAnsi="Calibri"/>
          <w:b/>
          <w:bCs/>
        </w:rPr>
        <w:t xml:space="preserve">Environmental Influences on Cryptophyte Division Rate and </w:t>
      </w:r>
      <w:r>
        <w:rPr>
          <w:rFonts w:ascii="Calibri" w:hAnsi="Calibri"/>
          <w:b/>
          <w:bCs/>
          <w:i/>
          <w:iCs/>
        </w:rPr>
        <w:t>M. major</w:t>
      </w:r>
      <w:r>
        <w:rPr>
          <w:rFonts w:ascii="Calibri" w:hAnsi="Calibri"/>
          <w:b/>
          <w:bCs/>
        </w:rPr>
        <w:t xml:space="preserve"> Abundances </w:t>
      </w:r>
    </w:p>
    <w:p>
      <w:pPr>
        <w:pStyle w:val="style0"/>
        <w:spacing w:line="360" w:lineRule="auto"/>
      </w:pPr>
      <w:r>
        <w:rPr/>
        <w:tab/>
      </w:r>
      <w:r>
        <w:rPr>
          <w:rFonts w:ascii="Calibri" w:hAnsi="Calibri"/>
        </w:rPr>
        <w:t>In the turbid waters of the Columbia River Estuary, light is generally considered to be the factor most limiting to phytoplankton growth (Herfort et al., 2012). Comparing measurments of PAR, as well as surface water nutrients, to our cryptophyte division rate estimates did not reveal any limiting factors to the growth of the cryptophyte bloom (</w:t>
      </w:r>
      <w:r>
        <w:rPr>
          <w:rFonts w:ascii="Calibri" w:hAnsi="Calibri"/>
          <w:b/>
          <w:bCs/>
        </w:rPr>
        <w:t>fig 5</w:t>
      </w:r>
      <w:r>
        <w:rPr>
          <w:rFonts w:ascii="Calibri" w:hAnsi="Calibri"/>
        </w:rPr>
        <w:t xml:space="preserve">). But because the photosynthetic machinery of cryptophyte cells are well adapted to conditions of low light (Bergman et al., 2004), it makes sense that they are not limited by PAR during the time of our field study. It would actually be more likely that the cryptophytes would be limited by overabundance of light, as they are not among the phytoplankton that produce light-protective compounds that shield cells from the damaging effects of radiation (Vernet et al., 1994; Herfort et al., 2012). But again, our division rate estimates did not show any correlation with PAR, negative or otherwise. Comparisons of environmental data with daily average cryptophyte production also did not result in any significant correlations (supplemental fig), though it should be noted that the regression lines were skewed by the presence of a singular outlying point that represented the last day in the time course. </w:t>
      </w:r>
    </w:p>
    <w:p>
      <w:pPr>
        <w:pStyle w:val="style0"/>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 xml:space="preserve">s preferred nitrogen source (Crawford et al., 2007), and the abundance of the ciliate in the estuary's main channel (Herfort et al., 2012). In our comparison of </w:t>
      </w:r>
      <w:r>
        <w:rPr>
          <w:rFonts w:ascii="Calibri" w:hAnsi="Calibri"/>
          <w:i/>
          <w:iCs/>
        </w:rPr>
        <w:t>M. major</w:t>
      </w:r>
      <w:r>
        <w:rPr>
          <w:rFonts w:ascii="Calibri" w:hAnsi="Calibri"/>
        </w:rPr>
        <w:t xml:space="preserve"> abundance and surface water ammonium, we did not find a correlation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Abundances in Relation to Cryptophyte Data </w:t>
      </w:r>
    </w:p>
    <w:p>
      <w:pPr>
        <w:pStyle w:val="style0"/>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T. amphioexa.</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cryptophytes. Again, these division rate estimates are determined for the population of cryptophytes, as a whole. </w:t>
      </w:r>
      <w:r>
        <w:rPr>
          <w:rFonts w:ascii="Calibri" w:hAnsi="Calibri"/>
          <w:i/>
          <w:iCs/>
        </w:rPr>
        <w:t>M. major's</w:t>
      </w:r>
      <w:r>
        <w:rPr>
          <w:rFonts w:ascii="Calibri" w:hAnsi="Calibri"/>
        </w:rPr>
        <w:t xml:space="preserve"> preferred prey, </w:t>
      </w:r>
      <w:r>
        <w:rPr>
          <w:rFonts w:ascii="Calibri" w:hAnsi="Calibri"/>
          <w:i/>
          <w:iCs/>
        </w:rPr>
        <w:t>T. amphioexa</w:t>
      </w:r>
      <w:r>
        <w:rPr>
          <w:rFonts w:ascii="Calibri" w:hAnsi="Calibri"/>
        </w:rPr>
        <w:t xml:space="preserve">, makes up &lt;1% of the total cryptophyte population, and </w:t>
      </w:r>
      <w:r>
        <w:rPr>
          <w:rFonts w:ascii="Calibri" w:hAnsi="Calibri"/>
          <w:i/>
          <w:iCs/>
        </w:rPr>
        <w:t>T. amphioexa</w:t>
      </w:r>
      <w:r>
        <w:rPr>
          <w:rFonts w:ascii="Calibri" w:hAnsi="Calibri"/>
        </w:rPr>
        <w:t xml:space="preserve"> may exhibit division rates that are very different from the rest of the population. A major difference in the overall pattern of division rate over the course of the experiment is unlikely though, as the environmental factors influencing the change in division rate and physiology of the total population of cryptophytes will likely have the same effect on </w:t>
      </w:r>
      <w:r>
        <w:rPr>
          <w:rFonts w:ascii="Calibri" w:hAnsi="Calibri"/>
          <w:i/>
          <w:iCs/>
        </w:rPr>
        <w:t>T. amphioexa</w:t>
      </w:r>
      <w:r>
        <w:rPr>
          <w:rFonts w:ascii="Calibri" w:hAnsi="Calibri"/>
        </w:rPr>
        <w:t xml:space="preserve">. </w:t>
      </w:r>
    </w:p>
    <w:p>
      <w:pPr>
        <w:pStyle w:val="style0"/>
        <w:spacing w:line="360" w:lineRule="auto"/>
      </w:pPr>
      <w:r>
        <w:rPr>
          <w:rFonts w:ascii="Calibri" w:hAnsi="Calibri"/>
        </w:rPr>
        <w:tab/>
        <w:t xml:space="preserve"> Though our data set contains only four time points, comparisons of </w:t>
      </w:r>
      <w:r>
        <w:rPr>
          <w:rFonts w:ascii="Calibri" w:hAnsi="Calibri"/>
          <w:i/>
          <w:iCs/>
        </w:rPr>
        <w:t>T. amphioexa</w:t>
      </w:r>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M. major bloom development. Of these four coinciding time points, the highest </w:t>
      </w:r>
      <w:r>
        <w:rPr>
          <w:rFonts w:ascii="Calibri" w:hAnsi="Calibri"/>
          <w:i/>
          <w:iCs/>
        </w:rPr>
        <w:t>M. major</w:t>
      </w:r>
      <w:r>
        <w:rPr>
          <w:rFonts w:ascii="Calibri" w:hAnsi="Calibri"/>
        </w:rPr>
        <w:t xml:space="preserve"> count (179) occurs when the percent of the total cryptophytes that are </w:t>
      </w:r>
      <w:r>
        <w:rPr>
          <w:rFonts w:ascii="Calibri" w:hAnsi="Calibri"/>
          <w:i/>
          <w:iCs/>
        </w:rPr>
        <w:t>T. amphioexa</w:t>
      </w:r>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evidence of selective grazing on </w:t>
      </w:r>
      <w:r>
        <w:rPr>
          <w:rFonts w:ascii="Calibri" w:hAnsi="Calibri"/>
          <w:i/>
          <w:iCs/>
        </w:rPr>
        <w:t>T. amphioexa</w:t>
      </w:r>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T. amphioexa</w:t>
      </w:r>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T. amphioexa</w:t>
      </w:r>
      <w:r>
        <w:rPr>
          <w:rFonts w:ascii="Calibri" w:hAnsi="Calibri"/>
        </w:rPr>
        <w:t xml:space="preserve"> exceeds that of the ciliate. This finding is curious, as grazing experiments using laboratory cultures of M. rubrum have estimated ingestion rates between ~3.5 and 8.9 cryptophytes ciliate</w:t>
      </w:r>
      <w:r>
        <w:rPr>
          <w:rFonts w:ascii="Calibri" w:cs="Calibri" w:eastAsia="Calibri" w:hAnsi="Calibri"/>
        </w:rPr>
        <w:t>⁻¹</w:t>
      </w:r>
      <w:r>
        <w:rPr>
          <w:rFonts w:ascii="Calibri" w:hAnsi="Calibri"/>
        </w:rPr>
        <w:t xml:space="preserve"> day</w:t>
      </w:r>
      <w:r>
        <w:rPr>
          <w:rFonts w:ascii="Calibri" w:cs="Calibri" w:eastAsia="Calibri" w:hAnsi="Calibri"/>
        </w:rPr>
        <w:t xml:space="preserve">⁻¹ (Yih et al., 2004; Hansen and Fenchel, 2006). Additionally, using a FISH probe for </w:t>
      </w:r>
      <w:r>
        <w:rPr>
          <w:rFonts w:ascii="Calibri" w:cs="Calibri" w:eastAsia="Calibri" w:hAnsi="Calibri"/>
          <w:i/>
          <w:iCs/>
        </w:rPr>
        <w:t>T. amphioexa</w:t>
      </w:r>
      <w:r>
        <w:rPr>
          <w:rFonts w:ascii="Calibri" w:cs="Calibri" w:eastAsia="Calibri" w:hAnsi="Calibri"/>
        </w:rPr>
        <w:t xml:space="preserve">, we have been able to observe up to &gt;20 prey within a single </w:t>
      </w:r>
      <w:r>
        <w:rPr>
          <w:rFonts w:ascii="Calibri" w:cs="Calibri" w:eastAsia="Calibri" w:hAnsi="Calibri"/>
          <w:i/>
          <w:iCs/>
        </w:rPr>
        <w:t>M. major</w:t>
      </w:r>
      <w:r>
        <w:rPr>
          <w:rFonts w:ascii="Calibri" w:cs="Calibri" w:eastAsia="Calibri" w:hAnsi="Calibri"/>
        </w:rPr>
        <w:t xml:space="preserve"> cell (pic as supplemental fig). It is possible that the low abundances of the prey cryptophyte that we observe in the Columbia River Estuary are the result of the result of grazing by</w:t>
      </w:r>
      <w:r>
        <w:rPr>
          <w:rFonts w:ascii="Calibri" w:cs="Calibri" w:eastAsia="Calibri" w:hAnsi="Calibri"/>
          <w:i/>
          <w:iCs/>
        </w:rPr>
        <w:t xml:space="preserve"> M. major </w:t>
      </w:r>
      <w:r>
        <w:rPr>
          <w:rFonts w:ascii="Calibri" w:cs="Calibri" w:eastAsia="Calibri" w:hAnsi="Calibri"/>
        </w:rPr>
        <w:t xml:space="preserve">and other microzooplankton, but without having measured grazing rates in the field, we cannot determine this. </w:t>
      </w:r>
    </w:p>
    <w:p>
      <w:pPr>
        <w:pStyle w:val="style0"/>
        <w:spacing w:line="360" w:lineRule="auto"/>
      </w:pPr>
      <w:r>
        <w:rPr>
          <w:rFonts w:ascii="Calibri" w:cs="Calibri" w:eastAsia="Calibri" w:hAnsi="Calibri"/>
        </w:rPr>
        <w:tab/>
        <w:t xml:space="preserve">A number of other potential explanations as to the question of </w:t>
      </w:r>
      <w:r>
        <w:rPr>
          <w:rFonts w:ascii="Calibri" w:cs="Calibri" w:eastAsia="Calibri" w:hAnsi="Calibri"/>
          <w:i/>
          <w:iCs/>
        </w:rPr>
        <w:t>M. major</w:t>
      </w:r>
      <w:r>
        <w:rPr>
          <w:rFonts w:ascii="Calibri" w:cs="Calibri" w:eastAsia="Calibri" w:hAnsi="Calibri"/>
        </w:rPr>
        <w:t xml:space="preserve"> bloom proliferation, despite low prey abundance, remain. </w:t>
      </w:r>
      <w:r>
        <w:rPr>
          <w:rFonts w:ascii="Calibri" w:hAnsi="Calibri"/>
        </w:rPr>
        <w:t xml:space="preserve">A previous study on the 2011 bloom in the Columbia River Estuary documented </w:t>
      </w:r>
      <w:r>
        <w:rPr>
          <w:rFonts w:ascii="Calibri" w:hAnsi="Calibri"/>
          <w:i/>
          <w:iCs/>
        </w:rPr>
        <w:t>M. major</w:t>
      </w:r>
      <w:r>
        <w:rPr>
          <w:rFonts w:ascii="Calibri" w:hAnsi="Calibri"/>
        </w:rPr>
        <w:t xml:space="preserve">'s ability to retain cryptophytes attached to the ciliate's cirri, finding up to ~50 cryptophytes captured by these external structures (Peterson et al., 2012). Our measurements of </w:t>
      </w:r>
      <w:r>
        <w:rPr>
          <w:rFonts w:ascii="Calibri" w:hAnsi="Calibri"/>
          <w:i/>
          <w:iCs/>
        </w:rPr>
        <w:t>T. amphioexa</w:t>
      </w:r>
      <w:r>
        <w:rPr>
          <w:rFonts w:ascii="Calibri" w:hAnsi="Calibri"/>
        </w:rPr>
        <w:t xml:space="preserve"> abundance are limited to those that are free-living, and it is likely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T. amphioexa</w:t>
      </w:r>
      <w:r>
        <w:rPr>
          <w:rFonts w:ascii="Calibri" w:hAnsi="Calibri"/>
        </w:rPr>
        <w:t xml:space="preserve">. Another possibility could be that the ingested </w:t>
      </w:r>
      <w:r>
        <w:rPr>
          <w:rFonts w:ascii="Calibri" w:hAnsi="Calibri"/>
          <w:i/>
          <w:iCs/>
        </w:rPr>
        <w:t>T. amphioexa</w:t>
      </w:r>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cryptophytes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T. amphioexa</w:t>
      </w:r>
      <w:r>
        <w:rPr>
          <w:rFonts w:ascii="Calibri" w:hAnsi="Calibri"/>
        </w:rPr>
        <w:t xml:space="preserve"> in the Columbia River Estuary. </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cryptophyte prey may play a role in the proliferation of the bloom, but until now, the cryptophyte population within the bloom had not yet been investigated. This study is the first to show continuous abundances and division rates of the cryptophyte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cryptophytes and </w:t>
      </w:r>
      <w:r>
        <w:rPr>
          <w:rFonts w:ascii="Calibri" w:hAnsi="Calibri"/>
          <w:i/>
          <w:iCs/>
        </w:rPr>
        <w:t>M. major</w:t>
      </w:r>
      <w:r>
        <w:rPr>
          <w:rFonts w:ascii="Calibri" w:hAnsi="Calibri"/>
        </w:rPr>
        <w:t xml:space="preserve">, pointing to the importance of the non free-living cryptophyte prey, either attached to or within the ciliate. Future studies should focus on using molecular approaches to better understand the specific interactions between </w:t>
      </w:r>
      <w:r>
        <w:rPr>
          <w:rFonts w:ascii="Calibri" w:hAnsi="Calibri"/>
          <w:i/>
        </w:rPr>
        <w:t>M. major</w:t>
      </w:r>
      <w:r>
        <w:rPr>
          <w:rFonts w:ascii="Calibri" w:hAnsi="Calibri"/>
        </w:rPr>
        <w:t xml:space="preserve"> and </w:t>
      </w:r>
      <w:r>
        <w:rPr>
          <w:rFonts w:ascii="Calibri" w:hAnsi="Calibri"/>
          <w:i/>
        </w:rPr>
        <w:t>T. amphioexa</w:t>
      </w:r>
      <w:r>
        <w:rPr>
          <w:rFonts w:ascii="Calibri" w:hAnsi="Calibri"/>
        </w:rPr>
        <w:t xml:space="preserve">, in combination with </w:t>
      </w:r>
      <w:r>
        <w:rPr>
          <w:rFonts w:ascii="Calibri" w:hAnsi="Calibri"/>
          <w:i/>
        </w:rPr>
        <w:t>in situ</w:t>
      </w:r>
      <w:bookmarkStart w:id="5" w:name="_GoBack"/>
      <w:bookmarkEnd w:id="5"/>
      <w:r>
        <w:rPr>
          <w:rFonts w:ascii="Calibri" w:hAnsi="Calibri"/>
        </w:rPr>
        <w:t xml:space="preserve"> measurements of grazing rates. Additional investigations into the cause of the exceptionally high growth rates of phytoplankton in the Columbia River Estuary, as found in this and other studies (Herfort et al., 2011; Peterson et al., 2012), may also help to reveal any unique properties of this system- some of which could be contributing to the dynamics of this bloom.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rPr>
        <w:t xml:space="preserve">⁻¹ ), and the estimated percent of </w:t>
      </w:r>
      <w:r>
        <w:rPr>
          <w:rFonts w:ascii="Calibri" w:cs="Calibri" w:eastAsia="Calibri" w:hAnsi="Calibri"/>
          <w:i/>
          <w:iCs/>
        </w:rPr>
        <w:t>T. amphioexa</w:t>
      </w:r>
      <w:r>
        <w:rPr>
          <w:rFonts w:ascii="Calibri" w:cs="Calibri" w:eastAsia="Calibri" w:hAnsi="Calibri"/>
        </w:rPr>
        <w:t xml:space="preserve"> as determined via qPCR. </w:t>
      </w:r>
      <w:r>
        <w:rPr>
          <w:rFonts w:ascii="Calibri" w:cs="Calibri" w:eastAsia="Calibri" w:hAnsi="Calibri"/>
          <w:i/>
          <w:iCs/>
        </w:rPr>
        <w:t>T. amphioexa</w:t>
      </w:r>
      <w:r>
        <w:rPr>
          <w:rFonts w:ascii="Calibri" w:cs="Calibri" w:eastAsia="Calibri" w:hAnsi="Calibri"/>
        </w:rPr>
        <w:t xml:space="preserve"> abundances calculated using the estimated percent. </w:t>
      </w:r>
    </w:p>
    <w:p>
      <w:pPr>
        <w:pStyle w:val="style0"/>
        <w:tabs>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ucida Sans" w:eastAsia="SimSun"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pPr>
    <w:rPr>
      <w:rFonts w:cs="Lucida Sans"/>
      <w:i/>
      <w:iCs/>
      <w:sz w:val="24"/>
      <w:szCs w:val="24"/>
    </w:rPr>
  </w:style>
  <w:style w:styleId="style21" w:type="paragraph">
    <w:name w:val="Index"/>
    <w:basedOn w:val="style0"/>
    <w:next w:val="style21"/>
    <w:pPr>
      <w:suppressLineNumbers/>
    </w:pPr>
    <w:rPr>
      <w:rFonts w:cs="Lucida Sans"/>
    </w:rPr>
  </w:style>
  <w:style w:styleId="style22" w:type="paragraph">
    <w:name w:val="caption"/>
    <w:basedOn w:val="style0"/>
    <w:next w:val="style22"/>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2076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2015-07-31T10:07:00.00Z</dcterms:created>
  <cp:lastModifiedBy>Maria Hamilton</cp:lastModifiedBy>
  <dcterms:modified xsi:type="dcterms:W3CDTF">2015-08-13T03:10:00.00Z</dcterms:modified>
  <cp:revision>6</cp:revision>
</cp:coreProperties>
</file>