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Draft 1</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M. rubrum</w:t>
      </w:r>
      <w:r>
        <w:rPr>
          <w:rFonts w:ascii="Calibri" w:hAnsi="Calibri"/>
          <w:b w:val="false"/>
          <w:bCs w:val="false"/>
          <w:i w:val="false"/>
          <w:iCs w:val="false"/>
          <w:sz w:val="24"/>
          <w:szCs w:val="24"/>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The specifics of the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-cryptophyte relationship though, have not yet been determined with certainty. It is unclear as to whether the cryptophytes inside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remain endosymbionts (Hansen and Fenchel, 2006; Hansen et al., 2012), or if the organelles are being “stolen” from the cryptophytes, as in the processes of kleptoplasty and karyoklepty (Gustafson et al., 2000; Johnson et al., 2007). But without an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isolate from the Columbia River Estuary to use in controlled laboratory experiments, investigations into the details of this specific predator-prey relationship remain limited to field studies on the bloom.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iCs w:val="false"/>
        </w:rPr>
        <w:t>Mesodinium sp.</w:t>
      </w:r>
      <w:r>
        <w:rPr>
          <w:rFonts w:ascii="Calibri" w:hAnsi="Calibri"/>
          <w:b w:val="false"/>
          <w:bCs w:val="false"/>
          <w:i w:val="false"/>
          <w:iCs w:val="false"/>
        </w:rPr>
        <w:t xml:space="preserve"> bloom in the estuary (Herfort et al., 2011a). But reasons for the timing, patchiness, and persistence of the bloom are still not yet fully understood.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are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Weekly counts of M. major and cryptophyte cells during a red tide bloom in 2011 showed that the abundance of small (&lt;5 um) “Teleaulax-like” cryptophytes declined just prior to an increase in M. major abundance, suggesting active predation by M. major</w:t>
      </w:r>
      <w:r>
        <w:rPr>
          <w:rFonts w:ascii="Calibri" w:hAnsi="Calibri"/>
          <w:b w:val="false"/>
          <w:bCs w:val="false"/>
          <w:i w:val="false"/>
          <w:iCs w:val="false"/>
        </w:rPr>
        <w:t xml:space="preserve"> or another zooplankton (Peterson et al., 2012). Though free-living </w:t>
      </w:r>
      <w:r>
        <w:rPr>
          <w:rFonts w:ascii="Calibri" w:hAnsi="Calibri"/>
          <w:b w:val="false"/>
          <w:bCs w:val="false"/>
          <w:i/>
          <w:iCs/>
        </w:rPr>
        <w:t>T. amphioexa</w:t>
      </w:r>
      <w:r>
        <w:rPr>
          <w:rFonts w:ascii="Calibri" w:hAnsi="Calibri"/>
          <w:b w:val="false"/>
          <w:bCs w:val="false"/>
          <w:i w:val="false"/>
          <w:iCs w:val="false"/>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tab/>
      </w:r>
      <w:r>
        <w:rPr>
          <w:rFonts w:ascii="Calibri" w:hAnsi="Calibri"/>
        </w:rPr>
        <w:t>This intent of this study is to monitor the dynamics of the cryptophyte populations in the Columbia River Estuary in an attempt to better understand their role the bloom. The specific questions that this study will address include:</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u w:val="none"/>
        </w:rPr>
        <w:t>M. major</w:t>
      </w:r>
      <w:r>
        <w:rPr>
          <w:rFonts w:ascii="Calibri" w:hAnsi="Calibri"/>
        </w:rPr>
        <w:t>?</w:t>
      </w:r>
    </w:p>
    <w:p>
      <w:pPr>
        <w:pStyle w:val="style0"/>
        <w:spacing w:line="360" w:lineRule="auto"/>
      </w:pPr>
      <w:r>
        <w:rPr>
          <w:rFonts w:ascii="Calibri" w:hAnsi="Calibri"/>
        </w:rPr>
        <w:tab/>
        <w:t>To answer these questions, we have monitored the abundances of a cryptophyte population continuously during a red tide bloom in the Columbia River Estuary from September-October 2013, and have estimated division rates of the combined populations of cryptophytes using a size structured division rate model from Sosik et al. (2003). In addition,</w:t>
      </w:r>
      <w:r>
        <w:rPr>
          <w:rFonts w:ascii="Calibri" w:hAnsi="Calibri"/>
          <w:i/>
          <w:iCs/>
        </w:rPr>
        <w:t xml:space="preserve"> M. major</w:t>
      </w:r>
      <w:r>
        <w:rPr>
          <w:rFonts w:ascii="Calibri" w:hAnsi="Calibri"/>
        </w:rPr>
        <w:t xml:space="preserve"> abundances were determined using FlowCAM, with daily counts of the ciliate. The abundances of </w:t>
      </w:r>
      <w:r>
        <w:rPr>
          <w:rFonts w:ascii="Calibri" w:hAnsi="Calibri"/>
          <w:i/>
          <w:iCs/>
        </w:rPr>
        <w:t xml:space="preserve">T. amphioexa </w:t>
      </w:r>
      <w:r>
        <w:rPr>
          <w:rFonts w:ascii="Calibri" w:hAnsi="Calibri"/>
        </w:rPr>
        <w:t xml:space="preserve">were estimated weekly, using qPCR.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w:t>
      </w:r>
      <w:r>
        <w:rPr>
          <w:rFonts w:ascii="Calibri" w:cs="Lucida Sans" w:eastAsia="SimSun" w:hAnsi="Calibri"/>
        </w:rPr>
        <w:t>μ</w:t>
      </w:r>
      <w:r>
        <w:rPr>
          <w:rFonts w:ascii="Calibri" w:hAnsi="Calibri"/>
        </w:rPr>
        <w:t>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Nalgene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w:t>
      </w:r>
      <w:r>
        <w:rPr>
          <w:rFonts w:ascii="Calibri" w:cs="Lucida Sans" w:eastAsia="SimSun" w:hAnsi="Calibri"/>
        </w:rPr>
        <w:t>μ</w:t>
      </w:r>
      <w:r>
        <w:rPr>
          <w:rFonts w:ascii="Calibri" w:hAnsi="Calibri"/>
        </w:rPr>
        <w:t xml:space="preserve">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KM writes this</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w:t>
      </w:r>
      <w:r>
        <w:rPr>
          <w:rFonts w:ascii="Calibri" w:cs="Lucida Sans" w:eastAsia="SimSun" w:hAnsi="Calibri"/>
          <w:b w:val="false"/>
          <w:bCs w:val="false"/>
        </w:rPr>
        <w:t>μ</w:t>
      </w:r>
      <w:r>
        <w:rPr>
          <w:rFonts w:ascii="Calibri" w:hAnsi="Calibri"/>
          <w:b w:val="false"/>
          <w:bCs w:val="false"/>
        </w:rPr>
        <w:t xml:space="preserve">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JN writes this </w:t>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b w:val="false"/>
          <w:bCs w:val="false"/>
        </w:rPr>
        <w:tab/>
        <w:t>All SeaFlow data was analyzed using the R package, popcycle (</w:t>
      </w:r>
      <w:hyperlink r:id="rId2">
        <w:r>
          <w:rPr>
            <w:rStyle w:val="style15"/>
            <w:rStyle w:val="style15"/>
            <w:rFonts w:ascii="Calibri" w:hAnsi="Calibri"/>
            <w:b w:val="false"/>
            <w:bCs w:val="false"/>
          </w:rPr>
          <w:t>https://github.com/uwescience/popcycle</w:t>
        </w:r>
      </w:hyperlink>
      <w:r>
        <w:rPr>
          <w:rFonts w:ascii="Calibri" w:hAnsi="Calibri"/>
          <w:b w:val="false"/>
          <w:bCs w:val="false"/>
        </w:rPr>
        <w: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t>
      </w:r>
    </w:p>
    <w:p>
      <w:pPr>
        <w:pStyle w:val="style0"/>
        <w:spacing w:line="360" w:lineRule="auto"/>
      </w:pPr>
      <w:r>
        <w:rPr>
          <w:rFonts w:ascii="Calibri" w:hAnsi="Calibri"/>
          <w:b w:val="false"/>
          <w:bCs w:val="false"/>
        </w:rPr>
        <w:tab/>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sz w:val="24"/>
          <w:szCs w:val="24"/>
        </w:rPr>
        <w:t>Lab Verification</w:t>
      </w:r>
    </w:p>
    <w:p>
      <w:pPr>
        <w:pStyle w:val="style0"/>
        <w:spacing w:line="360" w:lineRule="auto"/>
      </w:pPr>
      <w:r>
        <w:rPr>
          <w:rFonts w:ascii="Calibri" w:hAnsi="Calibri"/>
          <w:b w:val="false"/>
          <w:bCs w:val="false"/>
          <w:sz w:val="24"/>
          <w:szCs w:val="24"/>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(Compare these values for temperature and salinity to data from past red tides?)</w:t>
      </w:r>
    </w:p>
    <w:p>
      <w:pPr>
        <w:pStyle w:val="style0"/>
        <w:spacing w:line="360" w:lineRule="auto"/>
      </w:pPr>
      <w:r>
        <w:rPr/>
        <w:tab/>
      </w:r>
      <w:r>
        <w:rPr>
          <w:rFonts w:ascii="Calibri" w:hAnsi="Calibri"/>
        </w:rPr>
        <w:t>During the time course, the daily maximum PAR fell between 116.6-802.9 (units) (</w:t>
      </w:r>
      <w:r>
        <w:rPr>
          <w:rFonts w:ascii="Calibri" w:hAnsi="Calibri"/>
          <w:b/>
          <w:bCs/>
        </w:rPr>
        <w:t>fig. 2, b</w:t>
      </w:r>
      <w:r>
        <w:rPr>
          <w:rFonts w:ascii="Calibri" w:hAnsi="Calibri"/>
        </w:rPr>
        <w:t xml:space="preserve">). The average daily PAR was between 28.9-177. </w:t>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0.023 to 9.78 (units?)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b w:val="false"/>
          <w:bCs w:val="false"/>
        </w:rPr>
        <w:t xml:space="preserve">), though it is important to note that nutrient concentrations were determined from single time point samples, whereas division rate was continuous.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w:t>
      </w:r>
      <w:bookmarkStart w:id="4" w:name="__DdeLink__1200_1455561233"/>
      <w:r>
        <w:rPr>
          <w:rFonts w:ascii="Calibri" w:cs="Calibri" w:eastAsia="Calibri" w:hAnsi="Calibri"/>
          <w:b w:val="false"/>
          <w:bCs w:val="false"/>
          <w:i w:val="false"/>
          <w:iCs w:val="false"/>
        </w:rPr>
        <w:t>⁻¹</w:t>
      </w:r>
      <w:bookmarkEnd w:id="4"/>
      <w:r>
        <w:rPr>
          <w:rFonts w:ascii="Calibri" w:cs="Calibri" w:eastAsia="Calibri" w:hAnsi="Calibri"/>
          <w:b w:val="false"/>
          <w:bCs w:val="false"/>
          <w:i w:val="false"/>
          <w:iCs w:val="false"/>
        </w:rPr>
        <w:t>, with the some of the highest values occurring during weeks 2 and 3  (table 1</w:t>
      </w:r>
      <w:r>
        <w:rPr>
          <w:rFonts w:ascii="Calibri" w:cs="Calibri" w:eastAsia="Calibri" w:hAnsi="Calibri"/>
          <w:b w:val="false"/>
          <w:bCs w:val="false"/>
          <w:i w:val="false"/>
          <w:iCs w:val="false"/>
        </w:rPr>
        <w:t xml:space="preserve">). The most dramatic change in abundance occurred between 9/12 and 9/13, with a decrease from 175 to 27 cells  mL⁻¹, within 24 hours. The </w:t>
      </w:r>
      <w:r>
        <w:rPr>
          <w:rFonts w:ascii="Calibri" w:cs="Calibri" w:eastAsia="Calibri" w:hAnsi="Calibri"/>
          <w:b w:val="false"/>
          <w:bCs w:val="false"/>
          <w:i/>
          <w:iCs/>
        </w:rPr>
        <w:t>M. major</w:t>
      </w:r>
      <w:r>
        <w:rPr>
          <w:rFonts w:ascii="Calibri" w:cs="Calibri" w:eastAsia="Calibri" w:hAnsi="Calibri"/>
          <w:b w:val="false"/>
          <w:bCs w:val="false"/>
          <w:i w:val="false"/>
          <w:iCs w:val="false"/>
        </w:rPr>
        <w:t xml:space="preserve"> abundances showed no relationship with cryptophyte division rate, nor any correlation with surface water nutrient concentrations or mean PAR (supplemental fig?).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agreed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5.03 and 93.18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bCs/>
          <w:sz w:val="24"/>
          <w:szCs w:val="24"/>
        </w:rPr>
        <w:t xml:space="preserve">Cryptophyte Abundances </w:t>
      </w:r>
    </w:p>
    <w:p>
      <w:pPr>
        <w:pStyle w:val="style0"/>
        <w:spacing w:line="360" w:lineRule="auto"/>
      </w:pPr>
      <w:r>
        <w:rPr>
          <w:rFonts w:ascii="Calibri" w:hAnsi="Calibri"/>
          <w:b w:val="false"/>
          <w:bCs w:val="false"/>
          <w:sz w:val="24"/>
          <w:szCs w:val="24"/>
        </w:rPr>
        <w:tab/>
        <w:t xml:space="preserve">Though past data has suggested that the cryptophytes in the Columbia River Estuary are of freshwater origin (Peterson, unpublished data?) and thus increase in number with the outgoing tide, our data do not support this finding. While a distinct oscillation in cryptophyte abundance occurs within each day of the bloom, upon closer look this does not appear to be correlated with the tidal cycle. Though no discernible pattern emerges in our data set, this does not eliminate the possibility of a relationship between tidal cycle and cryptophyte abundance. It may be that co-occurring biological processes, such as growth and grazing, are obscuring this relationship. Other non-tidal physical processes may also have an influence on cryptophyte abundance. </w:t>
      </w:r>
    </w:p>
    <w:p>
      <w:pPr>
        <w:pStyle w:val="style0"/>
        <w:spacing w:line="360" w:lineRule="auto"/>
      </w:pPr>
      <w:r>
        <w:rPr>
          <w:rFonts w:ascii="Calibri" w:hAnsi="Calibri"/>
          <w:b w:val="false"/>
          <w:bCs w:val="false"/>
          <w:sz w:val="24"/>
          <w:szCs w:val="24"/>
        </w:rPr>
        <w:tab/>
        <w:t>The cryptophyte abundances additionally change over the course of the month. The weekly average of cryptophyte abundance is highest during the first week, decreases in the middle of the month, and then increases again during the final week of the experiment (</w:t>
      </w:r>
      <w:r>
        <w:rPr>
          <w:rFonts w:ascii="Calibri" w:hAnsi="Calibri"/>
          <w:b/>
          <w:bCs/>
          <w:sz w:val="24"/>
          <w:szCs w:val="24"/>
        </w:rPr>
        <w:t>table 1</w:t>
      </w:r>
      <w:r>
        <w:rPr>
          <w:rFonts w:ascii="Calibri" w:hAnsi="Calibri"/>
          <w:b w:val="false"/>
          <w:bCs w:val="false"/>
          <w:sz w:val="24"/>
          <w:szCs w:val="24"/>
        </w:rPr>
        <w:t xml:space="preserve">). </w:t>
      </w:r>
    </w:p>
    <w:p>
      <w:pPr>
        <w:pStyle w:val="style0"/>
        <w:spacing w:line="360" w:lineRule="auto"/>
      </w:pPr>
      <w:r>
        <w:rPr/>
      </w:r>
    </w:p>
    <w:p>
      <w:pPr>
        <w:pStyle w:val="style0"/>
        <w:spacing w:line="360" w:lineRule="auto"/>
      </w:pPr>
      <w:r>
        <w:rPr>
          <w:rFonts w:ascii="Calibri" w:hAnsi="Calibri"/>
          <w:b/>
          <w:bCs/>
          <w:sz w:val="24"/>
          <w:szCs w:val="24"/>
        </w:rPr>
        <w:t>Cryptophyte Division Rate Estimates and Evaluating the Model</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ab/>
        <w:t xml:space="preserve">Though the cryptophyte division rates that we have estimated from the model (0.023 to 9.78) appear to conflict with our laboratory estimates for the cryptophyte, </w:t>
      </w:r>
      <w:r>
        <w:rPr>
          <w:rFonts w:ascii="Calibri" w:hAnsi="Calibri"/>
          <w:b w:val="false"/>
          <w:bCs w:val="false"/>
          <w:i/>
          <w:iCs/>
          <w:sz w:val="24"/>
          <w:szCs w:val="24"/>
        </w:rPr>
        <w:t>Rhodomonas sp.</w:t>
      </w:r>
      <w:r>
        <w:rPr>
          <w:rFonts w:ascii="Calibri" w:hAnsi="Calibri"/>
          <w:b w:val="false"/>
          <w:bCs w:val="false"/>
          <w:sz w:val="24"/>
          <w:szCs w:val="24"/>
        </w:rPr>
        <w:t xml:space="preserve"> (average daily?),  this does not necessarily suggest that our model estimates are incorrect. Growth rates for </w:t>
      </w:r>
      <w:r>
        <w:rPr>
          <w:rFonts w:ascii="Calibri" w:hAnsi="Calibri"/>
          <w:b w:val="false"/>
          <w:bCs w:val="false"/>
          <w:i/>
          <w:iCs/>
          <w:sz w:val="24"/>
          <w:szCs w:val="24"/>
        </w:rPr>
        <w:t>M. major</w:t>
      </w:r>
      <w:r>
        <w:rPr>
          <w:rFonts w:ascii="Calibri" w:hAnsi="Calibri"/>
          <w:b w:val="false"/>
          <w:bCs w:val="false"/>
          <w:sz w:val="24"/>
          <w:szCs w:val="24"/>
        </w:rPr>
        <w:t xml:space="preserve"> found in the Columbia River Estuary in both 2011 and 2012 greatly exceeded the growth rates determined for laboratory cultures, at times by up to a seven-fold difference (Yih et al., 2004; Herfort et al., 2011; Peterson et al., 2012). It is possible that the environmental conditions and specific biological community found in the Columbia River Estuary allow for the growth of both ciliates and cryptophytes at a rate not yet replicated in culture. </w:t>
      </w:r>
    </w:p>
    <w:p>
      <w:pPr>
        <w:pStyle w:val="style0"/>
        <w:spacing w:line="360" w:lineRule="auto"/>
      </w:pPr>
      <w:r>
        <w:rPr>
          <w:rFonts w:ascii="Calibri" w:hAnsi="Calibri"/>
          <w:b w:val="false"/>
          <w:bCs w:val="false"/>
          <w:sz w:val="24"/>
          <w:szCs w:val="24"/>
        </w:rPr>
        <w:tab/>
        <w:t xml:space="preserve">The model does have some limitations though, as it relies on a number of important assumptions. One of these assumptions that is likely to have been violated, is that the cryptophytes population consists of a single taxonomic group. It is possible that multiple taxonomic groups of cryptophytes with different physiologies are represented within the population of cryptophytes that we observe with SeaFlow. But we do not actually have any evidence that connects this possible model assumption violation to the high growth rates observed. Our laboratory verification of the model worked (better way of saying this?) and the only indication of any problems associated with the model in our field study occurred in the last two weeks, with parameter optimization reaching extremes (supplemental figure). Measuring growth in the field is difficult, but this new approach, utilizing a model, eliminates many of the known problems associated with traditional methods that rely on bottle incubations (Landry and Hassett, 1982; Landry et al., 1995) and is less labor-intensive. </w:t>
      </w:r>
    </w:p>
    <w:p>
      <w:pPr>
        <w:pStyle w:val="style0"/>
        <w:spacing w:line="360" w:lineRule="auto"/>
      </w:pPr>
      <w:r>
        <w:rPr/>
      </w:r>
    </w:p>
    <w:p>
      <w:pPr>
        <w:pStyle w:val="style0"/>
        <w:spacing w:line="360" w:lineRule="auto"/>
      </w:pPr>
      <w:r>
        <w:rPr>
          <w:rFonts w:ascii="Calibri" w:hAnsi="Calibri"/>
          <w:b/>
          <w:bCs/>
          <w:sz w:val="24"/>
          <w:szCs w:val="24"/>
        </w:rPr>
        <w:t xml:space="preserve">Environmental Influences on Cryptophyte Division Rate and </w:t>
      </w:r>
      <w:r>
        <w:rPr>
          <w:rFonts w:ascii="Calibri" w:hAnsi="Calibri"/>
          <w:b/>
          <w:bCs/>
          <w:i/>
          <w:iCs/>
          <w:sz w:val="24"/>
          <w:szCs w:val="24"/>
        </w:rPr>
        <w:t>M. major</w:t>
      </w:r>
      <w:r>
        <w:rPr>
          <w:rFonts w:ascii="Calibri" w:hAnsi="Calibri"/>
          <w:b/>
          <w:bCs/>
          <w:sz w:val="24"/>
          <w:szCs w:val="24"/>
        </w:rPr>
        <w:t xml:space="preserve"> Abundances </w:t>
      </w:r>
    </w:p>
    <w:p>
      <w:pPr>
        <w:pStyle w:val="style0"/>
        <w:spacing w:line="360" w:lineRule="auto"/>
      </w:pPr>
      <w:r>
        <w:rPr/>
        <w:tab/>
      </w:r>
      <w:r>
        <w:rPr>
          <w:rFonts w:ascii="Calibri" w:hAnsi="Calibri"/>
        </w:rPr>
        <w:t>In the turbid waters of the Columbia River Estuary, light is generally considered to be the factor most limiting to phytoplankton growth (Herfort et al., 2012). Comparing measurments of PAR, as well as surface water nutrients, to our cryptophyte division rate estimates did not reveal any limiting factors to the growth of the cryptophyte bloom (</w:t>
      </w:r>
      <w:r>
        <w:rPr>
          <w:rFonts w:ascii="Calibri" w:hAnsi="Calibri"/>
          <w:b/>
          <w:bCs/>
        </w:rPr>
        <w:t>fig 5</w:t>
      </w:r>
      <w:r>
        <w:rPr>
          <w:rFonts w:ascii="Calibri" w:hAnsi="Calibri"/>
        </w:rPr>
        <w:t xml:space="preserve">). But because the photosynthetic machinery of cryptophyte cells are well adapted to conditions of low light (Bergman et al., 2004), it makes sense that they are not limited by PAR during the time of our field study. With our high levels of PAR (reaching up to 802.9), it would actually be more likely that the cryptophytes would be limited by overabundance of light, as they are not among the phytoplankton that produce light-protective compounds that shield cells from the damaging effects of radiation (Vernet et al., 1994; Herfort et al., 2012). But again, our division rate estimates did not show any correlation with PAR, negative or otherwise. Comparisons of environmental data with daily average cryptophyte production also did not result in any significant correlations (supplemental fig), though it should be noted that the regression lines were skewed by the presence of a singular outlying point that represented the last day in the time course. </w:t>
      </w:r>
    </w:p>
    <w:p>
      <w:pPr>
        <w:pStyle w:val="style0"/>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 xml:space="preserve">s preferred nitrogen source (Crawford et al., 2007), and the abundance of the ciliate in the estuary's main channel (Herfort et al., 2012). In our comparison of </w:t>
      </w:r>
      <w:r>
        <w:rPr>
          <w:rFonts w:ascii="Calibri" w:hAnsi="Calibri"/>
          <w:i/>
          <w:iCs/>
        </w:rPr>
        <w:t>M. major</w:t>
      </w:r>
      <w:r>
        <w:rPr>
          <w:rFonts w:ascii="Calibri" w:hAnsi="Calibri"/>
        </w:rPr>
        <w:t xml:space="preserve"> abundance and surface water ammonium, we did not find a correlation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pPr>
        <w:pStyle w:val="style0"/>
        <w:spacing w:line="360" w:lineRule="auto"/>
      </w:pPr>
      <w:r>
        <w:rPr/>
      </w:r>
    </w:p>
    <w:p>
      <w:pPr>
        <w:pStyle w:val="style0"/>
        <w:spacing w:line="360" w:lineRule="auto"/>
      </w:pPr>
      <w:r>
        <w:rPr>
          <w:rFonts w:ascii="Calibri" w:hAnsi="Calibri"/>
          <w:b/>
          <w:bCs/>
          <w:i/>
          <w:iCs/>
          <w:sz w:val="24"/>
          <w:szCs w:val="24"/>
        </w:rPr>
        <w:t>M. major</w:t>
      </w:r>
      <w:r>
        <w:rPr>
          <w:rFonts w:ascii="Calibri" w:hAnsi="Calibri"/>
          <w:b/>
          <w:bCs/>
          <w:i w:val="false"/>
          <w:iCs w:val="false"/>
          <w:sz w:val="24"/>
          <w:szCs w:val="24"/>
        </w:rPr>
        <w:t xml:space="preserve"> Abundances in Relation to Cryptophyte Data </w:t>
      </w:r>
    </w:p>
    <w:p>
      <w:pPr>
        <w:pStyle w:val="style0"/>
        <w:spacing w:line="360" w:lineRule="auto"/>
      </w:pPr>
      <w:r>
        <w:rPr>
          <w:rFonts w:ascii="Calibri" w:hAnsi="Calibri"/>
          <w:b w:val="false"/>
          <w:bCs w:val="false"/>
          <w:i w:val="false"/>
          <w:iCs w:val="false"/>
          <w:sz w:val="24"/>
          <w:szCs w:val="24"/>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But with our data set, we were unable to find a distinct relationship between the abundances of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the division rates of the cryptophytes. Again, these division rate estimates are determined for the population of cryptophytes, as a whole. </w:t>
      </w:r>
      <w:r>
        <w:rPr>
          <w:rFonts w:ascii="Calibri" w:hAnsi="Calibri"/>
          <w:b w:val="false"/>
          <w:bCs w:val="false"/>
          <w:i/>
          <w:iCs/>
          <w:sz w:val="24"/>
          <w:szCs w:val="24"/>
        </w:rPr>
        <w:t>M. major's</w:t>
      </w:r>
      <w:r>
        <w:rPr>
          <w:rFonts w:ascii="Calibri" w:hAnsi="Calibri"/>
          <w:b w:val="false"/>
          <w:bCs w:val="false"/>
          <w:i w:val="false"/>
          <w:iCs w:val="false"/>
          <w:sz w:val="24"/>
          <w:szCs w:val="24"/>
        </w:rPr>
        <w:t xml:space="preserve"> preferred prey,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makes up &lt;1% of the total cryptophyte population, and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may exhibit division rates that are very different from the rest of the population. A major difference in the overall pattern of division rate over the course of the experiment is unlikely though, as the environmental factors influencing the change in division rate and physiology of the total population of cryptophytes will likely have the same effect on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w:t>
      </w:r>
    </w:p>
    <w:p>
      <w:pPr>
        <w:pStyle w:val="style0"/>
        <w:spacing w:line="360" w:lineRule="auto"/>
      </w:pPr>
      <w:r>
        <w:rPr>
          <w:rFonts w:ascii="Calibri" w:hAnsi="Calibri"/>
          <w:b w:val="false"/>
          <w:bCs w:val="false"/>
          <w:i w:val="false"/>
          <w:iCs w:val="false"/>
          <w:sz w:val="24"/>
          <w:szCs w:val="24"/>
        </w:rPr>
        <w:tab/>
        <w:t xml:space="preserve"> Though our data set contains only four time points, comparisons of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abundance and percent composition to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counts point to the potential importance of the prey community composition in M. major bloom development. Of these four coinciding time points, the highest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count (179) occurs when the percent of the total cryptophytes that are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is the lowest (0.0615%), and vice versa (</w:t>
      </w:r>
      <w:r>
        <w:rPr>
          <w:rFonts w:ascii="Calibri" w:hAnsi="Calibri"/>
          <w:b/>
          <w:bCs/>
          <w:i w:val="false"/>
          <w:iCs w:val="false"/>
          <w:sz w:val="24"/>
          <w:szCs w:val="24"/>
        </w:rPr>
        <w:t>table 1</w:t>
      </w:r>
      <w:r>
        <w:rPr>
          <w:rFonts w:ascii="Calibri" w:hAnsi="Calibri"/>
          <w:b w:val="false"/>
          <w:bCs w:val="false"/>
          <w:i w:val="false"/>
          <w:iCs w:val="false"/>
          <w:sz w:val="24"/>
          <w:szCs w:val="24"/>
        </w:rPr>
        <w:t xml:space="preserve">). This could potentially be considered evidence of selective grazing on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though again, additional time points and multiple replicates of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counts would be needed to be able to draw any concrete conclusions. The estimated abundances of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are low throughout the bloom. The very first time point, taken during week one of the study at the beginning of the bloom, is the only instance in which the abundance of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exceeds that of the ciliate. This finding is curious, as grazing experiments using laboratory cultures of M. rubrum have estimated ingestion rates between ~3.5 and 8.9 cryptophytes ciliate</w:t>
      </w:r>
      <w:r>
        <w:rPr>
          <w:rFonts w:ascii="Calibri" w:cs="Calibri" w:eastAsia="Calibri" w:hAnsi="Calibri"/>
          <w:b w:val="false"/>
          <w:bCs w:val="false"/>
          <w:i w:val="false"/>
          <w:iCs w:val="false"/>
          <w:sz w:val="24"/>
          <w:szCs w:val="24"/>
        </w:rPr>
        <w:t>⁻¹</w:t>
      </w:r>
      <w:r>
        <w:rPr>
          <w:rFonts w:ascii="Calibri" w:hAnsi="Calibri"/>
          <w:b w:val="false"/>
          <w:bCs w:val="false"/>
          <w:i w:val="false"/>
          <w:iCs w:val="false"/>
          <w:sz w:val="24"/>
          <w:szCs w:val="24"/>
        </w:rPr>
        <w:t xml:space="preserve"> day</w:t>
      </w:r>
      <w:r>
        <w:rPr>
          <w:rFonts w:ascii="Calibri" w:cs="Calibri" w:eastAsia="Calibri" w:hAnsi="Calibri"/>
          <w:b w:val="false"/>
          <w:bCs w:val="false"/>
          <w:i w:val="false"/>
          <w:iCs w:val="false"/>
          <w:sz w:val="24"/>
          <w:szCs w:val="24"/>
        </w:rPr>
        <w:t xml:space="preserve">⁻¹ (Yih et al., 2004; Hansen and Fenchel, 2006). Additionally, using a FISH probe for </w:t>
      </w:r>
      <w:r>
        <w:rPr>
          <w:rFonts w:ascii="Calibri" w:cs="Calibri" w:eastAsia="Calibri" w:hAnsi="Calibri"/>
          <w:b w:val="false"/>
          <w:bCs w:val="false"/>
          <w:i/>
          <w:iCs/>
          <w:sz w:val="24"/>
          <w:szCs w:val="24"/>
        </w:rPr>
        <w:t>T. amphioexa</w:t>
      </w:r>
      <w:r>
        <w:rPr>
          <w:rFonts w:ascii="Calibri" w:cs="Calibri" w:eastAsia="Calibri" w:hAnsi="Calibri"/>
          <w:b w:val="false"/>
          <w:bCs w:val="false"/>
          <w:i w:val="false"/>
          <w:iCs w:val="false"/>
          <w:sz w:val="24"/>
          <w:szCs w:val="24"/>
        </w:rPr>
        <w:t xml:space="preserve">, we have been able to observe up to blah prey within a single </w:t>
      </w:r>
      <w:r>
        <w:rPr>
          <w:rFonts w:ascii="Calibri" w:cs="Calibri" w:eastAsia="Calibri" w:hAnsi="Calibri"/>
          <w:b w:val="false"/>
          <w:bCs w:val="false"/>
          <w:i/>
          <w:iCs/>
          <w:sz w:val="24"/>
          <w:szCs w:val="24"/>
        </w:rPr>
        <w:t>M. major</w:t>
      </w:r>
      <w:r>
        <w:rPr>
          <w:rFonts w:ascii="Calibri" w:cs="Calibri" w:eastAsia="Calibri" w:hAnsi="Calibri"/>
          <w:b w:val="false"/>
          <w:bCs w:val="false"/>
          <w:i w:val="false"/>
          <w:iCs w:val="false"/>
          <w:sz w:val="24"/>
          <w:szCs w:val="24"/>
        </w:rPr>
        <w:t xml:space="preserve"> cell (pic as supplemental fig). It is possible that low abundances of the prey cryptophyte that we observe in the Columbia River Estuary are the result of the result of grazing by</w:t>
      </w:r>
      <w:r>
        <w:rPr>
          <w:rFonts w:ascii="Calibri" w:cs="Calibri" w:eastAsia="Calibri" w:hAnsi="Calibri"/>
          <w:b w:val="false"/>
          <w:bCs w:val="false"/>
          <w:i/>
          <w:iCs/>
          <w:sz w:val="24"/>
          <w:szCs w:val="24"/>
        </w:rPr>
        <w:t xml:space="preserve"> M. major </w:t>
      </w:r>
      <w:r>
        <w:rPr>
          <w:rFonts w:ascii="Calibri" w:cs="Calibri" w:eastAsia="Calibri" w:hAnsi="Calibri"/>
          <w:b w:val="false"/>
          <w:bCs w:val="false"/>
          <w:i w:val="false"/>
          <w:iCs w:val="false"/>
          <w:sz w:val="24"/>
          <w:szCs w:val="24"/>
        </w:rPr>
        <w:t xml:space="preserve">and other microzooplankton, but without having measured grazing rates in the field, we cannot determine this. </w:t>
      </w:r>
    </w:p>
    <w:p>
      <w:pPr>
        <w:pStyle w:val="style0"/>
        <w:spacing w:line="360" w:lineRule="auto"/>
      </w:pPr>
      <w:r>
        <w:rPr>
          <w:rFonts w:ascii="Calibri" w:cs="Calibri" w:eastAsia="Calibri" w:hAnsi="Calibri"/>
          <w:b w:val="false"/>
          <w:bCs w:val="false"/>
          <w:i w:val="false"/>
          <w:iCs w:val="false"/>
          <w:sz w:val="24"/>
          <w:szCs w:val="24"/>
        </w:rPr>
        <w:tab/>
        <w:t xml:space="preserve">A number of other potential explanations as to the question of </w:t>
      </w:r>
      <w:r>
        <w:rPr>
          <w:rFonts w:ascii="Calibri" w:cs="Calibri" w:eastAsia="Calibri" w:hAnsi="Calibri"/>
          <w:b w:val="false"/>
          <w:bCs w:val="false"/>
          <w:i/>
          <w:iCs/>
          <w:sz w:val="24"/>
          <w:szCs w:val="24"/>
        </w:rPr>
        <w:t>M. major</w:t>
      </w:r>
      <w:r>
        <w:rPr>
          <w:rFonts w:ascii="Calibri" w:cs="Calibri" w:eastAsia="Calibri" w:hAnsi="Calibri"/>
          <w:b w:val="false"/>
          <w:bCs w:val="false"/>
          <w:i w:val="false"/>
          <w:iCs w:val="false"/>
          <w:sz w:val="24"/>
          <w:szCs w:val="24"/>
        </w:rPr>
        <w:t xml:space="preserve"> bloom proliferation, despite low prey abundance, remain. </w:t>
      </w:r>
      <w:r>
        <w:rPr>
          <w:rFonts w:ascii="Calibri" w:hAnsi="Calibri"/>
          <w:b w:val="false"/>
          <w:bCs w:val="false"/>
          <w:i w:val="false"/>
          <w:iCs w:val="false"/>
          <w:sz w:val="24"/>
          <w:szCs w:val="24"/>
        </w:rPr>
        <w:t xml:space="preserve">A previous study on the 2011 bloom in the Columbia River Estuary documented </w:t>
      </w:r>
      <w:r>
        <w:rPr>
          <w:rFonts w:ascii="Calibri" w:hAnsi="Calibri"/>
          <w:b w:val="false"/>
          <w:bCs w:val="false"/>
          <w:i/>
          <w:iCs/>
          <w:sz w:val="24"/>
          <w:szCs w:val="24"/>
        </w:rPr>
        <w:t>M. major</w:t>
      </w:r>
      <w:r>
        <w:rPr>
          <w:rFonts w:ascii="Calibri" w:hAnsi="Calibri"/>
          <w:b w:val="false"/>
          <w:bCs w:val="false"/>
          <w:i w:val="false"/>
          <w:iCs w:val="false"/>
          <w:sz w:val="24"/>
          <w:szCs w:val="24"/>
        </w:rPr>
        <w:t xml:space="preserve">'s ability to retain cryptophytes attached to the ciliate's cirri, finding up to ~50 cryptophytes captured by these external structures (Peterson et al., 2012). Our measurements of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abundance are limited to those that are free-living, and it is likely that a number of prey are living attached to the outside of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cells. These captured prey could be what sustains M. major throughout the bloom, despite low numbers of the free-living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Another possibility could be that the ingested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remain a full or partial endosymbiont and are able to divide inside the ciliate, allowing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to essentially “farm” the cryptophytes as a source of chloroplasts. But these explanations remain pure speculation and require more in depth molecular investigations into the predator-prey relationship between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T. amphioexa</w:t>
      </w:r>
      <w:r>
        <w:rPr>
          <w:rFonts w:ascii="Calibri" w:hAnsi="Calibri"/>
          <w:b w:val="false"/>
          <w:bCs w:val="false"/>
          <w:i w:val="false"/>
          <w:iCs w:val="false"/>
          <w:sz w:val="24"/>
          <w:szCs w:val="24"/>
        </w:rPr>
        <w:t xml:space="preserve"> in the Columbia River Estuary. </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cryptophyte prey may a role in the proliferation of the bloom, but until now, the cryptophyte population within the bloom had not yet been investigated. This study is the first to show continuous abundances and division rates of the cryptophyte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cryptophytes and </w:t>
      </w:r>
      <w:r>
        <w:rPr>
          <w:rFonts w:ascii="Calibri" w:hAnsi="Calibri"/>
          <w:i/>
          <w:iCs/>
        </w:rPr>
        <w:t>M. major</w:t>
      </w:r>
      <w:r>
        <w:rPr>
          <w:rFonts w:ascii="Calibri" w:hAnsi="Calibri"/>
        </w:rPr>
        <w:t xml:space="preserve">, pointing to the importance of the non free-living cryptophyte prey, either attached to or within the ciliate. Future studies should focus on using molecular approaches to better understand these interactions, in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wescience/popcycl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2057</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2015-07-31T10:07:40.00Z</dcterms:created>
  <dcterms:modified xsi:type="dcterms:W3CDTF">2015-07-31T10:42:43.00Z</dcterms:modified>
  <cp:revision>4</cp:revision>
</cp:coreProperties>
</file>