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rFonts w:ascii="Calibri" w:hAnsi="Calibri"/>
          <w:b/>
          <w:bCs/>
          <w:sz w:val="32"/>
          <w:szCs w:val="32"/>
        </w:rPr>
        <w:t>Paper Draft 2</w:t>
      </w:r>
    </w:p>
    <w:p>
      <w:pPr>
        <w:pStyle w:val="style0"/>
      </w:pPr>
      <w:r>
        <w:rPr/>
      </w:r>
    </w:p>
    <w:p>
      <w:pPr>
        <w:pStyle w:val="style0"/>
      </w:pPr>
      <w:r>
        <w:rPr>
          <w:rFonts w:ascii="Calibri" w:hAnsi="Calibri"/>
          <w:b/>
          <w:bCs/>
          <w:sz w:val="32"/>
          <w:szCs w:val="32"/>
        </w:rPr>
        <w:t xml:space="preserve">Working Title: </w:t>
      </w:r>
      <w:r>
        <w:rPr>
          <w:rFonts w:ascii="Calibri" w:hAnsi="Calibri"/>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tabs>
          <w:tab w:leader="none" w:pos="5265" w:val="left"/>
        </w:tabs>
        <w:spacing w:line="360" w:lineRule="auto"/>
      </w:pPr>
      <w:r>
        <w:rPr>
          <w:rFonts w:ascii="Calibri" w:hAnsi="Calibri"/>
        </w:rPr>
        <w:t xml:space="preserve">        </w:t>
      </w:r>
      <w:r>
        <w:rPr>
          <w:rFonts w:ascii="Calibri" w:hAnsi="Calibri"/>
        </w:rPr>
        <w:t xml:space="preserve">Every year, in the late summer-early fall, massive non-toxic red water blooms form in the Columbia River Estuary.  These blooms consist of both cryptophyte algae and the mixotrophic ciliate microzooplankton, </w:t>
      </w:r>
      <w:r>
        <w:rPr>
          <w:rFonts w:ascii="Calibri" w:hAnsi="Calibri"/>
          <w:i/>
          <w:iCs/>
        </w:rPr>
        <w:t>Mesodinium major,</w:t>
      </w:r>
      <w:r>
        <w:rPr>
          <w:rFonts w:ascii="Calibri" w:hAnsi="Calibri"/>
        </w:rPr>
        <w:t xml:space="preserve"> previously referred to as </w:t>
      </w:r>
      <w:r>
        <w:rPr>
          <w:rFonts w:ascii="Calibri" w:hAnsi="Calibri"/>
          <w:i/>
          <w:iCs/>
        </w:rPr>
        <w:t>Mesodinium rubrum</w:t>
      </w:r>
      <w:r>
        <w:rPr>
          <w:rFonts w:ascii="Calibri" w:hAnsi="Calibri"/>
        </w:rPr>
        <w:t xml:space="preserve"> (</w:t>
      </w:r>
      <w:r>
        <w:rPr>
          <w:rFonts w:ascii="Calibri" w:hAnsi="Calibri"/>
          <w:i/>
          <w:iCs/>
        </w:rPr>
        <w:t>= Myrionecta rubra</w:t>
      </w:r>
      <w:r>
        <w:rPr>
          <w:rFonts w:ascii="Calibri" w:hAnsi="Calibri"/>
        </w:rPr>
        <w:t>)</w:t>
      </w:r>
      <w:r>
        <w:rPr>
          <w:rFonts w:ascii="Calibri" w:hAnsi="Calibri"/>
          <w:i/>
          <w:iCs/>
        </w:rPr>
        <w:t xml:space="preserve"> </w:t>
      </w:r>
      <w:r>
        <w:rPr>
          <w:rFonts w:ascii="Calibri" w:hAnsi="Calibri"/>
        </w:rPr>
        <w:t xml:space="preserve">(Lohmann, 1908; Jankowski, 1976). This ciliate has been observed to harbor the plastids of their cryptophyte algae prey, </w:t>
      </w:r>
      <w:r>
        <w:rPr>
          <w:rFonts w:ascii="Calibri" w:hAnsi="Calibri"/>
          <w:i/>
          <w:iCs/>
        </w:rPr>
        <w:t>Teleaulax amphioexa</w:t>
      </w:r>
      <w:r>
        <w:rPr>
          <w:rFonts w:ascii="Calibri" w:hAnsi="Calibri"/>
        </w:rPr>
        <w:t xml:space="preserve">, allowing these predators to function as mixotrophs, capable of utilizing both phagotrophic and photosynthetic mechanisms to acquire carbon (Crawford, 1989; Herfort et al., 2011b). </w:t>
      </w:r>
    </w:p>
    <w:p>
      <w:pPr>
        <w:pStyle w:val="style0"/>
        <w:tabs>
          <w:tab w:leader="none" w:pos="5265" w:val="left"/>
        </w:tabs>
        <w:spacing w:line="360" w:lineRule="auto"/>
      </w:pPr>
      <w:r>
        <w:rPr>
          <w:rFonts w:ascii="Calibri" w:hAnsi="Calibri"/>
        </w:rPr>
        <w:t xml:space="preserve">        </w:t>
      </w:r>
      <w:r>
        <w:rPr>
          <w:rFonts w:ascii="Calibri" w:hAnsi="Calibri"/>
        </w:rPr>
        <w:t xml:space="preserve">The Columbia River Estuary (CRE) is highly influenced by both tidal forcing and the seasonality of freshwater discharge, which results in an extended summer saltwater intrusion (Chawla et al., 2008). This saltwater intrusion and subsequent temporary decrease in turbulence, along with coinciding neap tides, has been shown to correlate with the initiation of the yearly </w:t>
      </w:r>
      <w:r>
        <w:rPr>
          <w:rFonts w:ascii="Calibri" w:hAnsi="Calibri"/>
          <w:i/>
        </w:rPr>
        <w:t>Mesodinium sp.</w:t>
      </w:r>
      <w:r>
        <w:rPr>
          <w:rFonts w:ascii="Calibri" w:hAnsi="Calibri"/>
        </w:rPr>
        <w:t xml:space="preserve"> bloom in the estuary (Herfort et al., 2011a). </w:t>
      </w:r>
    </w:p>
    <w:p>
      <w:pPr>
        <w:pStyle w:val="style0"/>
        <w:tabs>
          <w:tab w:leader="none" w:pos="5265" w:val="left"/>
        </w:tabs>
        <w:spacing w:line="360" w:lineRule="auto"/>
      </w:pPr>
      <w:r>
        <w:rPr>
          <w:rFonts w:ascii="Calibri" w:hAnsi="Calibri"/>
        </w:rPr>
        <w:t xml:space="preserve">        </w:t>
      </w:r>
      <w:r>
        <w:rPr>
          <w:rFonts w:ascii="Calibri" w:hAnsi="Calibri"/>
        </w:rPr>
        <w:t xml:space="preserve">Past research on the CRE has focused largely on understanding the dynamics of the </w:t>
      </w:r>
      <w:r>
        <w:rPr>
          <w:rFonts w:ascii="Calibri" w:hAnsi="Calibri"/>
          <w:i/>
          <w:iCs/>
        </w:rPr>
        <w:t>M. major</w:t>
      </w:r>
      <w:r>
        <w:rPr>
          <w:rFonts w:ascii="Calibri" w:hAnsi="Calibri"/>
        </w:rPr>
        <w:t xml:space="preserve">, and it has been hypothesized that the cryptophytes may be important in controlling the bloom, as they are both a source of prey and confers photosynthetic ability to the ciliate. Weekly counts of M. major and cryptophyte cells during a red tide bloom in 2011 showed that the abundance of small (&lt;5 um) “Teleaulax-like” cryptophytes declined just prior to an increase in M. major abundance, suggesting active predation by M. major or another zooplankton (Peterson et al., 2012). Though free-living </w:t>
      </w:r>
      <w:r>
        <w:rPr>
          <w:rFonts w:ascii="Calibri" w:hAnsi="Calibri"/>
          <w:i/>
          <w:iCs/>
        </w:rPr>
        <w:t>T. amphioexa</w:t>
      </w:r>
      <w:r>
        <w:rPr>
          <w:rFonts w:ascii="Calibri" w:hAnsi="Calibri"/>
        </w:rPr>
        <w:t xml:space="preserve"> are overall low in number during the red tide blooms (Herfort et al., 2011b), the presence and growth dynamics of these cryptophytes have the potential to be key factors in the population growth of the ciliate, M. major.  </w:t>
      </w:r>
    </w:p>
    <w:p>
      <w:pPr>
        <w:pStyle w:val="style0"/>
        <w:spacing w:line="360" w:lineRule="auto"/>
      </w:pPr>
      <w:r>
        <w:rPr/>
        <w:tab/>
      </w:r>
      <w:r>
        <w:rPr>
          <w:rFonts w:ascii="Calibri" w:hAnsi="Calibri"/>
        </w:rPr>
        <w:t>To the best of our knowledge, this study is the first to monitor the dynamics of both the cryptophyte and ciliate populations in the Columbia River Estuary. More specifically, this study will ask these two interconnected questions: 1.) What are the effects of environmental conditions, such as nutrient availability, temperature, salinity, and light, on the growth of the cryptophyte populations? and 2.) How does the growth of the cryptophyte prey affect the dynamics of M. major?</w:t>
      </w:r>
    </w:p>
    <w:p>
      <w:pPr>
        <w:pStyle w:val="style0"/>
        <w:spacing w:line="360" w:lineRule="auto"/>
      </w:pPr>
      <w:r>
        <w:rPr>
          <w:rFonts w:ascii="Calibri" w:hAnsi="Calibri"/>
        </w:rPr>
        <w:tab/>
        <w:t xml:space="preserve">To answer these questions, we have monitored the abundances and size distribution of a cryptophyte population continuously 5 days a week for 4 weeks in September-October 2013 during a red tide bloom in the Columbia River Estuary. We estimated daily-averaged division rates of the combined populations of cryptophytes based on the size distribution using a  size structured division rate model (Sosik et al., 2003). This model has thus far, only been tested for Synechococcus and Prochlorococcus (Hunter-Cevera et al., 2014; Ribalet et al., in press?). We validated the use of this model for cryptophytes by comparing model estimates of division rate to estimates determined using cell-cycle analysis in a laboratory time course experiment. To monitor the bloom dynamics of the ciliate, daily </w:t>
      </w:r>
      <w:r>
        <w:rPr>
          <w:rFonts w:ascii="Calibri" w:hAnsi="Calibri"/>
          <w:i/>
          <w:iCs/>
        </w:rPr>
        <w:t>M. major</w:t>
      </w:r>
      <w:r>
        <w:rPr>
          <w:rFonts w:ascii="Calibri" w:hAnsi="Calibri"/>
        </w:rPr>
        <w:t xml:space="preserve"> abundances were determined using FlowCAM. Abundances of </w:t>
      </w:r>
      <w:r>
        <w:rPr>
          <w:rFonts w:ascii="Calibri" w:hAnsi="Calibri"/>
          <w:i/>
          <w:iCs/>
        </w:rPr>
        <w:t xml:space="preserve">T. amphioexa </w:t>
      </w:r>
      <w:r>
        <w:rPr>
          <w:rFonts w:ascii="Calibri" w:hAnsi="Calibri"/>
        </w:rPr>
        <w:t xml:space="preserve">were estimated once a week using qPCR to determine their percent contribution to the total cryptophyte population.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at SATURN 03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Discrete flow cytometry samples (1 mL fixed with 25% Glutaraldehyde) were collected for cell sorting on the cryptophyte population and were stored at -20 and analyzed blah months later using Influx cell sorter (BD). 45mL samples fixed with 25% glutaraldehyde were collected for </w:t>
      </w:r>
      <w:r>
        <w:rPr>
          <w:rFonts w:ascii="Calibri" w:hAnsi="Calibri"/>
          <w:i/>
          <w:iCs/>
        </w:rPr>
        <w:t>M. major</w:t>
      </w:r>
      <w:r>
        <w:rPr>
          <w:rFonts w:ascii="Calibri" w:hAnsi="Calibri"/>
        </w:rPr>
        <w:t xml:space="preserve"> counts, stored at 4 °C and analyzed blah months later using FlowCAM. 30mL surface water samples for nutrient analysis were taken in duplicate. Blah mL of water was filtered once a week to determine cryptophyte community composition using qPCR. All discrete samples were collected around 'slack' tide.</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bCs/>
        </w:rPr>
        <w:tab/>
      </w:r>
      <w:r>
        <w:rPr>
          <w:rFonts w:ascii="Calibri" w:hAnsi="Calibri"/>
          <w:b w:val="false"/>
          <w:bCs w:val="false"/>
        </w:rPr>
        <w:t>All SeaFlow data was analyzed using the R package, popcycle (</w:t>
      </w:r>
      <w:hyperlink r:id="rId2">
        <w:r>
          <w:rPr>
            <w:rStyle w:val="style16"/>
            <w:rStyle w:val="style16"/>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μm)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b w:val="false"/>
          <w:bCs w:val="false"/>
        </w:rPr>
        <w:tab/>
        <w:t>-assumptions of the model</w:t>
        <w:tab/>
        <w:t xml:space="preserve"> </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Nalgene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20μL of 50% gluteraldehyde, flash frozen, and stored at -80 °C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KM writes this</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rPr>
        <w:t xml:space="preserve">JN writes this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rPr>
        <w:t>Lab Verification</w:t>
      </w:r>
    </w:p>
    <w:p>
      <w:pPr>
        <w:pStyle w:val="style0"/>
        <w:spacing w:line="360" w:lineRule="auto"/>
      </w:pPr>
      <w:r>
        <w:rPr>
          <w:rFonts w:ascii="Calibri" w:hAnsi="Calibri"/>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Throughout the survey, the average surface water temperature and salinity were 17.45 °C and 11.90, respectively. In the first and third weeks, the salinity is higher and the temperature lower than the rest of the time course (</w:t>
      </w:r>
      <w:r>
        <w:rPr>
          <w:rFonts w:ascii="Calibri" w:hAnsi="Calibri"/>
          <w:b/>
          <w:bCs/>
        </w:rPr>
        <w:t>fig. 2, a</w:t>
      </w:r>
      <w:r>
        <w:rPr>
          <w:rFonts w:ascii="Calibri" w:hAnsi="Calibri"/>
          <w:b w:val="false"/>
          <w:bCs w:val="false"/>
        </w:rPr>
        <w:t xml:space="preserve">). Week 4 had both the lowest surface water salinity (mean=5.965) and lowest temperature (mean=15.659 °C), compared to the other weeks. </w:t>
      </w:r>
      <w:r>
        <w:rPr>
          <w:rFonts w:ascii="Calibri" w:hAnsi="Calibri"/>
        </w:rPr>
        <w:t xml:space="preserve">Surface water temperature and salinity appear to be anti-correlated and oscillate with the tidal cycle. High tide is characterized by an influx of colder, more saline water, and low tide by an increase in warmer freshwater. </w:t>
      </w:r>
    </w:p>
    <w:p>
      <w:pPr>
        <w:pStyle w:val="style0"/>
        <w:spacing w:line="360" w:lineRule="auto"/>
      </w:pPr>
      <w:r>
        <w:rPr/>
        <w:tab/>
      </w:r>
      <w:r>
        <w:rPr>
          <w:rFonts w:ascii="Calibri" w:hAnsi="Calibri"/>
        </w:rPr>
        <w:t>T</w:t>
      </w:r>
      <w:r>
        <w:rPr>
          <w:rFonts w:ascii="Calibri" w:hAnsi="Calibri"/>
        </w:rPr>
        <w:t>he daily maximum PAR fell between 116.6-802.9 (units) (</w:t>
      </w:r>
      <w:r>
        <w:rPr>
          <w:rFonts w:ascii="Calibri" w:hAnsi="Calibri"/>
          <w:b/>
          <w:bCs/>
        </w:rPr>
        <w:t>fig. 2, b</w:t>
      </w:r>
      <w:r>
        <w:rPr>
          <w:rFonts w:ascii="Calibri" w:hAnsi="Calibri"/>
        </w:rPr>
        <w:t xml:space="preserve">). A 5 fold change of daily PAR was observed during the survey. Weeks 2 and 3 exhibited the greatest amount of variation in PAR, with days within each week where PAR did not exceed 200, and other days where it reached up to ~800. </w:t>
      </w:r>
    </w:p>
    <w:p>
      <w:pPr>
        <w:pStyle w:val="style0"/>
        <w:spacing w:line="360" w:lineRule="auto"/>
      </w:pPr>
      <w:r>
        <w:rPr>
          <w:rFonts w:ascii="Calibri" w:hAnsi="Calibri"/>
        </w:rPr>
        <w:tab/>
        <w:t>Changes in phosphate and nitrate appeared to be coupled throughout the first three weeks of the time course (</w:t>
      </w:r>
      <w:r>
        <w:rPr>
          <w:rFonts w:ascii="Calibri" w:hAnsi="Calibri"/>
          <w:b/>
          <w:bCs/>
        </w:rPr>
        <w:t>fig. 2, c</w:t>
      </w:r>
      <w:r>
        <w:rPr>
          <w:rFonts w:ascii="Calibri" w:hAnsi="Calibri"/>
        </w:rPr>
        <w:t>). In the first week, all surface water nutrient concentrations remained relatively stable.  A peak in all nutrients occurred on 9/16, the beginning of week 2. After this peak, phosphate and nitrate began to decrease, then slowly increased again starting at the beginning of week 3. Nitrate continued to increase during week 4.</w:t>
      </w:r>
    </w:p>
    <w:p>
      <w:pPr>
        <w:pStyle w:val="style0"/>
        <w:spacing w:line="360" w:lineRule="auto"/>
      </w:pPr>
      <w:r>
        <w:rPr>
          <w:rFonts w:ascii="Calibri" w:hAnsi="Calibri"/>
        </w:rPr>
        <w:tab/>
      </w:r>
    </w:p>
    <w:p>
      <w:pPr>
        <w:pStyle w:val="style0"/>
        <w:spacing w:line="360" w:lineRule="auto"/>
      </w:pPr>
      <w:r>
        <w:rPr>
          <w:rFonts w:ascii="Calibri" w:hAnsi="Calibri"/>
          <w:b/>
          <w:bCs/>
        </w:rPr>
        <w:t>Abundances</w:t>
      </w:r>
    </w:p>
    <w:p>
      <w:pPr>
        <w:pStyle w:val="style0"/>
        <w:spacing w:line="360" w:lineRule="auto"/>
      </w:pPr>
      <w:r>
        <w:rPr>
          <w:rFonts w:ascii="Calibri" w:hAnsi="Calibri"/>
        </w:rPr>
        <w:tab/>
        <w:t>Data from SeaFlow showed the abundances of the surface water cryptophytes to be between &lt;0.01x10</w:t>
      </w:r>
      <w:r>
        <w:rPr>
          <w:rFonts w:ascii="Calibri" w:cs="Calibri" w:eastAsia="Calibri" w:hAnsi="Calibri"/>
        </w:rPr>
        <w:t xml:space="preserve">⁶ </w:t>
      </w:r>
      <w:r>
        <w:rPr>
          <w:rFonts w:ascii="Calibri" w:hAnsi="Calibri"/>
        </w:rPr>
        <w:t>- 19.2x10</w:t>
      </w:r>
      <w:r>
        <w:rPr>
          <w:rFonts w:ascii="Calibri" w:cs="Calibri" w:eastAsia="Calibri" w:hAnsi="Calibri"/>
        </w:rPr>
        <w:t>⁶ cells L⁻¹</w:t>
      </w:r>
      <w:r>
        <w:rPr>
          <w:rFonts w:ascii="Calibri" w:hAnsi="Calibri"/>
        </w:rPr>
        <w:t xml:space="preserve"> throughout the time course, with an average of 0.26x10</w:t>
      </w:r>
      <w:r>
        <w:rPr>
          <w:rFonts w:ascii="Calibri" w:cs="Calibri" w:eastAsia="Calibri" w:hAnsi="Calibri"/>
        </w:rPr>
        <w:t>⁶ cells L⁻¹</w:t>
      </w:r>
      <w:r>
        <w:rPr>
          <w:rFonts w:ascii="Calibri" w:hAnsi="Calibri"/>
        </w:rPr>
        <w:t xml:space="preserve"> (</w:t>
      </w:r>
      <w:r>
        <w:rPr>
          <w:rFonts w:ascii="Calibri" w:hAnsi="Calibri"/>
          <w:b/>
          <w:bCs/>
        </w:rPr>
        <w:t>fig. 3, a</w:t>
      </w:r>
      <w:r>
        <w:rPr>
          <w:rFonts w:ascii="Calibri" w:hAnsi="Calibri"/>
        </w:rPr>
        <w:t>). A dramatic peak in abundance occurred during the first day (9/11), reaching up to 19.2x10</w:t>
      </w:r>
      <w:r>
        <w:rPr>
          <w:rFonts w:ascii="Calibri" w:cs="Calibri" w:eastAsia="Calibri" w:hAnsi="Calibri"/>
        </w:rPr>
        <w:t xml:space="preserve">⁶ cells L⁻¹. </w:t>
      </w:r>
      <w:r>
        <w:rPr>
          <w:rFonts w:ascii="Calibri" w:hAnsi="Calibri"/>
        </w:rPr>
        <w:t>Week 1 also had the highest average cryptophyte abundance at 0.52x10</w:t>
      </w:r>
      <w:r>
        <w:rPr>
          <w:rFonts w:ascii="Calibri" w:cs="Calibri" w:eastAsia="Calibri" w:hAnsi="Calibri"/>
        </w:rPr>
        <w:t>⁶ cells L⁻¹.</w:t>
      </w:r>
      <w:r>
        <w:rPr>
          <w:rFonts w:ascii="Calibri" w:hAnsi="Calibri"/>
        </w:rPr>
        <w:t xml:space="preserve"> Weeks 2 and 3 had the lowest average abundances at 0.08x10</w:t>
      </w:r>
      <w:r>
        <w:rPr>
          <w:rFonts w:ascii="Calibri" w:cs="Calibri" w:eastAsia="Calibri" w:hAnsi="Calibri"/>
        </w:rPr>
        <w:t>⁶ cells L⁻¹</w:t>
      </w:r>
      <w:r>
        <w:rPr>
          <w:rFonts w:ascii="Calibri" w:hAnsi="Calibri"/>
        </w:rPr>
        <w:t xml:space="preserve"> and 0.09x10</w:t>
      </w:r>
      <w:r>
        <w:rPr>
          <w:rFonts w:ascii="Calibri" w:cs="Calibri" w:eastAsia="Calibri" w:hAnsi="Calibri"/>
        </w:rPr>
        <w:t xml:space="preserve">⁶ cells L⁻¹, respectively, and did not exhibit any of the strong peaks in abundance that characterized week 1. Week 4 had an average abundance of 0.24x10⁶ cells L⁻¹ and did have at least one peak on 10/1, reaching up to 2.85x10⁶ cells L⁻¹. </w:t>
      </w:r>
      <w:r>
        <w:rPr>
          <w:rFonts w:ascii="Calibri" w:hAnsi="Calibri"/>
        </w:rPr>
        <w:t xml:space="preserve">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rPr>
        <w:tab/>
        <w:t>Model estimates of the mean daily division rate of the surface water cryptophytes ranged from 0.023 to 9.78 (units?) (</w:t>
      </w:r>
      <w:r>
        <w:rPr>
          <w:rFonts w:ascii="Calibri" w:hAnsi="Calibri"/>
          <w:b/>
          <w:bCs/>
        </w:rPr>
        <w:t>fig. 4</w:t>
      </w:r>
      <w:r>
        <w:rPr>
          <w:rFonts w:ascii="Calibri" w:hAnsi="Calibri"/>
        </w:rPr>
        <w:t>), with weeks 3 (</w:t>
      </w:r>
      <w:r>
        <w:rPr>
          <w:rFonts w:ascii="Calibri" w:hAnsi="Calibri"/>
          <w:b/>
          <w:bCs/>
        </w:rPr>
        <w:t>fig. 4, c</w:t>
      </w:r>
      <w:r>
        <w:rPr>
          <w:rFonts w:ascii="Calibri" w:hAnsi="Calibri"/>
        </w:rPr>
        <w:t>) and 4 (</w:t>
      </w:r>
      <w:r>
        <w:rPr>
          <w:rFonts w:ascii="Calibri" w:hAnsi="Calibri"/>
          <w:b/>
          <w:bCs/>
        </w:rPr>
        <w:t>fig. 4, b</w:t>
      </w:r>
      <w:r>
        <w:rPr>
          <w:rFonts w:ascii="Calibri" w:hAnsi="Calibri"/>
        </w:rPr>
        <w:t xml:space="preserve">) exhibiting dramatically increased rates as compared to the first two weeks. Week 4 had the highest weekly average mean daily division rate at 4.83, and week 2 the lowest at 0.47. </w:t>
      </w:r>
    </w:p>
    <w:p>
      <w:pPr>
        <w:pStyle w:val="style0"/>
        <w:spacing w:line="360" w:lineRule="auto"/>
      </w:pPr>
      <w:r>
        <w:rPr>
          <w:rFonts w:ascii="Calibri" w:hAnsi="Calibri"/>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w:t>
      </w:r>
    </w:p>
    <w:p>
      <w:pPr>
        <w:pStyle w:val="style0"/>
        <w:spacing w:line="360" w:lineRule="auto"/>
      </w:pPr>
      <w:r>
        <w:rPr/>
      </w:r>
    </w:p>
    <w:p>
      <w:pPr>
        <w:pStyle w:val="style0"/>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cs="Calibri" w:eastAsia="Calibri" w:hAnsi="Calibri"/>
        </w:rPr>
        <w:t>mL</w:t>
      </w:r>
      <w:bookmarkStart w:id="3" w:name="__DdeLink__1200_1455561233"/>
      <w:r>
        <w:rPr>
          <w:rFonts w:ascii="Calibri" w:cs="Calibri" w:eastAsia="Calibri" w:hAnsi="Calibri"/>
        </w:rPr>
        <w:t>⁻¹</w:t>
      </w:r>
      <w:bookmarkEnd w:id="3"/>
      <w:r>
        <w:rPr>
          <w:rFonts w:ascii="Calibri" w:cs="Calibri" w:eastAsia="Calibri" w:hAnsi="Calibri"/>
        </w:rPr>
        <w:t>, with the some of the highest values occurring during weeks 2 and 3  (table 1</w:t>
      </w:r>
      <w:r>
        <w:rPr>
          <w:rFonts w:ascii="Calibri" w:cs="Calibri" w:eastAsia="Calibri" w:hAnsi="Calibri"/>
        </w:rPr>
        <w:t>). The highest weekly average abundance occurred during week 2 at 142.75 cells mL</w:t>
      </w:r>
      <w:bookmarkStart w:id="4" w:name="__DdeLink__1200_14555612332"/>
      <w:r>
        <w:rPr>
          <w:rFonts w:ascii="Calibri" w:cs="Calibri" w:eastAsia="Calibri" w:hAnsi="Calibri"/>
        </w:rPr>
        <w:t>⁻¹</w:t>
      </w:r>
      <w:bookmarkEnd w:id="4"/>
      <w:r>
        <w:rPr>
          <w:rFonts w:ascii="Calibri" w:cs="Calibri" w:eastAsia="Calibri" w:hAnsi="Calibri"/>
        </w:rPr>
        <w:t>, and coincided with decreasing nutrient concentrations (fig. 2, c</w:t>
      </w:r>
      <w:r>
        <w:rPr>
          <w:rFonts w:ascii="Calibri" w:cs="Calibri" w:eastAsia="Calibri" w:hAnsi="Calibri"/>
        </w:rPr>
        <w:t>). The lowest average was during week 1 with 101 cells mL</w:t>
      </w:r>
      <w:bookmarkStart w:id="5" w:name="__DdeLink__1200_14555612331"/>
      <w:r>
        <w:rPr>
          <w:rFonts w:ascii="Calibri" w:cs="Calibri" w:eastAsia="Calibri" w:hAnsi="Calibri"/>
        </w:rPr>
        <w:t>⁻¹</w:t>
      </w:r>
      <w:bookmarkEnd w:id="5"/>
      <w:r>
        <w:rPr>
          <w:rFonts w:ascii="Calibri" w:cs="Calibri" w:eastAsia="Calibri" w:hAnsi="Calibri"/>
        </w:rPr>
        <w:t>, and coincided with the highest measurements of cryptophyte abundance (fig. 3, a)</w:t>
      </w:r>
      <w:r>
        <w:rPr>
          <w:rFonts w:ascii="Calibri" w:cs="Calibri" w:eastAsia="Calibri" w:hAnsi="Calibri"/>
        </w:rPr>
        <w:t xml:space="preserve">. The most dramatic change in abundance occurred between 9/12 and 9/13, with a decrease from 175 to 27 cells  mL⁻¹, within 24 hours. The </w:t>
      </w:r>
      <w:r>
        <w:rPr>
          <w:rFonts w:ascii="Calibri" w:cs="Calibri" w:eastAsia="Calibri" w:hAnsi="Calibri"/>
          <w:i/>
          <w:iCs/>
        </w:rPr>
        <w:t>M. major</w:t>
      </w:r>
      <w:r>
        <w:rPr>
          <w:rFonts w:ascii="Calibri" w:cs="Calibri" w:eastAsia="Calibri" w:hAnsi="Calibri"/>
        </w:rPr>
        <w:t xml:space="preserve"> abundances showed no relationship with cryptophyte division rate, nor any significant correlation with surface water nutrient concentrations or mean PAR (supplemental fig).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ab/>
        <w:t xml:space="preserve">The percent of the total cryptophytes that were </w:t>
      </w:r>
      <w:r>
        <w:rPr>
          <w:rFonts w:ascii="Calibri" w:hAnsi="Calibri"/>
          <w:i/>
          <w:iCs/>
        </w:rPr>
        <w:t>T. amphioexa</w:t>
      </w:r>
      <w:r>
        <w:rPr>
          <w:rFonts w:ascii="Calibri" w:hAnsi="Calibri"/>
        </w:rPr>
        <w:t>, as estimated from qPCR data, was very low across the entire survey, ranging from 0.0615% - 0.397% (</w:t>
      </w:r>
      <w:r>
        <w:rPr>
          <w:rFonts w:ascii="Calibri" w:hAnsi="Calibri"/>
          <w:b/>
          <w:bCs/>
        </w:rPr>
        <w:t>table 1</w:t>
      </w:r>
      <w:r>
        <w:rPr>
          <w:rFonts w:ascii="Calibri" w:hAnsi="Calibri"/>
        </w:rPr>
        <w:t xml:space="preserve">), and agreed with observations made in previous years (Herfort et al., 2011b). When applied to abundances measured via SeaFlow, this percent translated to between 5.03 and 93.18 </w:t>
      </w:r>
      <w:r>
        <w:rPr>
          <w:rFonts w:ascii="Calibri" w:hAnsi="Calibri"/>
          <w:i/>
          <w:iCs/>
        </w:rPr>
        <w:t>T. amphioexa</w:t>
      </w:r>
      <w:r>
        <w:rPr>
          <w:rFonts w:ascii="Calibri" w:hAnsi="Calibri"/>
        </w:rPr>
        <w:t xml:space="preserve"> cells </w:t>
      </w:r>
      <w:r>
        <w:rPr>
          <w:rFonts w:ascii="Calibri" w:cs="Calibri" w:eastAsia="Calibri" w:hAnsi="Calibri"/>
        </w:rPr>
        <w:t xml:space="preserve">mL⁻¹ in the surface waters. </w:t>
      </w:r>
      <w:r>
        <w:rPr>
          <w:rFonts w:ascii="Calibri" w:hAnsi="Calibri"/>
        </w:rPr>
        <w:t xml:space="preserve">The smallest percent of the cryptophyte population consisting of </w:t>
      </w:r>
      <w:r>
        <w:rPr>
          <w:rFonts w:ascii="Calibri" w:hAnsi="Calibri"/>
          <w:i/>
          <w:iCs/>
        </w:rPr>
        <w:t xml:space="preserve">T. amphioexa, </w:t>
      </w:r>
      <w:r>
        <w:rPr>
          <w:rFonts w:ascii="Calibri" w:hAnsi="Calibri"/>
          <w:i w:val="false"/>
          <w:iCs w:val="false"/>
        </w:rPr>
        <w:t xml:space="preserve">and the lowest abundance of </w:t>
      </w:r>
      <w:r>
        <w:rPr>
          <w:rFonts w:ascii="Calibri" w:hAnsi="Calibri"/>
          <w:i/>
          <w:iCs/>
        </w:rPr>
        <w:t>T. amphioexa</w:t>
      </w:r>
      <w:r>
        <w:rPr>
          <w:rFonts w:ascii="Calibri" w:hAnsi="Calibri"/>
          <w:i w:val="false"/>
          <w:iCs w:val="false"/>
        </w:rPr>
        <w:t xml:space="preserve"> </w:t>
      </w:r>
      <w:r>
        <w:rPr>
          <w:rFonts w:ascii="Calibri" w:hAnsi="Calibri"/>
        </w:rPr>
        <w:t xml:space="preserve">occurred during the second week, which was also the week when </w:t>
      </w:r>
      <w:r>
        <w:rPr>
          <w:rFonts w:ascii="Calibri" w:hAnsi="Calibri"/>
          <w:i/>
          <w:iCs/>
        </w:rPr>
        <w:t>M.</w:t>
      </w:r>
      <w:r>
        <w:rPr>
          <w:rFonts w:ascii="Calibri" w:hAnsi="Calibri"/>
        </w:rPr>
        <w:t xml:space="preserve"> </w:t>
      </w:r>
      <w:r>
        <w:rPr>
          <w:rFonts w:ascii="Calibri" w:hAnsi="Calibri"/>
          <w:i/>
          <w:iCs/>
        </w:rPr>
        <w:t xml:space="preserve">major </w:t>
      </w:r>
      <w:r>
        <w:rPr>
          <w:rFonts w:ascii="Calibri" w:hAnsi="Calibri"/>
        </w:rPr>
        <w:t xml:space="preserve">was at it's highest averarage abundance. The largest percent of the cryptophyte population consisting of </w:t>
      </w:r>
      <w:r>
        <w:rPr>
          <w:rFonts w:ascii="Calibri" w:hAnsi="Calibri"/>
          <w:i/>
          <w:iCs/>
        </w:rPr>
        <w:t>T. amphioexa</w:t>
      </w:r>
      <w:r>
        <w:rPr>
          <w:rFonts w:ascii="Calibri" w:hAnsi="Calibri"/>
        </w:rPr>
        <w:t xml:space="preserve"> occurred in the day just prior to the start of the survey (9/10).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rPr>
        <w:t xml:space="preserve">Cryptophyte Abundances </w:t>
      </w:r>
    </w:p>
    <w:p>
      <w:pPr>
        <w:pStyle w:val="style0"/>
        <w:spacing w:line="360" w:lineRule="auto"/>
      </w:pPr>
      <w:r>
        <w:rPr>
          <w:rFonts w:ascii="Calibri" w:hAnsi="Calibri"/>
        </w:rPr>
        <w:tab/>
        <w:t xml:space="preserve">Though past data has suggested that the cryptophytes in the Columbia River Estuary are of freshwater origin (Peterson, unpublished data?) and thus increase in number with the outgoing tide, our data do not support this finding. 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tidal cycle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
    </w:p>
    <w:p>
      <w:pPr>
        <w:pStyle w:val="style0"/>
        <w:spacing w:line="360" w:lineRule="auto"/>
      </w:pPr>
      <w:r>
        <w:rPr>
          <w:rFonts w:ascii="Calibri" w:hAnsi="Calibri"/>
          <w:b/>
          <w:bCs/>
        </w:rPr>
        <w:t>Cryptophyte Division Rate Estimates and Evaluating the Model</w:t>
      </w:r>
      <w:r>
        <w:rPr>
          <w:rFonts w:ascii="Calibri" w:hAnsi="Calibri"/>
        </w:rPr>
        <w:t xml:space="preserve"> </w:t>
      </w:r>
    </w:p>
    <w:p>
      <w:pPr>
        <w:pStyle w:val="style0"/>
        <w:spacing w:line="360" w:lineRule="auto"/>
      </w:pPr>
      <w:r>
        <w:rPr>
          <w:rFonts w:ascii="Calibri" w:hAnsi="Calibri"/>
        </w:rPr>
        <w:tab/>
        <w:t>Though, to the best of our knowledge, no growth rates for the cryptophytes in the CRE have been previously determined, laboratory estimates of the growth rates of various strains of cryptomonads have found rates up to an average of 0.85 d</w:t>
      </w:r>
      <w:r>
        <w:rPr>
          <w:rFonts w:ascii="Calibri" w:cs="Calibri" w:eastAsia="Calibri" w:hAnsi="Calibri"/>
        </w:rPr>
        <w:t>⁻¹ (Park et al., 2007), which agrees with our overall average rate of 1.00. Our highest estimates of mean daily division rate, as found in the final week of the survey, reach up to nine times greater than the average. This is unsurprising though, as g</w:t>
      </w:r>
      <w:r>
        <w:rPr>
          <w:rFonts w:ascii="Calibri" w:hAnsi="Calibri"/>
        </w:rPr>
        <w:t xml:space="preserve">rowth rates for </w:t>
      </w:r>
      <w:r>
        <w:rPr>
          <w:rFonts w:ascii="Calibri" w:hAnsi="Calibri"/>
          <w:i/>
          <w:iCs/>
        </w:rPr>
        <w:t>M. major</w:t>
      </w:r>
      <w:r>
        <w:rPr>
          <w:rFonts w:ascii="Calibri" w:hAnsi="Calibri"/>
        </w:rPr>
        <w:t xml:space="preserve"> found in the CRE in both 2011 and 2012 greatly exceeded the growth rates determined for laboratory cultures, at times by up to a seven-fold difference (Yih et al., 2004; Herfort et al., 2011; Peterson et al., 2012). It is possible that the environmental conditions and specific biological community found in the Columbia River Estuary allow for the growth of both ciliates and cryptophytes at a rate not yet replicated in culture. </w:t>
      </w:r>
    </w:p>
    <w:p>
      <w:pPr>
        <w:pStyle w:val="style0"/>
        <w:spacing w:line="360" w:lineRule="auto"/>
      </w:pPr>
      <w:r>
        <w:rPr>
          <w:rFonts w:ascii="Calibri" w:hAnsi="Calibri"/>
        </w:rPr>
        <w:tab/>
        <w:t>Measuring growth in the field is difficult, but this new approach, utilizing a model, eliminates many of the known problems associated with traditional methods that rely on bottle incubations (Landry and Hassett, 1982; Landry et al., 1995) and is less labor-intensive. 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rPr/>
        <w:t>e).</w:t>
      </w:r>
    </w:p>
    <w:p>
      <w:pPr>
        <w:pStyle w:val="style0"/>
        <w:spacing w:line="360" w:lineRule="auto"/>
      </w:pPr>
      <w:r>
        <w:rPr/>
      </w:r>
    </w:p>
    <w:p>
      <w:pPr>
        <w:pStyle w:val="style0"/>
        <w:spacing w:line="360" w:lineRule="auto"/>
      </w:pPr>
      <w:r>
        <w:rPr>
          <w:rFonts w:ascii="Calibri" w:hAnsi="Calibri"/>
          <w:b/>
          <w:bCs/>
        </w:rPr>
        <w:t xml:space="preserve">Environmental Influences on Cryptophyte Production and </w:t>
      </w:r>
      <w:r>
        <w:rPr>
          <w:rFonts w:ascii="Calibri" w:hAnsi="Calibri"/>
          <w:b/>
          <w:bCs/>
          <w:i/>
          <w:iCs/>
        </w:rPr>
        <w:t>M. major</w:t>
      </w:r>
      <w:r>
        <w:rPr>
          <w:rFonts w:ascii="Calibri" w:hAnsi="Calibri"/>
          <w:b/>
          <w:bCs/>
        </w:rPr>
        <w:t xml:space="preserve"> Abundances </w:t>
      </w:r>
    </w:p>
    <w:p>
      <w:pPr>
        <w:pStyle w:val="style0"/>
        <w:spacing w:line="360" w:lineRule="auto"/>
      </w:pPr>
      <w:r>
        <w:rPr/>
        <w:tab/>
      </w:r>
      <w:r>
        <w:rPr>
          <w:rFonts w:ascii="Calibri" w:hAnsi="Calibri"/>
        </w:rPr>
        <w:t>In the turbid waters of the Columbia River Estuary, light is generally considered to be the factor most limiting to phytoplankton growth (Herfort et al., 2012). Comparing measurments of PAR to our cryptophyte production estimates did not result in any statistically significant relationship (</w:t>
      </w:r>
      <w:r>
        <w:rPr>
          <w:rFonts w:ascii="Calibri" w:hAnsi="Calibri"/>
          <w:b/>
          <w:bCs/>
        </w:rPr>
        <w:t>fig 5, d</w:t>
      </w:r>
      <w:r>
        <w:rPr>
          <w:rFonts w:ascii="Calibri" w:hAnsi="Calibri"/>
        </w:rPr>
        <w:t xml:space="preserve">). But because the photosynthetic machinery of cryptophyte cells are well adapted to conditions of low light (Bergman et al., 2004), it makes sense that they are not limited by PAR during the time of our field study. It would actually be more likely that the cryptophytes would be photoinhibited by light, as they are not among the phytoplankton that produce light-protective compounds that shield cells from the damaging effects of radiation (Vernet et al., 1994; Herfort et al., 2012). But again, our production estimates did not show any correlation with PAR, negative or otherwise. </w:t>
      </w:r>
    </w:p>
    <w:p>
      <w:pPr>
        <w:pStyle w:val="style0"/>
        <w:spacing w:line="360" w:lineRule="auto"/>
      </w:pPr>
      <w:r>
        <w:rPr>
          <w:rFonts w:ascii="Calibri" w:hAnsi="Calibri"/>
        </w:rPr>
        <w:tab/>
        <w:t>Comparisons of nitrate concentration with daily average cryptophyte production revealed a potentially weak positive correlation (R</w:t>
      </w:r>
      <w:r>
        <w:rPr>
          <w:rFonts w:ascii="Calibri" w:cs="Lucida Sans" w:eastAsia="SimSun" w:hAnsi="Calibri"/>
        </w:rPr>
        <w:t>²</w:t>
      </w:r>
      <w:r>
        <w:rPr>
          <w:rFonts w:ascii="Calibri" w:cs="Lucida Sans" w:eastAsia="SimSun" w:hAnsi="Calibri"/>
        </w:rPr>
        <w:t>=0.231, p-value=0.048) between the two (</w:t>
      </w:r>
      <w:r>
        <w:rPr>
          <w:rFonts w:ascii="Calibri" w:cs="Lucida Sans" w:eastAsia="SimSun" w:hAnsi="Calibri"/>
          <w:b/>
          <w:bCs/>
        </w:rPr>
        <w:t>fig. 5, a</w:t>
      </w:r>
      <w:r>
        <w:rPr>
          <w:rFonts w:ascii="Calibri" w:cs="Lucida Sans" w:eastAsia="SimSun" w:hAnsi="Calibri"/>
        </w:rPr>
        <w:t xml:space="preserve">). This possible relationship could be interpreted in a multiple ways. It may be that nitrate is the limiting factor for cryptophyte production. But, </w:t>
      </w:r>
      <w:r>
        <w:rPr>
          <w:rFonts w:ascii="Calibri" w:cs="Lucida Sans" w:eastAsia="SimSun" w:hAnsi="Calibri"/>
          <w:i/>
          <w:iCs/>
        </w:rPr>
        <w:t>M. major</w:t>
      </w:r>
      <w:r>
        <w:rPr>
          <w:rFonts w:ascii="Calibri" w:cs="Lucida Sans" w:eastAsia="SimSun" w:hAnsi="Calibri"/>
        </w:rPr>
        <w:t xml:space="preserve"> also requires a nitrogen source and appears to have a weak anti-correlation with cryptophyte abundance (likely due to grazing). An additional possibility is that the positive relationship between cryptophyte production and nitrate concentration is actually dependent on</w:t>
      </w:r>
      <w:r>
        <w:rPr>
          <w:rFonts w:ascii="Calibri" w:cs="Lucida Sans" w:eastAsia="SimSun" w:hAnsi="Calibri"/>
          <w:i/>
          <w:iCs/>
        </w:rPr>
        <w:t xml:space="preserve"> </w:t>
      </w:r>
      <w:r>
        <w:rPr>
          <w:rFonts w:ascii="Calibri" w:cs="Lucida Sans" w:eastAsia="SimSun" w:hAnsi="Calibri"/>
          <w:i w:val="false"/>
          <w:iCs w:val="false"/>
        </w:rPr>
        <w:t>the</w:t>
      </w:r>
      <w:r>
        <w:rPr>
          <w:rFonts w:ascii="Calibri" w:cs="Lucida Sans" w:eastAsia="SimSun" w:hAnsi="Calibri"/>
        </w:rPr>
        <w:t xml:space="preserve"> abundance of the ciliate.  </w:t>
      </w:r>
    </w:p>
    <w:p>
      <w:pPr>
        <w:pStyle w:val="style0"/>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 xml:space="preserve">s preferred nitrogen source (Crawford et al., 2007), and the abundance of the ciliate in the estuary's main channel (Herfort et al., 2012). In our comparison of </w:t>
      </w:r>
      <w:r>
        <w:rPr>
          <w:rFonts w:ascii="Calibri" w:hAnsi="Calibri"/>
          <w:i/>
          <w:iCs/>
        </w:rPr>
        <w:t>M. major</w:t>
      </w:r>
      <w:r>
        <w:rPr>
          <w:rFonts w:ascii="Calibri" w:hAnsi="Calibri"/>
        </w:rPr>
        <w:t xml:space="preserve"> abundance and surface water ammonium, no significant correlation was found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Abundances in Relation to Cryptophyte Data </w:t>
      </w:r>
    </w:p>
    <w:p>
      <w:pPr>
        <w:pStyle w:val="style0"/>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T. amphioexa.</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cryptophytes. Again, these division rate estimates are determined for the population of cryptophytes, as a whole. </w:t>
      </w:r>
      <w:r>
        <w:rPr>
          <w:rFonts w:ascii="Calibri" w:hAnsi="Calibri"/>
          <w:i/>
          <w:iCs/>
        </w:rPr>
        <w:t>M. major's</w:t>
      </w:r>
      <w:r>
        <w:rPr>
          <w:rFonts w:ascii="Calibri" w:hAnsi="Calibri"/>
        </w:rPr>
        <w:t xml:space="preserve"> preferred prey, </w:t>
      </w:r>
      <w:r>
        <w:rPr>
          <w:rFonts w:ascii="Calibri" w:hAnsi="Calibri"/>
          <w:i/>
          <w:iCs/>
        </w:rPr>
        <w:t>T. amphioexa</w:t>
      </w:r>
      <w:r>
        <w:rPr>
          <w:rFonts w:ascii="Calibri" w:hAnsi="Calibri"/>
        </w:rPr>
        <w:t xml:space="preserve">, makes up &lt;1% of the total cryptophyte population, and </w:t>
      </w:r>
      <w:r>
        <w:rPr>
          <w:rFonts w:ascii="Calibri" w:hAnsi="Calibri"/>
          <w:i/>
          <w:iCs/>
        </w:rPr>
        <w:t>T. amphioexa</w:t>
      </w:r>
      <w:r>
        <w:rPr>
          <w:rFonts w:ascii="Calibri" w:hAnsi="Calibri"/>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cryptophytes could potentially have the same effect on </w:t>
      </w:r>
      <w:r>
        <w:rPr>
          <w:rFonts w:ascii="Calibri" w:hAnsi="Calibri"/>
          <w:i/>
          <w:iCs/>
        </w:rPr>
        <w:t>T. amphioexa</w:t>
      </w:r>
      <w:r>
        <w:rPr>
          <w:rFonts w:ascii="Calibri" w:hAnsi="Calibri"/>
        </w:rPr>
        <w:t xml:space="preserve">. </w:t>
      </w:r>
    </w:p>
    <w:p>
      <w:pPr>
        <w:pStyle w:val="style0"/>
        <w:spacing w:line="360" w:lineRule="auto"/>
      </w:pPr>
      <w:r>
        <w:rPr>
          <w:rFonts w:ascii="Calibri" w:hAnsi="Calibri"/>
        </w:rPr>
        <w:tab/>
        <w:t xml:space="preserve"> Comparisons of our estimates of </w:t>
      </w:r>
      <w:r>
        <w:rPr>
          <w:rFonts w:ascii="Calibri" w:hAnsi="Calibri"/>
          <w:i/>
          <w:iCs/>
        </w:rPr>
        <w:t>T. amphioexa</w:t>
      </w:r>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w:t>
      </w:r>
      <w:r>
        <w:rPr>
          <w:rFonts w:ascii="Calibri" w:hAnsi="Calibri"/>
          <w:i/>
          <w:iCs/>
        </w:rPr>
        <w:t>M. major</w:t>
      </w:r>
      <w:r>
        <w:rPr>
          <w:rFonts w:ascii="Calibri" w:hAnsi="Calibri"/>
        </w:rPr>
        <w:t xml:space="preserve"> bloom development, despite only having four time points. Of these four coinciding time points, the highest </w:t>
      </w:r>
      <w:r>
        <w:rPr>
          <w:rFonts w:ascii="Calibri" w:hAnsi="Calibri"/>
          <w:i/>
          <w:iCs/>
        </w:rPr>
        <w:t>M. major</w:t>
      </w:r>
      <w:r>
        <w:rPr>
          <w:rFonts w:ascii="Calibri" w:hAnsi="Calibri"/>
        </w:rPr>
        <w:t xml:space="preserve"> count (179) occurs when the percent of the total cryptophytes that are </w:t>
      </w:r>
      <w:r>
        <w:rPr>
          <w:rFonts w:ascii="Calibri" w:hAnsi="Calibri"/>
          <w:i/>
          <w:iCs/>
        </w:rPr>
        <w:t>T. amphioexa</w:t>
      </w:r>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evidence of selective grazing on </w:t>
      </w:r>
      <w:r>
        <w:rPr>
          <w:rFonts w:ascii="Calibri" w:hAnsi="Calibri"/>
          <w:i/>
          <w:iCs/>
        </w:rPr>
        <w:t>T. amphioexa</w:t>
      </w:r>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T. amphioexa</w:t>
      </w:r>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T. amphioexa</w:t>
      </w:r>
      <w:r>
        <w:rPr>
          <w:rFonts w:ascii="Calibri" w:hAnsi="Calibri"/>
        </w:rPr>
        <w:t xml:space="preserve"> exceeds that of the ciliate. This finding is curious, as grazing experiments using laboratory cultures of </w:t>
      </w:r>
      <w:r>
        <w:rPr>
          <w:rFonts w:ascii="Calibri" w:hAnsi="Calibri"/>
          <w:i/>
          <w:iCs/>
        </w:rPr>
        <w:t>M. rubrum</w:t>
      </w:r>
      <w:r>
        <w:rPr>
          <w:rFonts w:ascii="Calibri" w:hAnsi="Calibri"/>
        </w:rPr>
        <w:t xml:space="preserve"> have estimated ingestion rates between ~3.5 and 8.9 cryptophytes ciliate</w:t>
      </w:r>
      <w:r>
        <w:rPr>
          <w:rFonts w:ascii="Calibri" w:cs="Calibri" w:eastAsia="Calibri" w:hAnsi="Calibri"/>
        </w:rPr>
        <w:t>⁻¹</w:t>
      </w:r>
      <w:r>
        <w:rPr>
          <w:rFonts w:ascii="Calibri" w:hAnsi="Calibri"/>
        </w:rPr>
        <w:t xml:space="preserve"> day</w:t>
      </w:r>
      <w:r>
        <w:rPr>
          <w:rFonts w:ascii="Calibri" w:cs="Calibri" w:eastAsia="Calibri" w:hAnsi="Calibri"/>
        </w:rPr>
        <w:t xml:space="preserve">⁻¹ (Yih et al., 2004; Hansen and Fenchel, 2006). Additionally, using a FISH probe for </w:t>
      </w:r>
      <w:r>
        <w:rPr>
          <w:rFonts w:ascii="Calibri" w:cs="Calibri" w:eastAsia="Calibri" w:hAnsi="Calibri"/>
          <w:i/>
          <w:iCs/>
        </w:rPr>
        <w:t>T. amphioexa</w:t>
      </w:r>
      <w:r>
        <w:rPr>
          <w:rFonts w:ascii="Calibri" w:cs="Calibri" w:eastAsia="Calibri" w:hAnsi="Calibri"/>
        </w:rPr>
        <w:t xml:space="preserve">, we have been able to observe up to &gt;20 prey within a single </w:t>
      </w:r>
      <w:r>
        <w:rPr>
          <w:rFonts w:ascii="Calibri" w:cs="Calibri" w:eastAsia="Calibri" w:hAnsi="Calibri"/>
          <w:i/>
          <w:iCs/>
        </w:rPr>
        <w:t>M. major</w:t>
      </w:r>
      <w:r>
        <w:rPr>
          <w:rFonts w:ascii="Calibri" w:cs="Calibri" w:eastAsia="Calibri" w:hAnsi="Calibri"/>
        </w:rPr>
        <w:t xml:space="preserve"> cell (pic as supplemental fig). It is possible that the low abundances of the prey cryptophyte that we observe in the Columbia River Estuary are the result of the result of grazing by</w:t>
      </w:r>
      <w:r>
        <w:rPr>
          <w:rFonts w:ascii="Calibri" w:cs="Calibri" w:eastAsia="Calibri" w:hAnsi="Calibri"/>
          <w:i/>
          <w:iCs/>
        </w:rPr>
        <w:t xml:space="preserve"> M. major </w:t>
      </w:r>
      <w:r>
        <w:rPr>
          <w:rFonts w:ascii="Calibri" w:cs="Calibri" w:eastAsia="Calibri" w:hAnsi="Calibri"/>
        </w:rPr>
        <w:t>and other microzooplankton. Dilution experiments to determine grazing rates of M. major on cryptophytes in the field should be considered to test this hypothesis.</w:t>
      </w:r>
    </w:p>
    <w:p>
      <w:pPr>
        <w:pStyle w:val="style0"/>
        <w:spacing w:line="360" w:lineRule="auto"/>
      </w:pPr>
      <w:r>
        <w:rPr>
          <w:rFonts w:ascii="Calibri" w:cs="Calibri" w:eastAsia="Calibri" w:hAnsi="Calibri"/>
        </w:rPr>
        <w:tab/>
        <w:t xml:space="preserve">An alternative explanation could be related to </w:t>
      </w:r>
      <w:r>
        <w:rPr>
          <w:rFonts w:ascii="Calibri" w:hAnsi="Calibri"/>
          <w:i/>
          <w:iCs/>
        </w:rPr>
        <w:t>M. major</w:t>
      </w:r>
      <w:r>
        <w:rPr>
          <w:rFonts w:ascii="Calibri" w:hAnsi="Calibri"/>
        </w:rPr>
        <w:t xml:space="preserve">'s ability to retain cryptophytes attached to the ciliate's cirri, as it this has been observed in the CRE during the 2011 red water events (Peterson et al., 2012). Our measurements of </w:t>
      </w:r>
      <w:r>
        <w:rPr>
          <w:rFonts w:ascii="Calibri" w:hAnsi="Calibri"/>
          <w:i/>
          <w:iCs/>
        </w:rPr>
        <w:t>T. amphioexa</w:t>
      </w:r>
      <w:r>
        <w:rPr>
          <w:rFonts w:ascii="Calibri" w:hAnsi="Calibri"/>
        </w:rPr>
        <w:t xml:space="preserve"> abundance are limited to those that are free-living, and it is possible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T. amphioexa</w:t>
      </w:r>
      <w:r>
        <w:rPr>
          <w:rFonts w:ascii="Calibri" w:hAnsi="Calibri"/>
        </w:rPr>
        <w:t xml:space="preserve">. Another possibility could be that the ingested </w:t>
      </w:r>
      <w:r>
        <w:rPr>
          <w:rFonts w:ascii="Calibri" w:hAnsi="Calibri"/>
          <w:i/>
          <w:iCs/>
        </w:rPr>
        <w:t>T. amphioexa</w:t>
      </w:r>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cryptophytes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T. amphioexa</w:t>
      </w:r>
      <w:r>
        <w:rPr>
          <w:rFonts w:ascii="Calibri" w:hAnsi="Calibri"/>
        </w:rPr>
        <w:t xml:space="preserve"> in the Columbia River Estuary. </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cryptophyte prey may play a role in the proliferation of the bloom, but until now, the cryptophyte population within the bloom had not yet been investigated. This study is the first to show continuous abundances and division rates of the cryptophyte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cryptophytes and </w:t>
      </w:r>
      <w:r>
        <w:rPr>
          <w:rFonts w:ascii="Calibri" w:hAnsi="Calibri"/>
          <w:i/>
          <w:iCs/>
        </w:rPr>
        <w:t>M. major</w:t>
      </w:r>
      <w:r>
        <w:rPr>
          <w:rFonts w:ascii="Calibri" w:hAnsi="Calibri"/>
        </w:rPr>
        <w:t xml:space="preserve">, pointing to the importance of the non free-living cryptophyte prey, either attached to or within the ciliate. Future studies should focus on using molecular approaches to better understand the specific interactions between </w:t>
      </w:r>
      <w:r>
        <w:rPr>
          <w:rFonts w:ascii="Calibri" w:hAnsi="Calibri"/>
          <w:i/>
        </w:rPr>
        <w:t>M. major</w:t>
      </w:r>
      <w:r>
        <w:rPr>
          <w:rFonts w:ascii="Calibri" w:hAnsi="Calibri"/>
        </w:rPr>
        <w:t xml:space="preserve"> and </w:t>
      </w:r>
      <w:r>
        <w:rPr>
          <w:rFonts w:ascii="Calibri" w:hAnsi="Calibri"/>
          <w:i/>
        </w:rPr>
        <w:t>T. amphioexa</w:t>
      </w:r>
      <w:r>
        <w:rPr>
          <w:rFonts w:ascii="Calibri" w:hAnsi="Calibri"/>
        </w:rPr>
        <w:t xml:space="preserve">, in combination with </w:t>
      </w:r>
      <w:r>
        <w:rPr>
          <w:rFonts w:ascii="Calibri" w:hAnsi="Calibri"/>
          <w:i/>
        </w:rPr>
        <w:t>in situ</w:t>
      </w:r>
      <w:r>
        <w:rPr>
          <w:rFonts w:ascii="Calibri" w:hAnsi="Calibri"/>
        </w:rPr>
        <w:t xml:space="preserve"> measurements of grazing rates. Additional investigations into the cause of the exceptionally high growth rates of phytoplankton in the Columbia River Estuary, as found in this and other studies (Herfort et al., 2011; Peterson et al., 2012), may also help to reveal any unique properties of this system- some of which could be contributing to the dynamics of this bloom.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production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rPr>
        <w:t xml:space="preserve">⁻¹ ), the estimated percent of </w:t>
      </w:r>
      <w:r>
        <w:rPr>
          <w:rFonts w:ascii="Calibri" w:cs="Calibri" w:eastAsia="Calibri" w:hAnsi="Calibri"/>
          <w:i/>
          <w:iCs/>
        </w:rPr>
        <w:t>T. amphioexa</w:t>
      </w:r>
      <w:r>
        <w:rPr>
          <w:rFonts w:ascii="Calibri" w:cs="Calibri" w:eastAsia="Calibri" w:hAnsi="Calibri"/>
        </w:rPr>
        <w:t xml:space="preserve"> as determined via qPCR, and daily mean cryptophyte division rate. </w:t>
      </w:r>
      <w:r>
        <w:rPr>
          <w:rFonts w:ascii="Calibri" w:cs="Calibri" w:eastAsia="Calibri" w:hAnsi="Calibri"/>
          <w:i/>
          <w:iCs/>
        </w:rPr>
        <w:t>T. amphioexa</w:t>
      </w:r>
      <w:r>
        <w:rPr>
          <w:rFonts w:ascii="Calibri" w:cs="Calibri" w:eastAsia="Calibri" w:hAnsi="Calibri"/>
        </w:rPr>
        <w:t xml:space="preserve"> abundances calculated using the estimated percent. </w:t>
      </w:r>
    </w:p>
    <w:p>
      <w:pPr>
        <w:pStyle w:val="style0"/>
        <w:tabs>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ucida Sans" w:eastAsia="SimSun"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pPr>
    <w:rPr>
      <w:rFonts w:cs="Lucida Sans"/>
      <w:i/>
      <w:iCs/>
      <w:sz w:val="24"/>
      <w:szCs w:val="24"/>
    </w:rPr>
  </w:style>
  <w:style w:styleId="style21" w:type="paragraph">
    <w:name w:val="Index"/>
    <w:basedOn w:val="style0"/>
    <w:next w:val="style21"/>
    <w:pPr>
      <w:suppressLineNumbers/>
    </w:pPr>
    <w:rPr>
      <w:rFonts w:cs="Lucida Sans"/>
    </w:rPr>
  </w:style>
  <w:style w:styleId="style22" w:type="paragraph">
    <w:name w:val="caption"/>
    <w:basedOn w:val="style0"/>
    <w:next w:val="style22"/>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2015-08-13T03:17:00.00Z</dcterms:created>
  <cp:lastModifiedBy>Maria Hamilton</cp:lastModifiedBy>
  <dcterms:modified xsi:type="dcterms:W3CDTF">2015-08-13T03:17:00.00Z</dcterms:modified>
  <cp:revision>2</cp:revision>
</cp:coreProperties>
</file>