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Outline</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Investigating the dynamics of cryptophyte algae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in past publications on the Columbia River Estuary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 xml:space="preserve">-explain stuff about name change? New genetic analysis and “medusa form” (Garcia-Cuetos et al., </w:t>
        <w:tab/>
        <w:t>2012)</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 xml:space="preserve">-how much should I explain about what a mixotroph is? Is it explained well enough in the </w:t>
        <w:tab/>
        <w:t>paragraph below?</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-transition sentence to put the focus back on the cryptophytes</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Reasons for the timing, patchiness, and persistence of the bloom are not yet fully understood. 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have been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Though free-living T. amphioexa</w:t>
      </w:r>
      <w:r>
        <w:rPr>
          <w:rFonts w:ascii="Calibri" w:hAnsi="Calibri"/>
          <w:b w:val="false"/>
          <w:bCs w:val="false"/>
          <w:i w:val="false"/>
          <w:iCs w:val="false"/>
        </w:rPr>
        <w:t xml:space="preserve"> are low in number during the red tide blooms (Herfort et al., 2011b), the presence and growth dynamics of these cryptophytes have the potential to be key factors in the proliferation of their ciliate predator.</w:t>
      </w:r>
    </w:p>
    <w:p>
      <w:pPr>
        <w:pStyle w:val="style0"/>
        <w:spacing w:line="360" w:lineRule="auto"/>
      </w:pPr>
      <w:r>
        <w:rPr/>
      </w:r>
    </w:p>
    <w:p>
      <w:pPr>
        <w:pStyle w:val="style0"/>
        <w:spacing w:line="360" w:lineRule="auto"/>
      </w:pPr>
      <w:r>
        <w:rPr>
          <w:rFonts w:ascii="Calibri" w:hAnsi="Calibri"/>
        </w:rPr>
        <w:t>Our major questions:</w:t>
      </w:r>
    </w:p>
    <w:p>
      <w:pPr>
        <w:pStyle w:val="style0"/>
        <w:spacing w:line="360" w:lineRule="auto"/>
      </w:pPr>
      <w:r>
        <w:rPr>
          <w:rFonts w:ascii="Calibri" w:hAnsi="Calibri"/>
        </w:rPr>
        <w:tab/>
        <w:t>-How do the growth rates of the cryptophytes change throughout the bloom?</w:t>
      </w:r>
    </w:p>
    <w:p>
      <w:pPr>
        <w:pStyle w:val="style0"/>
        <w:spacing w:line="360" w:lineRule="auto"/>
      </w:pPr>
      <w:r>
        <w:rPr>
          <w:rFonts w:ascii="Calibri" w:hAnsi="Calibri"/>
        </w:rPr>
        <w:tab/>
        <w:t xml:space="preserve">-Is there a relationship between cryptophyte growth rate and abundance of </w:t>
      </w:r>
      <w:r>
        <w:rPr>
          <w:rFonts w:ascii="Calibri" w:hAnsi="Calibri"/>
          <w:i/>
          <w:iCs/>
          <w:u w:val="none"/>
        </w:rPr>
        <w:t>M. major</w:t>
      </w:r>
      <w:r>
        <w:rPr>
          <w:rFonts w:ascii="Calibri" w:hAnsi="Calibri"/>
        </w:rPr>
        <w:t>?</w:t>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How are we doing this?:</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-continuous flow cytometry, size-structured growth model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Other potentially important stuff to include in introduction:</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-cryptophyte chloroplast pigments are well adapted to dim light, turbid waters of CRE (Herfort et </w:t>
        <w:tab/>
        <w:t>al., 2012)</w:t>
      </w:r>
    </w:p>
    <w:p>
      <w:pPr>
        <w:pStyle w:val="style0"/>
        <w:spacing w:line="360" w:lineRule="auto"/>
      </w:pPr>
      <w:r>
        <w:rPr/>
        <w:tab/>
        <w:t>-</w:t>
      </w:r>
      <w:r>
        <w:rPr>
          <w:rFonts w:ascii="Calibri" w:hAnsi="Calibri"/>
        </w:rPr>
        <w:t xml:space="preserve">data showing cryptophyte counts in relation to </w:t>
      </w:r>
      <w:r>
        <w:rPr>
          <w:rFonts w:ascii="Calibri" w:hAnsi="Calibri"/>
          <w:i/>
          <w:iCs/>
        </w:rPr>
        <w:t>M. major</w:t>
      </w:r>
      <w:r>
        <w:rPr>
          <w:rFonts w:ascii="Calibri" w:hAnsi="Calibri"/>
        </w:rPr>
        <w:t xml:space="preserve"> (Peterson, 2012)</w:t>
      </w:r>
    </w:p>
    <w:p>
      <w:pPr>
        <w:pStyle w:val="style0"/>
        <w:spacing w:line="360" w:lineRule="auto"/>
      </w:pPr>
      <w:r>
        <w:rPr>
          <w:rFonts w:ascii="Calibri" w:hAnsi="Calibri"/>
        </w:rPr>
        <w:tab/>
        <w:t>-some of the data from (Herfort et al., 2011b) on bloom initiation:</w:t>
      </w:r>
    </w:p>
    <w:p>
      <w:pPr>
        <w:pStyle w:val="style0"/>
        <w:spacing w:line="360" w:lineRule="auto"/>
      </w:pPr>
      <w:r>
        <w:rPr>
          <w:rFonts w:ascii="Calibri" w:hAnsi="Calibri"/>
        </w:rPr>
        <w:tab/>
        <w:tab/>
        <w:t>-</w:t>
      </w:r>
      <w:r>
        <w:rPr>
          <w:rFonts w:ascii="Calibri" w:hAnsi="Calibri"/>
          <w:b w:val="false"/>
          <w:bCs w:val="false"/>
        </w:rPr>
        <w:t xml:space="preserve">saltwater intrusion and subsequent temporary decrease in turbulence has recently been </w:t>
        <w:tab/>
        <w:tab/>
        <w:t>shown, along with coinciding neap tides, to correlate with the initiation of bloom</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in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This tidal forcing, in combination with the seasonality of freshwater discharge, </w:t>
      </w:r>
      <w:r>
        <w:rPr>
          <w:rFonts w:ascii="Calibri" w:hAnsi="Calibri"/>
          <w:b w:val="false"/>
          <w:bCs w:val="false"/>
        </w:rPr>
        <w:t>results in an extended summer saltwater intrusion (Chawla et al., 2008).</w:t>
      </w:r>
      <w:r>
        <w:rPr>
          <w:rFonts w:ascii="Calibri" w:hAnsi="Calibri"/>
        </w:rPr>
        <w:t xml:space="preserve">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20uL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20uL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The 1mL samples of Rhodomonas sp.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flow </w:t>
        <w:tab/>
        <w:t xml:space="preserve">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PZ writes this (?)</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cells from the gated population of supposed “cryptophytes” were sorted onto a glass slide. The cells were then examined under a Nikon Eclipse 80i epifluorescent microscope at 20x magnification and photographed using a Qimaging MicroPublisher 3.3 RTV camera.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not sure who did this part? </w:t>
      </w:r>
    </w:p>
    <w:p>
      <w:pPr>
        <w:pStyle w:val="style0"/>
        <w:spacing w:line="360" w:lineRule="auto"/>
      </w:pPr>
      <w:r>
        <w:rPr/>
      </w:r>
    </w:p>
    <w:p>
      <w:pPr>
        <w:pStyle w:val="style0"/>
        <w:spacing w:line="360" w:lineRule="auto"/>
      </w:pPr>
      <w:r>
        <w:rPr>
          <w:rFonts w:ascii="Calibri" w:hAnsi="Calibri"/>
          <w:b/>
          <w:bCs/>
        </w:rPr>
        <w:t>SeaFlow Data Analysis (?)</w:t>
      </w:r>
    </w:p>
    <w:p>
      <w:pPr>
        <w:pStyle w:val="style0"/>
        <w:spacing w:line="360" w:lineRule="auto"/>
      </w:pPr>
      <w:r>
        <w:rPr>
          <w:rFonts w:ascii="Calibri" w:hAnsi="Calibri"/>
          <w:b w:val="false"/>
          <w:bCs w:val="false"/>
        </w:rPr>
        <w:t>Talk about popcycle here? (This section can be moved.)</w:t>
      </w:r>
    </w:p>
    <w:p>
      <w:pPr>
        <w:pStyle w:val="style0"/>
        <w:spacing w:line="360" w:lineRule="auto"/>
      </w:pPr>
      <w:r>
        <w:rPr>
          <w:rFonts w:ascii="Calibri" w:hAnsi="Calibri"/>
          <w:b w:val="false"/>
          <w:bCs w:val="false"/>
        </w:rPr>
        <w:tab/>
        <w:t>-SeaFlow file conversion</w:t>
      </w:r>
    </w:p>
    <w:p>
      <w:pPr>
        <w:pStyle w:val="style0"/>
        <w:spacing w:line="360" w:lineRule="auto"/>
      </w:pPr>
      <w:r>
        <w:rPr>
          <w:rFonts w:ascii="Calibri" w:hAnsi="Calibri"/>
          <w:b w:val="false"/>
          <w:bCs w:val="false"/>
        </w:rPr>
        <w:tab/>
        <w:t>-evt files filtered with blah filtering parameters used throughout time course</w:t>
      </w:r>
    </w:p>
    <w:p>
      <w:pPr>
        <w:pStyle w:val="style0"/>
        <w:spacing w:line="360" w:lineRule="auto"/>
      </w:pPr>
      <w:r>
        <w:rPr>
          <w:rFonts w:ascii="Calibri" w:hAnsi="Calibri"/>
          <w:b w:val="false"/>
          <w:bCs w:val="false"/>
        </w:rPr>
        <w:tab/>
        <w:t xml:space="preserve">-manual clustering of beads and “cryptophyte” population applied to single time point file and then </w:t>
        <w:tab/>
        <w:t>used throughout time course</w:t>
      </w:r>
    </w:p>
    <w:p>
      <w:pPr>
        <w:pStyle w:val="style0"/>
        <w:spacing w:line="360" w:lineRule="auto"/>
      </w:pPr>
      <w:r>
        <w:rPr>
          <w:rFonts w:ascii="Calibri" w:hAnsi="Calibri"/>
          <w:b w:val="false"/>
          <w:bCs w:val="false"/>
        </w:rPr>
        <w:tab/>
        <w:t xml:space="preserve">-https://github.com/uwescience/popcycle </w:t>
      </w:r>
    </w:p>
    <w:p>
      <w:pPr>
        <w:pStyle w:val="style0"/>
        <w:spacing w:line="360" w:lineRule="auto"/>
      </w:pPr>
      <w:r>
        <w:rPr/>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Not sure if this should also go here or not?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r>
    </w:p>
    <w:p>
      <w:pPr>
        <w:pStyle w:val="style0"/>
        <w:spacing w:line="360" w:lineRule="auto"/>
      </w:pPr>
      <w:r>
        <w:rPr>
          <w:rFonts w:ascii="Calibri" w:hAnsi="Calibri"/>
        </w:rPr>
        <w:tab/>
        <w:t xml:space="preserve">-might also need some help explaining model here...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w:t>
      </w:r>
      <w:r>
        <w:rPr>
          <w:rFonts w:ascii="Calibri" w:hAnsi="Calibri"/>
          <w:b w:val="false"/>
          <w:bCs w:val="false"/>
        </w:rPr>
        <w:t>).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t xml:space="preserve">-not sure what to say about PAR data?? </w:t>
      </w:r>
    </w:p>
    <w:p>
      <w:pPr>
        <w:pStyle w:val="style0"/>
        <w:spacing w:line="360" w:lineRule="auto"/>
      </w:pPr>
      <w:r>
        <w:rPr>
          <w:rFonts w:ascii="Calibri" w:hAnsi="Calibri"/>
          <w:b w:val="false"/>
          <w:bCs w:val="false"/>
        </w:rPr>
        <w:tab/>
        <w:t xml:space="preserve">-after writing it, some of the stuff that I mention above about the saltier, colder water coming in </w:t>
        <w:tab/>
        <w:t>with the tide now seems really obvious and I'm not sure I even need to include it?</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bCs/>
        </w:rPr>
        <w:tab/>
      </w:r>
      <w:r>
        <w:rPr>
          <w:rFonts w:ascii="Calibri" w:hAnsi="Calibri"/>
          <w:b w:val="false"/>
          <w:bCs w:val="false"/>
        </w:rPr>
        <w:t xml:space="preserve">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um)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0.023 to 9.78 (units?)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PAR (</w:t>
      </w:r>
      <w:r>
        <w:rPr>
          <w:rFonts w:ascii="Calibri" w:hAnsi="Calibri"/>
          <w:b/>
          <w:bCs/>
        </w:rPr>
        <w:t>fig. 5</w:t>
      </w:r>
      <w:r>
        <w:rPr>
          <w:rFonts w:ascii="Calibri" w:hAnsi="Calibri"/>
          <w:b w:val="false"/>
          <w:bCs w:val="false"/>
        </w:rPr>
        <w:t>) (check p values). Additionally, there was no relationship between cryptophyte abundance and division rate (data not shown?).</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mL⁻¹ (</w:t>
      </w:r>
      <w:r>
        <w:rPr>
          <w:rFonts w:ascii="Calibri" w:cs="Calibri" w:eastAsia="Calibri" w:hAnsi="Calibri"/>
          <w:b/>
          <w:bCs/>
          <w:i w:val="false"/>
          <w:iCs w:val="false"/>
        </w:rPr>
        <w:t>table 1</w:t>
      </w:r>
      <w:r>
        <w:rPr>
          <w:rFonts w:ascii="Calibri" w:cs="Calibri" w:eastAsia="Calibri" w:hAnsi="Calibri"/>
          <w:b w:val="false"/>
          <w:bCs w:val="false"/>
          <w:i w:val="false"/>
          <w:iCs w:val="false"/>
        </w:rPr>
        <w:t>)...</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agreeing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blah and blah number of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val="false"/>
          <w:bCs w:val="false"/>
          <w:sz w:val="24"/>
          <w:szCs w:val="24"/>
        </w:rPr>
        <w:t>Discussion of high growth rates, model:</w:t>
      </w:r>
    </w:p>
    <w:p>
      <w:pPr>
        <w:pStyle w:val="style0"/>
        <w:spacing w:line="360" w:lineRule="auto"/>
      </w:pPr>
      <w:r>
        <w:rPr>
          <w:rFonts w:ascii="Calibri" w:hAnsi="Calibri"/>
          <w:b w:val="false"/>
          <w:bCs w:val="false"/>
          <w:sz w:val="24"/>
          <w:szCs w:val="24"/>
        </w:rPr>
        <w:t xml:space="preserve">-Why do we have such high growth rates? Is it the model assumptions being violated or are these cryptophytes just growing crazy fast? </w:t>
      </w:r>
    </w:p>
    <w:p>
      <w:pPr>
        <w:pStyle w:val="style0"/>
        <w:spacing w:line="360" w:lineRule="auto"/>
      </w:pPr>
      <w:r>
        <w:rPr>
          <w:rFonts w:ascii="Calibri" w:hAnsi="Calibri"/>
          <w:b w:val="false"/>
          <w:bCs w:val="false"/>
          <w:sz w:val="24"/>
          <w:szCs w:val="24"/>
        </w:rPr>
        <w:tab/>
        <w:t xml:space="preserve">-growth rates for </w:t>
      </w:r>
      <w:r>
        <w:rPr>
          <w:rFonts w:ascii="Calibri" w:hAnsi="Calibri"/>
          <w:b w:val="false"/>
          <w:bCs w:val="false"/>
          <w:i/>
          <w:iCs/>
          <w:sz w:val="24"/>
          <w:szCs w:val="24"/>
        </w:rPr>
        <w:t>M. major</w:t>
      </w:r>
      <w:r>
        <w:rPr>
          <w:rFonts w:ascii="Calibri" w:hAnsi="Calibri"/>
          <w:b w:val="false"/>
          <w:bCs w:val="false"/>
          <w:sz w:val="24"/>
          <w:szCs w:val="24"/>
        </w:rPr>
        <w:t xml:space="preserve"> found in CRE (Herfort, 2011; Peterson, 2012) are way higher than </w:t>
        <w:tab/>
        <w:t xml:space="preserve">culture, does this mean that our crazy high growth rates for the cryptophytes could potentially be </w:t>
        <w:tab/>
        <w:t>true?</w:t>
      </w:r>
    </w:p>
    <w:p>
      <w:pPr>
        <w:pStyle w:val="style0"/>
        <w:spacing w:line="360" w:lineRule="auto"/>
      </w:pPr>
      <w:r>
        <w:rPr>
          <w:rFonts w:ascii="Calibri" w:hAnsi="Calibri"/>
          <w:b w:val="false"/>
          <w:bCs w:val="false"/>
          <w:sz w:val="24"/>
          <w:szCs w:val="24"/>
        </w:rPr>
        <w:tab/>
        <w:t xml:space="preserve">-does this potentially have any larger implications for those studying algae growth in culture? </w:t>
      </w:r>
    </w:p>
    <w:p>
      <w:pPr>
        <w:pStyle w:val="style0"/>
        <w:spacing w:line="360" w:lineRule="auto"/>
      </w:pPr>
      <w:r>
        <w:rPr>
          <w:rFonts w:ascii="Calibri" w:hAnsi="Calibri"/>
          <w:b w:val="false"/>
          <w:bCs w:val="false"/>
          <w:sz w:val="24"/>
          <w:szCs w:val="24"/>
        </w:rPr>
        <w:t>-explain limitations of model, how some of the assumptions may have been violated</w:t>
      </w:r>
    </w:p>
    <w:p>
      <w:pPr>
        <w:pStyle w:val="style0"/>
        <w:spacing w:line="360" w:lineRule="auto"/>
      </w:pPr>
      <w:r>
        <w:rPr>
          <w:rFonts w:ascii="Calibri" w:hAnsi="Calibri"/>
          <w:b w:val="false"/>
          <w:bCs w:val="false"/>
          <w:sz w:val="24"/>
          <w:szCs w:val="24"/>
        </w:rPr>
        <w:tab/>
        <w:t xml:space="preserve">-we could have multiple taxonomic groups of cryptophytes with different physiologies represented </w:t>
        <w:tab/>
        <w:t>within the population of cryptophytes that we observe with SeaFlow</w:t>
      </w:r>
    </w:p>
    <w:p>
      <w:pPr>
        <w:pStyle w:val="style0"/>
        <w:spacing w:line="360" w:lineRule="auto"/>
      </w:pPr>
      <w:r>
        <w:rPr>
          <w:rFonts w:ascii="Calibri" w:hAnsi="Calibri"/>
          <w:b w:val="false"/>
          <w:bCs w:val="false"/>
          <w:sz w:val="24"/>
          <w:szCs w:val="24"/>
        </w:rPr>
        <w:tab/>
        <w:t xml:space="preserve">-evidence of trouble with model parameter optimization (hitting extremes during last two weeks </w:t>
        <w:tab/>
        <w:t>where we are also observing the highest division rates) (parameter plot in supplemental data)</w:t>
      </w:r>
    </w:p>
    <w:p>
      <w:pPr>
        <w:pStyle w:val="style0"/>
        <w:spacing w:line="360" w:lineRule="auto"/>
      </w:pPr>
      <w:r>
        <w:rPr/>
      </w:r>
    </w:p>
    <w:p>
      <w:pPr>
        <w:pStyle w:val="style0"/>
        <w:spacing w:line="360" w:lineRule="auto"/>
      </w:pPr>
      <w:r>
        <w:rPr>
          <w:rFonts w:ascii="Calibri" w:hAnsi="Calibri"/>
          <w:b w:val="false"/>
          <w:bCs w:val="false"/>
          <w:sz w:val="24"/>
          <w:szCs w:val="24"/>
        </w:rPr>
        <w:t xml:space="preserve">Discussion of </w:t>
      </w:r>
      <w:r>
        <w:rPr>
          <w:rFonts w:ascii="Calibri" w:hAnsi="Calibri"/>
          <w:b w:val="false"/>
          <w:bCs w:val="false"/>
          <w:i/>
          <w:iCs/>
          <w:sz w:val="24"/>
          <w:szCs w:val="24"/>
        </w:rPr>
        <w:t>T. amphioexa</w:t>
      </w:r>
      <w:r>
        <w:rPr>
          <w:rFonts w:ascii="Calibri" w:hAnsi="Calibri"/>
          <w:b w:val="false"/>
          <w:bCs w:val="false"/>
          <w:sz w:val="24"/>
          <w:szCs w:val="24"/>
        </w:rPr>
        <w:t xml:space="preserve"> in relation to </w:t>
      </w:r>
      <w:r>
        <w:rPr>
          <w:rFonts w:ascii="Calibri" w:hAnsi="Calibri"/>
          <w:b w:val="false"/>
          <w:bCs w:val="false"/>
          <w:i/>
          <w:iCs/>
          <w:sz w:val="24"/>
          <w:szCs w:val="24"/>
        </w:rPr>
        <w:t xml:space="preserve">M. major: </w:t>
      </w:r>
    </w:p>
    <w:p>
      <w:pPr>
        <w:pStyle w:val="style0"/>
        <w:spacing w:line="360" w:lineRule="auto"/>
      </w:pPr>
      <w:r>
        <w:rPr>
          <w:rFonts w:ascii="Calibri" w:hAnsi="Calibri"/>
          <w:b w:val="false"/>
          <w:bCs w:val="false"/>
          <w:sz w:val="24"/>
          <w:szCs w:val="24"/>
        </w:rPr>
        <w:t xml:space="preserve">-still low abundances of free-living </w:t>
      </w:r>
      <w:r>
        <w:rPr>
          <w:rFonts w:ascii="Calibri" w:hAnsi="Calibri"/>
          <w:b w:val="false"/>
          <w:bCs w:val="false"/>
          <w:i/>
          <w:iCs/>
          <w:sz w:val="24"/>
          <w:szCs w:val="24"/>
        </w:rPr>
        <w:t>T. amphioexa</w:t>
      </w:r>
      <w:r>
        <w:rPr>
          <w:rFonts w:ascii="Calibri" w:hAnsi="Calibri"/>
          <w:b w:val="false"/>
          <w:bCs w:val="false"/>
          <w:sz w:val="24"/>
          <w:szCs w:val="24"/>
        </w:rPr>
        <w:t xml:space="preserve">, but why? </w:t>
      </w:r>
    </w:p>
    <w:p>
      <w:pPr>
        <w:pStyle w:val="style0"/>
        <w:spacing w:line="360" w:lineRule="auto"/>
      </w:pPr>
      <w:r>
        <w:rPr>
          <w:rFonts w:ascii="Calibri" w:hAnsi="Calibri"/>
          <w:b w:val="false"/>
          <w:bCs w:val="false"/>
          <w:sz w:val="24"/>
          <w:szCs w:val="24"/>
        </w:rPr>
        <w:tab/>
        <w:t>-could be attached to cirri, can be up to 50 cryptophytes attached (Peterson et al., 2012)</w:t>
      </w:r>
    </w:p>
    <w:p>
      <w:pPr>
        <w:pStyle w:val="style0"/>
        <w:spacing w:line="360" w:lineRule="auto"/>
      </w:pPr>
      <w:r>
        <w:rPr>
          <w:rFonts w:ascii="Calibri" w:hAnsi="Calibri"/>
          <w:b w:val="false"/>
          <w:bCs w:val="false"/>
          <w:sz w:val="24"/>
          <w:szCs w:val="24"/>
        </w:rPr>
        <w:tab/>
        <w:t xml:space="preserve">-could be inside </w:t>
      </w:r>
      <w:r>
        <w:rPr>
          <w:rFonts w:ascii="Calibri" w:hAnsi="Calibri"/>
          <w:b w:val="false"/>
          <w:bCs w:val="false"/>
          <w:i/>
          <w:iCs/>
          <w:sz w:val="24"/>
          <w:szCs w:val="24"/>
        </w:rPr>
        <w:t>M. major</w:t>
      </w:r>
      <w:r>
        <w:rPr>
          <w:rFonts w:ascii="Calibri" w:hAnsi="Calibri"/>
          <w:b w:val="false"/>
          <w:bCs w:val="false"/>
          <w:sz w:val="24"/>
          <w:szCs w:val="24"/>
        </w:rPr>
        <w:t xml:space="preserve"> (use FISH probe picture from PZ and cite as “unpublished data”?)</w:t>
      </w:r>
    </w:p>
    <w:p>
      <w:pPr>
        <w:pStyle w:val="style0"/>
        <w:spacing w:line="360" w:lineRule="auto"/>
      </w:pPr>
      <w:r>
        <w:rPr>
          <w:rFonts w:ascii="Calibri" w:hAnsi="Calibri"/>
          <w:b w:val="false"/>
          <w:bCs w:val="false"/>
          <w:sz w:val="24"/>
          <w:szCs w:val="24"/>
        </w:rPr>
        <w:t xml:space="preserve">-mention that the day after the day with the highest M. major abundance has the lowest % of </w:t>
      </w:r>
      <w:r>
        <w:rPr>
          <w:rFonts w:ascii="Calibri" w:hAnsi="Calibri"/>
          <w:b w:val="false"/>
          <w:bCs w:val="false"/>
          <w:i/>
          <w:iCs/>
          <w:sz w:val="24"/>
          <w:szCs w:val="24"/>
        </w:rPr>
        <w:t>T. amphioexa</w:t>
      </w:r>
      <w:r>
        <w:rPr>
          <w:rFonts w:ascii="Calibri" w:hAnsi="Calibri"/>
          <w:b w:val="false"/>
          <w:bCs w:val="false"/>
          <w:sz w:val="24"/>
          <w:szCs w:val="24"/>
        </w:rPr>
        <w:t>, could potentially suggest selective grazing??? (</w:t>
      </w:r>
      <w:r>
        <w:rPr>
          <w:rFonts w:ascii="Calibri" w:hAnsi="Calibri"/>
          <w:b/>
          <w:bCs/>
          <w:sz w:val="24"/>
          <w:szCs w:val="24"/>
        </w:rPr>
        <w:t>table 1</w:t>
      </w:r>
      <w:r>
        <w:rPr>
          <w:rFonts w:ascii="Calibri" w:hAnsi="Calibri"/>
          <w:b w:val="false"/>
          <w:bCs w:val="false"/>
          <w:sz w:val="24"/>
          <w:szCs w:val="24"/>
        </w:rPr>
        <w:t>)</w:t>
      </w:r>
    </w:p>
    <w:p>
      <w:pPr>
        <w:pStyle w:val="style0"/>
        <w:spacing w:line="360" w:lineRule="auto"/>
      </w:pPr>
      <w:r>
        <w:rPr>
          <w:rFonts w:ascii="Calibri" w:hAnsi="Calibri"/>
          <w:b w:val="false"/>
          <w:bCs w:val="false"/>
          <w:sz w:val="24"/>
          <w:szCs w:val="24"/>
        </w:rPr>
        <w:tab/>
        <w:t>-but the dinos could also be selectively grazing too (we have pics of dinos)</w:t>
      </w:r>
    </w:p>
    <w:p>
      <w:pPr>
        <w:pStyle w:val="style0"/>
        <w:spacing w:line="360" w:lineRule="auto"/>
      </w:pPr>
      <w:r>
        <w:rPr>
          <w:rFonts w:ascii="Calibri" w:hAnsi="Calibri"/>
          <w:b w:val="false"/>
          <w:bCs w:val="false"/>
          <w:sz w:val="24"/>
          <w:szCs w:val="24"/>
        </w:rPr>
        <w:t xml:space="preserve">-discuss grazing rates seen in culture for </w:t>
      </w:r>
      <w:r>
        <w:rPr>
          <w:rFonts w:ascii="Calibri" w:hAnsi="Calibri"/>
          <w:b w:val="false"/>
          <w:bCs w:val="false"/>
          <w:i/>
          <w:iCs/>
          <w:sz w:val="24"/>
          <w:szCs w:val="24"/>
        </w:rPr>
        <w:t>Mesodinium sp.</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Fonts w:ascii="Calibri" w:hAnsi="Calibri"/>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Fonts w:ascii="Calibri" w:hAnsi="Calibri"/>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Fonts w:ascii="Calibri" w:hAnsi="Calibri"/>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Fonts w:ascii="Calibri" w:hAnsi="Calibri"/>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Fonts w:ascii="Calibri" w:hAnsi="Calibri"/>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Fonts w:ascii="Calibri" w:hAnsi="Calibri"/>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spacing w:line="360" w:lineRule="auto"/>
      </w:pPr>
      <w:r>
        <w:rPr>
          <w:rFonts w:ascii="Calibri" w:hAnsi="Calibri"/>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
    </w:p>
    <w:sectPr>
      <w:type w:val="nextPage"/>
      <w:pgSz w:h="15840" w:w="12240"/>
      <w:pgMar w:bottom="936" w:footer="0" w:gutter="0" w:header="0" w:left="936" w:right="936" w:top="93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2015-06-26T13:45:27.00Z</dcterms:created>
  <cp:revision>0</cp:revision>
</cp:coreProperties>
</file>