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Title: </w:t>
      </w:r>
      <w:r>
        <w:rPr>
          <w:rFonts w:ascii="Calibri" w:hAnsi="Calibri"/>
          <w:b w:val="false"/>
          <w:bCs w:val="false"/>
          <w:sz w:val="24"/>
          <w:szCs w:val="24"/>
        </w:rPr>
        <w:t xml:space="preserve">Investigating the dynamics of cryptophyte algae in the Columbia River Estuary </w:t>
      </w:r>
    </w:p>
    <w:p>
      <w:pPr>
        <w:pStyle w:val="style0"/>
      </w:pPr>
      <w:r>
        <w:rPr/>
      </w:r>
    </w:p>
    <w:p>
      <w:pPr>
        <w:pStyle w:val="style0"/>
      </w:pPr>
      <w:r>
        <w:rPr>
          <w:rFonts w:ascii="Calibri" w:hAnsi="Calibri"/>
          <w:b/>
          <w:bCs/>
          <w:sz w:val="32"/>
          <w:szCs w:val="32"/>
        </w:rPr>
        <w:t>Abstract</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sz w:val="32"/>
          <w:szCs w:val="32"/>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in past publications on the Columbia River Estuary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-explain stuff about name change? Genetic analysis and “medusa form”</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-how much should I explain about what a mixotroph is? Is it explained well enough in the paragraph below?</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-general information about cryptophytes</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-transition sentence to put the focus back on the cryptophytes</w:t>
      </w:r>
    </w:p>
    <w:p>
      <w:pPr>
        <w:pStyle w:val="style0"/>
        <w:tabs>
          <w:tab w:leader="none" w:pos="709" w:val="left"/>
          <w:tab w:leader="none" w:pos="5265" w:val="left"/>
        </w:tabs>
        <w:spacing w:line="360" w:lineRule="auto"/>
      </w:pPr>
      <w:r>
        <w:rPr>
          <w:sz w:val="32"/>
          <w:szCs w:val="32"/>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Mesodinium sp.</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Mesodinium sp.</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Though free-living T. amphioexa</w:t>
      </w:r>
      <w:r>
        <w:rPr>
          <w:rFonts w:ascii="Calibri" w:hAnsi="Calibri"/>
          <w:b w:val="false"/>
          <w:bCs w:val="false"/>
          <w:i w:val="false"/>
          <w:iCs w:val="false"/>
        </w:rPr>
        <w:t xml:space="preserve"> are low in number during the red tide blooms (Herfort et al., 2011b), the presence and growth dynamics of these cryptophytes have the potential to be key factors in the proliferation of their ciliate predator.</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-How do the growth rates of the cryptophytes change throughout the bloom?</w:t>
      </w:r>
    </w:p>
    <w:p>
      <w:pPr>
        <w:pStyle w:val="style0"/>
        <w:spacing w:line="360" w:lineRule="auto"/>
      </w:pPr>
      <w:r>
        <w:rPr>
          <w:rFonts w:ascii="Calibri" w:hAnsi="Calibri"/>
        </w:rPr>
        <w:t xml:space="preserve">-Is there a relationship between cryptophyte growth rate and abundance of </w:t>
      </w:r>
      <w:r>
        <w:rPr>
          <w:rFonts w:ascii="Calibri" w:hAnsi="Calibri"/>
          <w:i/>
          <w:iCs/>
          <w:u w:val="none"/>
        </w:rPr>
        <w:t>Mesodinium sp.</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 xml:space="preserve">-continuous flow cytometry, size-structured growth model, etc.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Other potentially important stuff to include:</w:t>
      </w:r>
    </w:p>
    <w:p>
      <w:pPr>
        <w:pStyle w:val="style0"/>
        <w:tabs>
          <w:tab w:leader="none" w:pos="709" w:val="left"/>
          <w:tab w:leader="none" w:pos="5265" w:val="left"/>
        </w:tabs>
        <w:spacing w:line="360" w:lineRule="auto"/>
      </w:pPr>
      <w:r>
        <w:rPr>
          <w:rFonts w:ascii="Calibri" w:hAnsi="Calibri"/>
          <w:b w:val="false"/>
          <w:bCs w:val="false"/>
          <w:i w:val="false"/>
          <w:iCs w:val="false"/>
        </w:rPr>
        <w:t>-cryptophyte chloroplast pigments are well adapted to dim light, turbid waters of CRE (Herfort, 2011a ?)</w:t>
      </w:r>
    </w:p>
    <w:p>
      <w:pPr>
        <w:pStyle w:val="style0"/>
        <w:spacing w:line="360" w:lineRule="auto"/>
      </w:pPr>
      <w:r>
        <w:rPr/>
        <w:t>-</w:t>
      </w:r>
      <w:r>
        <w:rPr>
          <w:rFonts w:ascii="Calibri" w:hAnsi="Calibri"/>
        </w:rPr>
        <w:t>data showing cryptophyte counts in relation to Mesodinium (Peterson, 2012)</w:t>
      </w:r>
    </w:p>
    <w:p>
      <w:pPr>
        <w:pStyle w:val="style0"/>
      </w:pPr>
      <w:r>
        <w:rPr>
          <w:rFonts w:ascii="Calibri" w:hAnsi="Calibri"/>
          <w:b/>
          <w:bCs/>
          <w:sz w:val="32"/>
          <w:szCs w:val="32"/>
        </w:rPr>
        <w:t>Methods</w:t>
      </w:r>
    </w:p>
    <w:p>
      <w:pPr>
        <w:pStyle w:val="style0"/>
      </w:pPr>
      <w:r>
        <w:rPr/>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figure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SeaFlow was stationed on a dock outside of Astoria, OR (</w:t>
      </w:r>
      <w:r>
        <w:rPr>
          <w:rFonts w:ascii="Calibri" w:hAnsi="Calibri"/>
          <w:b/>
          <w:bCs/>
        </w:rPr>
        <w:t>figure 1</w:t>
      </w:r>
      <w:r>
        <w:rPr>
          <w:rFonts w:ascii="Calibri" w:hAnsi="Calibri"/>
        </w:rPr>
        <w:t xml:space="preserve">) and set up to run continuous measurements of surface water for up to blah days each week for four weeks in September-October 2013. Discrete samples for </w:t>
      </w:r>
      <w:r>
        <w:rPr>
          <w:rFonts w:ascii="Calibri" w:hAnsi="Calibri"/>
          <w:i/>
          <w:iCs/>
        </w:rPr>
        <w:t>Mesodinium sp.</w:t>
      </w:r>
      <w:r>
        <w:rPr>
          <w:rFonts w:ascii="Calibri" w:hAnsi="Calibri"/>
        </w:rPr>
        <w:t xml:space="preserve"> enumeration and for flow cytometry were taken at three depths. Additional samples were collected for analysis of nutrients. </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936_918047637"/>
      <w:r>
        <w:rPr>
          <w:rFonts w:ascii="Calibri" w:cs="Lucida Sans" w:eastAsia="SimSun" w:hAnsi="Calibri"/>
        </w:rPr>
        <w:t>°</w:t>
      </w:r>
      <w:r>
        <w:rPr>
          <w:rFonts w:ascii="Calibri" w:hAnsi="Calibri"/>
        </w:rPr>
        <w:t>C</w:t>
      </w:r>
      <w:bookmarkEnd w:id="1"/>
      <w:r>
        <w:rPr>
          <w:rFonts w:ascii="Calibri" w:hAnsi="Calibri"/>
        </w:rPr>
        <w:t xml:space="preserve"> in f/2 seawater media under a (16:8) light-dark cycle. The abundances of daily 1mL samples of Rhodomonas sp.</w:t>
      </w:r>
      <w:r>
        <w:rPr>
          <w:rFonts w:ascii="Calibri" w:hAnsi="Calibri"/>
        </w:rPr>
        <w:t xml:space="preserve">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20mL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b/>
          <w:bCs/>
          <w:i/>
          <w:iCs/>
        </w:rPr>
        <w:t>Mesodinium sp.</w:t>
      </w:r>
      <w:r>
        <w:rPr>
          <w:rFonts w:ascii="Calibri" w:hAnsi="Calibri"/>
          <w:b/>
          <w:bCs/>
        </w:rPr>
        <w:t xml:space="preserve"> Enumeration </w:t>
      </w:r>
    </w:p>
    <w:p>
      <w:pPr>
        <w:pStyle w:val="style0"/>
        <w:spacing w:line="360" w:lineRule="auto"/>
      </w:pPr>
      <w:r>
        <w:rPr>
          <w:b/>
          <w:bCs/>
        </w:rPr>
      </w:r>
    </w:p>
    <w:p>
      <w:pPr>
        <w:pStyle w:val="style0"/>
        <w:spacing w:line="360" w:lineRule="auto"/>
      </w:pPr>
      <w:r>
        <w:rPr>
          <w:rFonts w:ascii="Calibri" w:hAnsi="Calibri"/>
          <w:b/>
          <w:bCs/>
        </w:rPr>
        <w:t xml:space="preserve">Flow Cytometry Sorting – Light microscopy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rPr>
        <w:tab/>
      </w:r>
    </w:p>
    <w:p>
      <w:pPr>
        <w:pStyle w:val="style0"/>
        <w:spacing w:line="360" w:lineRule="auto"/>
      </w:pPr>
      <w:r>
        <w:rPr>
          <w:rFonts w:ascii="Calibri" w:hAnsi="Calibri"/>
          <w:b/>
          <w:bCs/>
          <w:sz w:val="32"/>
          <w:szCs w:val="32"/>
        </w:rPr>
        <w:t xml:space="preserve">Results </w:t>
      </w:r>
    </w:p>
    <w:p>
      <w:pPr>
        <w:pStyle w:val="style0"/>
        <w:spacing w:line="360" w:lineRule="auto"/>
      </w:pPr>
      <w:r>
        <w:rPr>
          <w:sz w:val="32"/>
          <w:szCs w:val="32"/>
        </w:rPr>
      </w:r>
    </w:p>
    <w:p>
      <w:pPr>
        <w:pStyle w:val="style0"/>
        <w:spacing w:line="360" w:lineRule="auto"/>
      </w:pPr>
      <w:r>
        <w:rPr>
          <w:rFonts w:ascii="Calibri" w:hAnsi="Calibri"/>
          <w:b/>
          <w:bCs/>
        </w:rPr>
        <w:t>Environmental Data</w:t>
      </w:r>
    </w:p>
    <w:p>
      <w:pPr>
        <w:pStyle w:val="style0"/>
        <w:spacing w:line="360" w:lineRule="auto"/>
      </w:pPr>
      <w:r>
        <w:rPr>
          <w:rFonts w:ascii="Calibri" w:hAnsi="Calibri"/>
          <w:b w:val="false"/>
          <w:bCs w:val="false"/>
        </w:rPr>
        <w:t xml:space="preserve">-figure 2: TS, PAR, and nutrient data spanning entire time course </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-figure 3: abundance of cryptophytes separated out by week, includes tidal cycles</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-figure 4: model estimates of division rate separated out by week, includes tidal cycles</w:t>
      </w:r>
    </w:p>
    <w:p>
      <w:pPr>
        <w:pStyle w:val="style0"/>
        <w:spacing w:line="360" w:lineRule="auto"/>
      </w:pPr>
      <w:r>
        <w:rPr>
          <w:rFonts w:ascii="Calibri" w:hAnsi="Calibri"/>
          <w:b w:val="false"/>
          <w:bCs w:val="false"/>
        </w:rPr>
        <w:t>-figure 5: comparison between division rates and nutrients + PAR, shows no correlation</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Mesodinium sp. </w:t>
      </w:r>
      <w:r>
        <w:rPr>
          <w:rFonts w:ascii="Calibri" w:hAnsi="Calibri"/>
          <w:b/>
          <w:bCs/>
        </w:rPr>
        <w:t>Counts</w:t>
      </w:r>
    </w:p>
    <w:p>
      <w:pPr>
        <w:pStyle w:val="style0"/>
        <w:spacing w:line="360" w:lineRule="auto"/>
      </w:pPr>
      <w:r>
        <w:rPr>
          <w:rFonts w:ascii="Calibri" w:hAnsi="Calibri"/>
          <w:b w:val="false"/>
          <w:bCs w:val="false"/>
        </w:rPr>
        <w:t>-table 1: Mesodinium counts, % Teleaulax free-living</w:t>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 xml:space="preserve">-explain limitations of model, how some of the assumptions may have been violated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Teleaulax</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Mesodinium</w:t>
      </w:r>
      <w:r>
        <w:rPr>
          <w:rFonts w:ascii="Calibri" w:hAnsi="Calibri"/>
          <w:b w:val="false"/>
          <w:bCs w:val="false"/>
          <w:sz w:val="24"/>
          <w:szCs w:val="24"/>
        </w:rPr>
        <w:t xml:space="preserve"> (use FISH probe picture?)</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 xml:space="preserve">-growth rates for </w:t>
      </w:r>
      <w:r>
        <w:rPr>
          <w:rFonts w:ascii="Calibri" w:hAnsi="Calibri"/>
          <w:b w:val="false"/>
          <w:bCs w:val="false"/>
          <w:i/>
          <w:iCs/>
          <w:sz w:val="24"/>
          <w:szCs w:val="24"/>
        </w:rPr>
        <w:t>Mesodinium</w:t>
      </w:r>
      <w:r>
        <w:rPr>
          <w:rFonts w:ascii="Calibri" w:hAnsi="Calibri"/>
          <w:b w:val="false"/>
          <w:bCs w:val="false"/>
          <w:sz w:val="24"/>
          <w:szCs w:val="24"/>
        </w:rPr>
        <w:t xml:space="preserve"> found in CRE (Herfort, 2011; Peterson, 2012) are way higher than culture, does this mean that our crazy high growth rates for the cryptophytes could potentially be true?</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rPr>
        <w:t>notes</w:t>
      </w:r>
      <w:r>
        <w:rPr/>
        <w:t xml:space="preserve"> </w:t>
      </w:r>
    </w:p>
    <w:p>
      <w:pPr>
        <w:pStyle w:val="style0"/>
      </w:pPr>
      <w:r>
        <w:rPr>
          <w:rFonts w:ascii="Calibri" w:hAnsi="Calibri"/>
        </w:rPr>
        <w:t>Version 1</w:t>
      </w:r>
    </w:p>
    <w:p>
      <w:pPr>
        <w:pStyle w:val="style0"/>
        <w:spacing w:line="360" w:lineRule="auto"/>
      </w:pPr>
      <w:r>
        <w:rPr>
          <w:rFonts w:ascii="Calibri" w:hAnsi="Calibri"/>
          <w:b w:val="false"/>
          <w:bCs w:val="false"/>
        </w:rPr>
        <w:tab/>
        <w:t xml:space="preserve">Every year, in the late summer or early fall, the mixotrophic cilliate, </w:t>
      </w:r>
      <w:r>
        <w:rPr>
          <w:rFonts w:ascii="Calibri" w:hAnsi="Calibri"/>
          <w:b w:val="false"/>
          <w:bCs w:val="false"/>
          <w:i/>
          <w:iCs/>
        </w:rPr>
        <w:t>Mesodinium sp.</w:t>
      </w:r>
      <w:r>
        <w:rPr>
          <w:rFonts w:ascii="Calibri" w:hAnsi="Calibri"/>
          <w:b w:val="false"/>
          <w:bCs w:val="false"/>
        </w:rPr>
        <w:t xml:space="preserve">, forms impressive non-toxic red water blooms in the Columbia River Estuary. Previously referred to in past publications on the Columbia River Estuary as </w:t>
      </w:r>
      <w:r>
        <w:rPr>
          <w:rFonts w:ascii="Calibri" w:hAnsi="Calibri"/>
          <w:b w:val="false"/>
          <w:bCs w:val="false"/>
          <w:i/>
          <w:iCs/>
        </w:rPr>
        <w:t xml:space="preserve">Mesodinium rubrum </w:t>
      </w:r>
      <w:r>
        <w:rPr>
          <w:rFonts w:ascii="Calibri" w:hAnsi="Calibri"/>
          <w:b w:val="false"/>
          <w:bCs w:val="false"/>
          <w:i w:val="false"/>
          <w:iCs w:val="false"/>
        </w:rPr>
        <w:t>(</w:t>
      </w:r>
      <w:r>
        <w:rPr>
          <w:rFonts w:ascii="Calibri" w:hAnsi="Calibri"/>
          <w:b w:val="false"/>
          <w:bCs w:val="false"/>
          <w:i/>
          <w:iCs/>
        </w:rPr>
        <w:t>= Myrionecta rubra</w:t>
      </w:r>
      <w:r>
        <w:rPr>
          <w:rFonts w:ascii="Calibri" w:hAnsi="Calibri"/>
          <w:b w:val="false"/>
          <w:bCs w:val="false"/>
          <w:i w:val="false"/>
          <w:iCs w:val="false"/>
        </w:rPr>
        <w:t>)</w:t>
      </w:r>
      <w:r>
        <w:rPr>
          <w:rFonts w:ascii="Calibri" w:hAnsi="Calibri"/>
          <w:b w:val="false"/>
          <w:bCs w:val="false"/>
          <w:i/>
          <w:iCs/>
        </w:rPr>
        <w:t xml:space="preserve"> </w:t>
      </w:r>
      <w:r>
        <w:rPr>
          <w:rFonts w:ascii="Calibri" w:hAnsi="Calibri"/>
          <w:b w:val="false"/>
          <w:bCs w:val="false"/>
          <w:i w:val="false"/>
          <w:iCs w:val="false"/>
        </w:rPr>
        <w:t>(Lohmann, 1908; Jankowski, 1976)</w:t>
      </w:r>
      <w:r>
        <w:rPr>
          <w:rFonts w:ascii="Calibri" w:hAnsi="Calibri"/>
          <w:b w:val="false"/>
          <w:bCs w:val="false"/>
        </w:rPr>
        <w:t xml:space="preserve">, the closely related </w:t>
      </w:r>
      <w:r>
        <w:rPr>
          <w:rFonts w:ascii="Calibri" w:hAnsi="Calibri"/>
          <w:b w:val="false"/>
          <w:bCs w:val="false"/>
          <w:i/>
          <w:iCs/>
        </w:rPr>
        <w:t>Mesodinium sp</w:t>
      </w:r>
      <w:r>
        <w:rPr>
          <w:rFonts w:ascii="Calibri" w:hAnsi="Calibri"/>
          <w:b w:val="false"/>
          <w:bCs w:val="false"/>
        </w:rPr>
        <w:t xml:space="preserve">. that blooms in this estuary shares a similarly unique relationship with its cryptophyte prey. </w:t>
      </w:r>
      <w:r>
        <w:rPr>
          <w:rFonts w:ascii="Calibri" w:hAnsi="Calibri"/>
          <w:b w:val="false"/>
          <w:bCs w:val="false"/>
          <w:i/>
          <w:iCs/>
        </w:rPr>
        <w:t>M.</w:t>
      </w:r>
      <w:r>
        <w:rPr>
          <w:rFonts w:ascii="Calibri" w:hAnsi="Calibri"/>
          <w:b w:val="false"/>
          <w:bCs w:val="false"/>
        </w:rPr>
        <w:t xml:space="preserve"> </w:t>
      </w:r>
      <w:r>
        <w:rPr>
          <w:rFonts w:ascii="Calibri" w:hAnsi="Calibri"/>
          <w:b w:val="false"/>
          <w:bCs w:val="false"/>
          <w:i/>
        </w:rPr>
        <w:t>rubrum</w:t>
      </w:r>
      <w:r>
        <w:rPr>
          <w:rFonts w:ascii="Calibri" w:hAnsi="Calibri"/>
          <w:b w:val="false"/>
          <w:bCs w:val="false"/>
        </w:rPr>
        <w:t xml:space="preserve"> is among the marine microzooplankton that have been observed to harbor the plastids of their prey, allowing these predators to function as mixotrophs, capable of utilizing both phagotrophic and photosynthetic mechanisms to acquire carbon (Crawford, 1989). </w:t>
      </w:r>
    </w:p>
    <w:p>
      <w:pPr>
        <w:pStyle w:val="style0"/>
        <w:spacing w:line="360" w:lineRule="auto"/>
      </w:pPr>
      <w:r>
        <w:rPr>
          <w:rFonts w:ascii="Calibri" w:hAnsi="Calibri"/>
          <w:b w:val="false"/>
          <w:bCs w:val="false"/>
        </w:rPr>
        <w:tab/>
      </w:r>
    </w:p>
    <w:p>
      <w:pPr>
        <w:pStyle w:val="style0"/>
        <w:spacing w:line="360" w:lineRule="auto"/>
        <w:ind w:firstLine="720" w:left="0" w:right="0"/>
      </w:pPr>
      <w:r>
        <w:rPr>
          <w:rFonts w:ascii="Calibri" w:hAnsi="Calibri"/>
          <w:b w:val="false"/>
          <w:bCs w:val="false"/>
        </w:rPr>
        <w:t xml:space="preserve">It has been hypothesized that because of this predator-prey interaction, the dynamics of the </w:t>
      </w:r>
      <w:r>
        <w:rPr>
          <w:rFonts w:ascii="Calibri" w:hAnsi="Calibri"/>
          <w:b w:val="false"/>
          <w:bCs w:val="false"/>
          <w:i/>
          <w:iCs/>
        </w:rPr>
        <w:t xml:space="preserve">Mesodinium sp. </w:t>
      </w:r>
      <w:r>
        <w:rPr>
          <w:rFonts w:ascii="Calibri" w:hAnsi="Calibri"/>
          <w:b w:val="false"/>
          <w:bCs w:val="false"/>
        </w:rPr>
        <w:t xml:space="preserve">bloom have the potential to be influenced by it's cryptophyte prey, as well as a number of physical drivers.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rPr>
        <w:t>Mesodinium sp.</w:t>
      </w:r>
      <w:r>
        <w:rPr>
          <w:rFonts w:ascii="Calibri" w:hAnsi="Calibri"/>
          <w:b w:val="false"/>
          <w:bCs w:val="false"/>
        </w:rPr>
        <w:t xml:space="preserve"> bloom in the estuary (Herfort et al., 2011a). Much less is known about how the dynamics of the cryptophytes in the Columbia River Estuary might control the </w:t>
      </w:r>
      <w:r>
        <w:rPr>
          <w:rFonts w:ascii="Calibri" w:hAnsi="Calibri"/>
          <w:b w:val="false"/>
          <w:bCs w:val="false"/>
          <w:i/>
          <w:iCs/>
        </w:rPr>
        <w:t>Mesodinium sp.</w:t>
      </w:r>
      <w:r>
        <w:rPr>
          <w:rFonts w:ascii="Calibri" w:hAnsi="Calibri"/>
          <w:b w:val="false"/>
          <w:bCs w:val="false"/>
        </w:rPr>
        <w:t xml:space="preserve"> bloom. </w:t>
      </w:r>
    </w:p>
    <w:p>
      <w:pPr>
        <w:pStyle w:val="style0"/>
        <w:spacing w:line="360" w:lineRule="auto"/>
        <w:ind w:firstLine="720" w:left="0" w:right="0"/>
      </w:pPr>
      <w:r>
        <w:rPr>
          <w:rFonts w:ascii="Calibri" w:hAnsi="Calibri"/>
          <w:b w:val="false"/>
          <w:bCs w:val="false"/>
        </w:rPr>
        <w:t>To better understand the role of this cryptophyte-</w:t>
      </w:r>
      <w:r>
        <w:rPr>
          <w:rFonts w:ascii="Calibri" w:hAnsi="Calibri"/>
          <w:b w:val="false"/>
          <w:bCs w:val="false"/>
          <w:i/>
          <w:iCs/>
        </w:rPr>
        <w:t>Mesodinium sp.</w:t>
      </w:r>
      <w:r>
        <w:rPr>
          <w:rFonts w:ascii="Calibri" w:hAnsi="Calibri"/>
          <w:b w:val="false"/>
          <w:bCs w:val="false"/>
        </w:rPr>
        <w:t xml:space="preserve"> relationship within the Columbia River Estuary bloom, we... explain what we are doing here</w:t>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rPr>
        <w:t>Version 2</w:t>
        <w:tab/>
      </w:r>
    </w:p>
    <w:p>
      <w:pPr>
        <w:pStyle w:val="style0"/>
        <w:tabs>
          <w:tab w:leader="none" w:pos="709" w:val="left"/>
          <w:tab w:leader="none" w:pos="5265" w:val="left"/>
        </w:tabs>
        <w:spacing w:line="360" w:lineRule="auto"/>
      </w:pPr>
      <w:r>
        <w:rPr>
          <w:rFonts w:ascii="Calibri" w:hAnsi="Calibri"/>
          <w:b w:val="false"/>
          <w:bCs w:val="false"/>
        </w:rPr>
        <w:tab/>
        <w:t xml:space="preserve">Every year, in the late summer or early fall, impressive non-toxic red water blooms appear in the Columbia River Estuary, consisting of both cryptophyte algae and the mixotrophic ciliate, </w:t>
      </w:r>
      <w:r>
        <w:rPr>
          <w:rFonts w:ascii="Calibri" w:hAnsi="Calibri"/>
          <w:b w:val="false"/>
          <w:bCs w:val="false"/>
          <w:i/>
          <w:iCs/>
        </w:rPr>
        <w:t xml:space="preserve">Mesodinium sp. </w:t>
      </w:r>
      <w:r>
        <w:rPr>
          <w:rFonts w:ascii="Calibri" w:hAnsi="Calibri"/>
          <w:b w:val="false"/>
          <w:bCs w:val="false"/>
          <w:i w:val="false"/>
          <w:iCs w:val="false"/>
        </w:rPr>
        <w:t xml:space="preserve">Insert info about naming etc here.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Mesodinium sp.</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Mesodinium sp.</w:t>
      </w:r>
      <w:r>
        <w:rPr>
          <w:rFonts w:ascii="Calibri" w:hAnsi="Calibri"/>
          <w:b w:val="false"/>
          <w:bCs w:val="false"/>
          <w:i w:val="false"/>
          <w:iCs w:val="false"/>
        </w:rPr>
        <w:t xml:space="preserve"> in the Columbia River Estuary, conferring photosynthetic capabilities </w:t>
      </w:r>
      <w:bookmarkStart w:id="2" w:name="__DdeLink__1397_6045530371"/>
      <w:r>
        <w:rPr>
          <w:rFonts w:ascii="Calibri" w:hAnsi="Calibri"/>
          <w:b w:val="false"/>
          <w:bCs w:val="false"/>
          <w:i w:val="false"/>
          <w:iCs w:val="false"/>
        </w:rPr>
        <w:t>(Herfort et al., 2011b)</w:t>
      </w:r>
      <w:bookmarkEnd w:id="2"/>
      <w:r>
        <w:rPr>
          <w:rFonts w:ascii="Calibri" w:hAnsi="Calibri"/>
          <w:b w:val="false"/>
          <w:bCs w:val="false"/>
          <w:i w:val="false"/>
          <w:iCs w:val="false"/>
        </w:rPr>
        <w:t xml:space="preserve">. Though free-living T. amphioexa are low in number during the red tide blooms (Herfort et al., 2011b), the presence and growth dynamics (?) of these cryptophytes have the potential to be key factors in the proliferation of their ciliate predator. </w:t>
      </w:r>
      <w:bookmarkStart w:id="3" w:name="__DdeLink__2145_180705710"/>
      <w:bookmarkEnd w:id="3"/>
      <w:r>
        <w:rPr>
          <w:rFonts w:ascii="Calibri" w:hAnsi="Calibri"/>
          <w:b w:val="false"/>
          <w:bCs w:val="false"/>
          <w:i w:val="false"/>
          <w:iCs w:val="false"/>
        </w:rPr>
        <w:t xml:space="preserve">In order to monitor abundance and growth rates of the cryptophytes in the Columbia River Estuary over the course of a red-water bloom, we have employed novel methods utilizing continuous flow cytometry and the application of a size-structured growth model...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rPr>
        <w:t xml:space="preserve">Though pigmented plastids and nuclei of cryptophyte origin were identified within </w:t>
      </w:r>
      <w:r>
        <w:rPr>
          <w:rFonts w:ascii="Calibri" w:hAnsi="Calibri"/>
          <w:b w:val="false"/>
          <w:bCs w:val="false"/>
          <w:i/>
        </w:rPr>
        <w:t>M. rubrum</w:t>
      </w:r>
      <w:r>
        <w:rPr>
          <w:rFonts w:ascii="Calibri" w:hAnsi="Calibri"/>
          <w:b w:val="false"/>
          <w:bCs w:val="false"/>
        </w:rPr>
        <w:t xml:space="preserve"> cells early on (Barber et al., 1969; Taylor and Blackbourne, 1971), it was not until a cultured isolate of </w:t>
      </w:r>
      <w:r>
        <w:rPr>
          <w:rFonts w:ascii="Calibri" w:hAnsi="Calibri"/>
          <w:b w:val="false"/>
          <w:bCs w:val="false"/>
          <w:i/>
        </w:rPr>
        <w:t>M. rubrum</w:t>
      </w:r>
      <w:r>
        <w:rPr>
          <w:rFonts w:ascii="Calibri" w:hAnsi="Calibri"/>
          <w:b w:val="false"/>
          <w:bCs w:val="false"/>
        </w:rPr>
        <w:t xml:space="preserve"> from the Antarctic became available that more directed laboratory studies on the ciliate-cryptophyte relationship were able to be done (Gustafson et al., 2000). In culture experiments where </w:t>
      </w:r>
      <w:r>
        <w:rPr>
          <w:rFonts w:ascii="Calibri" w:hAnsi="Calibri"/>
          <w:b w:val="false"/>
          <w:bCs w:val="false"/>
          <w:i/>
        </w:rPr>
        <w:t>M. rubrum</w:t>
      </w:r>
      <w:r>
        <w:rPr>
          <w:rFonts w:ascii="Calibri" w:hAnsi="Calibri"/>
          <w:b w:val="false"/>
          <w:bCs w:val="false"/>
        </w:rPr>
        <w:t xml:space="preserve"> was fed with the cryptophyte, </w:t>
      </w:r>
      <w:r>
        <w:rPr>
          <w:rFonts w:ascii="Calibri" w:hAnsi="Calibri"/>
          <w:b w:val="false"/>
          <w:bCs w:val="false"/>
          <w:i/>
        </w:rPr>
        <w:t>Teleaulax acuta</w:t>
      </w:r>
      <w:r>
        <w:rPr>
          <w:rFonts w:ascii="Calibri" w:hAnsi="Calibri"/>
          <w:b w:val="false"/>
          <w:bCs w:val="false"/>
        </w:rPr>
        <w:t xml:space="preserve">, it was shown that the ciliate required this cryptophyte prey to sustain its growth rates and that the number of cryptophyte nuclei within the ciliate increased when fed (Gustafson et al., 2000). Further work on the Antarctic isolate demonstrated that the endogenous organelles originated from the same cryptophyte prey species added to cultures in experiments using a fluorescence </w:t>
      </w:r>
      <w:r>
        <w:rPr>
          <w:rFonts w:ascii="Calibri" w:hAnsi="Calibri"/>
          <w:b w:val="false"/>
          <w:bCs w:val="false"/>
          <w:i/>
        </w:rPr>
        <w:t>in situ</w:t>
      </w:r>
      <w:r>
        <w:rPr>
          <w:rFonts w:ascii="Calibri" w:hAnsi="Calibri"/>
          <w:b w:val="false"/>
          <w:bCs w:val="false"/>
        </w:rPr>
        <w:t xml:space="preserve"> hybridization (FISH) probe (Johnson et al., 2007). In addition, the cryptophyte nuclei remained transcriptionally active, despite the dissolution of the cryptophyte membrane and other structures after being ingested. The sequestered chloroplasts inside </w:t>
      </w:r>
      <w:r>
        <w:rPr>
          <w:rFonts w:ascii="Calibri" w:hAnsi="Calibri"/>
          <w:b w:val="false"/>
          <w:bCs w:val="false"/>
          <w:i/>
        </w:rPr>
        <w:t>M. rubrum</w:t>
      </w:r>
      <w:r>
        <w:rPr>
          <w:rFonts w:ascii="Calibri" w:hAnsi="Calibri"/>
          <w:b w:val="false"/>
          <w:bCs w:val="false"/>
        </w:rPr>
        <w:t xml:space="preserve"> were able to divide, with the cryptophyte nuclei aiding in their maintenance- without these nuclei, the chloroplasts could not replicate and decreased in number (Johnson et al., 2007). </w:t>
      </w:r>
    </w:p>
    <w:p>
      <w:pPr>
        <w:pStyle w:val="style0"/>
      </w:pPr>
      <w:r>
        <w:rPr/>
      </w:r>
    </w:p>
    <w:p>
      <w:pPr>
        <w:pStyle w:val="style0"/>
        <w:spacing w:line="360" w:lineRule="auto"/>
      </w:pPr>
      <w:r>
        <w:rPr/>
      </w:r>
    </w:p>
    <w:sectPr>
      <w:type w:val="nextPage"/>
      <w:pgSz w:h="15840" w:w="12240"/>
      <w:pgMar w:bottom="936" w:footer="0" w:gutter="0" w:header="0" w:left="936" w:right="936" w:top="93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