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-unclear as to specifics of predator-prey relationship: type of symbiosis (Hansen et al., 2012) or </w:t>
        <w:tab/>
        <w:t>karyoklepty (Johnson et al., 2007)</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-transition sentence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w:t>
      </w:r>
      <w:r>
        <w:rPr>
          <w:rFonts w:ascii="Calibri" w:hAnsi="Calibri"/>
          <w:b w:val="false"/>
          <w:bCs w:val="false"/>
          <w:i w:val="false"/>
          <w:iCs w:val="false"/>
        </w:rPr>
        <w:t xml:space="preserve">-like” cryptophytes declined just prior to an increase in </w:t>
      </w:r>
      <w:r>
        <w:rPr>
          <w:rFonts w:ascii="Calibri" w:hAnsi="Calibri"/>
          <w:b w:val="false"/>
          <w:bCs w:val="false"/>
          <w:i/>
          <w:iCs/>
        </w:rPr>
        <w:t>M. major</w:t>
      </w:r>
      <w:r>
        <w:rPr>
          <w:rFonts w:ascii="Calibri" w:hAnsi="Calibri"/>
          <w:b w:val="false"/>
          <w:bCs w:val="false"/>
          <w:i w:val="false"/>
          <w:iCs w:val="false"/>
        </w:rPr>
        <w:t xml:space="preserve">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-monitoring the abundances of cryptophyte populations continuously over one month during a </w:t>
        <w:tab/>
        <w:t xml:space="preserve">red tide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division rates of the combined populations of cryptophytes using a size-structured </w:t>
        <w:tab/>
        <w:t>division rate model from Sosik et al.</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 </w:t>
      </w:r>
      <w:r>
        <w:rPr>
          <w:rFonts w:ascii="Calibri" w:hAnsi="Calibri"/>
          <w:b w:val="false"/>
          <w:bCs w:val="false"/>
          <w:i/>
          <w:iCs/>
          <w:u w:val="none"/>
        </w:rPr>
        <w:t>M. major</w:t>
      </w:r>
      <w:r>
        <w:rPr>
          <w:rFonts w:ascii="Calibri" w:hAnsi="Calibri"/>
          <w:b w:val="false"/>
          <w:bCs w:val="false"/>
          <w:i w:val="false"/>
          <w:iCs w:val="false"/>
        </w:rPr>
        <w:t xml:space="preserve"> abundances with FlowCAM counts of the ciliate once per day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abundances of </w:t>
      </w:r>
      <w:r>
        <w:rPr>
          <w:rFonts w:ascii="Calibri" w:hAnsi="Calibri"/>
          <w:b w:val="false"/>
          <w:bCs w:val="false"/>
          <w:i/>
          <w:iCs/>
        </w:rPr>
        <w:t>T. amphioexa</w:t>
      </w:r>
      <w:r>
        <w:rPr>
          <w:rFonts w:ascii="Calibri" w:hAnsi="Calibri"/>
          <w:b w:val="false"/>
          <w:bCs w:val="false"/>
          <w:i w:val="false"/>
          <w:iCs w:val="false"/>
        </w:rPr>
        <w:t xml:space="preserve"> using qPCR once per week</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Division Rate Lab Verification  (should this be split up into two parts?)</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person who did qPCR writes this (in PZ's lab)</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b w:val="false"/>
          <w:bCs w:val="false"/>
        </w:rPr>
        <w:t>Talk about popcycle here? (This section can be moved.)</w:t>
      </w:r>
    </w:p>
    <w:p>
      <w:pPr>
        <w:pStyle w:val="style0"/>
        <w:spacing w:line="360" w:lineRule="auto"/>
      </w:pPr>
      <w:r>
        <w:rPr>
          <w:rFonts w:ascii="Calibri" w:hAnsi="Calibri"/>
          <w:b w:val="false"/>
          <w:bCs w:val="false"/>
        </w:rPr>
        <w:tab/>
        <w:t>-SeaFlow file conversion</w:t>
      </w:r>
    </w:p>
    <w:p>
      <w:pPr>
        <w:pStyle w:val="style0"/>
        <w:spacing w:line="360" w:lineRule="auto"/>
      </w:pPr>
      <w:r>
        <w:rPr>
          <w:rFonts w:ascii="Calibri" w:hAnsi="Calibri"/>
          <w:b w:val="false"/>
          <w:bCs w:val="false"/>
        </w:rPr>
        <w:tab/>
        <w:t>-evt files filtered with blah filtering parameters used throughout time course</w:t>
      </w:r>
    </w:p>
    <w:p>
      <w:pPr>
        <w:pStyle w:val="style0"/>
        <w:spacing w:line="360" w:lineRule="auto"/>
      </w:pPr>
      <w:r>
        <w:rPr>
          <w:rFonts w:ascii="Calibri" w:hAnsi="Calibri"/>
          <w:b w:val="false"/>
          <w:bCs w:val="false"/>
        </w:rPr>
        <w:tab/>
        <w:t xml:space="preserve">-manual clustering of beads and “cryptophyte” population applied to single time point file and </w:t>
        <w:tab/>
        <w:t>then used throughout time course</w:t>
      </w:r>
    </w:p>
    <w:p>
      <w:pPr>
        <w:pStyle w:val="style0"/>
        <w:spacing w:line="360" w:lineRule="auto"/>
      </w:pPr>
      <w:r>
        <w:rPr>
          <w:rFonts w:ascii="Calibri" w:hAnsi="Calibri"/>
          <w:b w:val="false"/>
          <w:bCs w:val="false"/>
        </w:rPr>
        <w:tab/>
        <w:t xml:space="preserve">-https://github.com/uwescience/popcycle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r>
    </w:p>
    <w:p>
      <w:pPr>
        <w:pStyle w:val="style0"/>
        <w:spacing w:line="360" w:lineRule="auto"/>
      </w:pPr>
      <w:r>
        <w:rPr>
          <w:rFonts w:ascii="Calibri" w:hAnsi="Calibri"/>
        </w:rPr>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(check p values), though it is important to note that nutrient concentrations were determined from single time point samples.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agreeing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How are abundances changing over tidal cycle?</w:t>
      </w:r>
    </w:p>
    <w:p>
      <w:pPr>
        <w:pStyle w:val="style0"/>
        <w:spacing w:line="360" w:lineRule="auto"/>
      </w:pPr>
      <w:r>
        <w:rPr>
          <w:rFonts w:ascii="Calibri" w:hAnsi="Calibri"/>
          <w:b w:val="false"/>
          <w:bCs w:val="false"/>
          <w:sz w:val="24"/>
          <w:szCs w:val="24"/>
        </w:rPr>
        <w:t>-There isn't a clear pattern. What does this mean?</w:t>
      </w:r>
    </w:p>
    <w:p>
      <w:pPr>
        <w:pStyle w:val="style0"/>
        <w:spacing w:line="360" w:lineRule="auto"/>
      </w:pPr>
      <w:r>
        <w:rPr>
          <w:rFonts w:ascii="Calibri" w:hAnsi="Calibri"/>
          <w:b w:val="false"/>
          <w:bCs w:val="false"/>
          <w:sz w:val="24"/>
          <w:szCs w:val="24"/>
        </w:rPr>
        <w:tab/>
        <w:t xml:space="preserve">-Biological processes (growth, grazing) are obscuring the relationship between tidal cycle and </w:t>
        <w:tab/>
        <w:t xml:space="preserve">abundance </w:t>
      </w:r>
    </w:p>
    <w:p>
      <w:pPr>
        <w:pStyle w:val="style0"/>
        <w:spacing w:line="360" w:lineRule="auto"/>
      </w:pPr>
      <w:r>
        <w:rPr>
          <w:rFonts w:ascii="Calibri" w:hAnsi="Calibri"/>
          <w:b w:val="false"/>
          <w:bCs w:val="false"/>
          <w:sz w:val="24"/>
          <w:szCs w:val="24"/>
        </w:rPr>
        <w:tab/>
        <w:t>-Other physical processes (non-tidal) are influencing abundance???</w:t>
      </w:r>
    </w:p>
    <w:p>
      <w:pPr>
        <w:pStyle w:val="style0"/>
        <w:spacing w:line="360" w:lineRule="auto"/>
      </w:pPr>
      <w:r>
        <w:rPr>
          <w:rFonts w:ascii="Calibri" w:hAnsi="Calibri"/>
          <w:b w:val="false"/>
          <w:bCs w:val="false"/>
          <w:sz w:val="24"/>
          <w:szCs w:val="24"/>
        </w:rPr>
        <w:t xml:space="preserve">How are abundances changing over the month? </w:t>
      </w:r>
    </w:p>
    <w:p>
      <w:pPr>
        <w:pStyle w:val="style0"/>
        <w:spacing w:line="360" w:lineRule="auto"/>
      </w:pPr>
      <w:r>
        <w:rPr>
          <w:rFonts w:ascii="Calibri" w:hAnsi="Calibri"/>
          <w:b w:val="false"/>
          <w:bCs w:val="false"/>
          <w:sz w:val="24"/>
          <w:szCs w:val="24"/>
        </w:rPr>
        <w:t>-weekly average of cryptophyte abundance is highest during the first week, decreases in the middle of the month, and then increases again during the last week (</w:t>
      </w:r>
      <w:r>
        <w:rPr>
          <w:rFonts w:ascii="Calibri" w:hAnsi="Calibri"/>
          <w:b/>
          <w:bCs/>
          <w:sz w:val="24"/>
          <w:szCs w:val="24"/>
        </w:rPr>
        <w:t>table 1</w:t>
      </w:r>
      <w:r>
        <w:rPr>
          <w:rFonts w:ascii="Calibri" w:hAnsi="Calibri"/>
          <w:b w:val="false"/>
          <w:bCs w:val="false"/>
          <w:sz w:val="24"/>
          <w:szCs w:val="24"/>
        </w:rPr>
        <w:t>)</w:t>
      </w:r>
    </w:p>
    <w:p>
      <w:pPr>
        <w:pStyle w:val="style0"/>
        <w:spacing w:line="360" w:lineRule="auto"/>
      </w:pPr>
      <w:r>
        <w:rPr/>
      </w:r>
    </w:p>
    <w:p>
      <w:pPr>
        <w:pStyle w:val="style0"/>
        <w:spacing w:line="360" w:lineRule="auto"/>
      </w:pPr>
      <w:r>
        <w:rPr>
          <w:rFonts w:ascii="Calibri" w:hAnsi="Calibri"/>
          <w:b w:val="false"/>
          <w:bCs w:val="false"/>
          <w:sz w:val="24"/>
          <w:szCs w:val="24"/>
        </w:rPr>
        <w:t>How do the division rates change with environmental conditions, and are they limited by these?</w:t>
      </w:r>
    </w:p>
    <w:p>
      <w:pPr>
        <w:pStyle w:val="style0"/>
        <w:spacing w:line="360" w:lineRule="auto"/>
      </w:pPr>
      <w:r>
        <w:rPr>
          <w:rFonts w:ascii="Calibri" w:hAnsi="Calibri"/>
          <w:b w:val="false"/>
          <w:bCs w:val="false"/>
          <w:sz w:val="24"/>
          <w:szCs w:val="24"/>
        </w:rPr>
        <w:t xml:space="preserve">-I think I need some help interpreting the data for this... </w:t>
      </w:r>
    </w:p>
    <w:p>
      <w:pPr>
        <w:pStyle w:val="style0"/>
        <w:spacing w:line="360" w:lineRule="auto"/>
      </w:pPr>
      <w:r>
        <w:rPr/>
      </w:r>
    </w:p>
    <w:p>
      <w:pPr>
        <w:pStyle w:val="style0"/>
        <w:spacing w:line="360" w:lineRule="auto"/>
      </w:pPr>
      <w:r>
        <w:rPr>
          <w:rFonts w:ascii="Calibri" w:hAnsi="Calibri"/>
          <w:b w:val="false"/>
          <w:bCs w:val="false"/>
          <w:sz w:val="24"/>
          <w:szCs w:val="24"/>
        </w:rPr>
        <w:t>Discussion of high growth rates, model:</w:t>
      </w:r>
    </w:p>
    <w:p>
      <w:pPr>
        <w:pStyle w:val="style0"/>
        <w:spacing w:line="360" w:lineRule="auto"/>
      </w:pPr>
      <w:r>
        <w:rPr>
          <w:rFonts w:ascii="Calibri" w:hAnsi="Calibri"/>
          <w:b w:val="false"/>
          <w:bCs w:val="false"/>
          <w:sz w:val="24"/>
          <w:szCs w:val="24"/>
        </w:rPr>
        <w:t xml:space="preserve">-Why do we have such high growth rates? Is it the model assumptions being violated or are these cryptophytes just growing crazy fast? </w:t>
      </w:r>
    </w:p>
    <w:p>
      <w:pPr>
        <w:pStyle w:val="style0"/>
        <w:spacing w:line="360" w:lineRule="auto"/>
      </w:pPr>
      <w:r>
        <w:rPr>
          <w:rFonts w:ascii="Calibri" w:hAnsi="Calibri"/>
          <w:b w:val="false"/>
          <w:bCs w:val="false"/>
          <w:sz w:val="24"/>
          <w:szCs w:val="24"/>
        </w:rPr>
        <w:tab/>
        <w:t xml:space="preserve">-growth rates for </w:t>
      </w:r>
      <w:r>
        <w:rPr>
          <w:rFonts w:ascii="Calibri" w:hAnsi="Calibri"/>
          <w:b w:val="false"/>
          <w:bCs w:val="false"/>
          <w:i/>
          <w:iCs/>
          <w:sz w:val="24"/>
          <w:szCs w:val="24"/>
        </w:rPr>
        <w:t>M. major</w:t>
      </w:r>
      <w:r>
        <w:rPr>
          <w:rFonts w:ascii="Calibri" w:hAnsi="Calibri"/>
          <w:b w:val="false"/>
          <w:bCs w:val="false"/>
          <w:sz w:val="24"/>
          <w:szCs w:val="24"/>
        </w:rPr>
        <w:t xml:space="preserve"> found in CRE (Herfort, 2011; Peterson, 2012) are way higher than </w:t>
        <w:tab/>
        <w:t xml:space="preserve">culture, so our high growth rates for the cryptophytes are not necessarily an inaccurate </w:t>
        <w:tab/>
        <w:t>estimate</w:t>
      </w:r>
    </w:p>
    <w:p>
      <w:pPr>
        <w:pStyle w:val="style0"/>
        <w:spacing w:line="360" w:lineRule="auto"/>
      </w:pPr>
      <w:r>
        <w:rPr>
          <w:rFonts w:ascii="Calibri" w:hAnsi="Calibri"/>
          <w:b w:val="false"/>
          <w:bCs w:val="false"/>
          <w:sz w:val="24"/>
          <w:szCs w:val="24"/>
        </w:rPr>
        <w:tab/>
        <w:t xml:space="preserve">-does this potentially have any larger implications for those studying algae growth in culture? </w:t>
      </w:r>
    </w:p>
    <w:p>
      <w:pPr>
        <w:pStyle w:val="style0"/>
        <w:spacing w:line="360" w:lineRule="auto"/>
      </w:pPr>
      <w:r>
        <w:rPr>
          <w:rFonts w:ascii="Calibri" w:hAnsi="Calibri"/>
          <w:b w:val="false"/>
          <w:bCs w:val="false"/>
          <w:sz w:val="24"/>
          <w:szCs w:val="24"/>
        </w:rPr>
        <w:t>-explain limitations of model, how some of the assumptions may have been violated</w:t>
      </w:r>
    </w:p>
    <w:p>
      <w:pPr>
        <w:pStyle w:val="style0"/>
        <w:spacing w:line="360" w:lineRule="auto"/>
      </w:pPr>
      <w:r>
        <w:rPr>
          <w:rFonts w:ascii="Calibri" w:hAnsi="Calibri"/>
          <w:b w:val="false"/>
          <w:bCs w:val="false"/>
          <w:sz w:val="24"/>
          <w:szCs w:val="24"/>
        </w:rPr>
        <w:tab/>
        <w:t xml:space="preserve">-we could have multiple taxonomic groups of cryptophytes with different physiologies </w:t>
        <w:tab/>
        <w:t>represented within the population of cryptophytes that we observe with SeaFlow</w:t>
      </w:r>
    </w:p>
    <w:p>
      <w:pPr>
        <w:pStyle w:val="style0"/>
        <w:spacing w:line="360" w:lineRule="auto"/>
      </w:pPr>
      <w:r>
        <w:rPr>
          <w:rFonts w:ascii="Calibri" w:hAnsi="Calibri"/>
          <w:b w:val="false"/>
          <w:bCs w:val="false"/>
          <w:sz w:val="24"/>
          <w:szCs w:val="24"/>
        </w:rPr>
        <w:tab/>
        <w:t xml:space="preserve">-evidence of trouble with model parameter optimization (hitting extremes during last two </w:t>
        <w:tab/>
        <w:t xml:space="preserve">weeks </w:t>
        <w:tab/>
        <w:t xml:space="preserve">where we are also observing the highest division rates) (parameter plot in supplemental </w:t>
        <w:tab/>
        <w:t>data)</w:t>
      </w:r>
    </w:p>
    <w:p>
      <w:pPr>
        <w:pStyle w:val="style0"/>
        <w:spacing w:line="360" w:lineRule="auto"/>
      </w:pPr>
      <w:r>
        <w:rPr>
          <w:rFonts w:ascii="Calibri" w:hAnsi="Calibri"/>
          <w:b w:val="false"/>
          <w:bCs w:val="false"/>
          <w:sz w:val="24"/>
          <w:szCs w:val="24"/>
        </w:rPr>
        <w:tab/>
        <w:t xml:space="preserve">-we don't actually have any evidence that these assumptions were violated, and our laboratory </w:t>
        <w:tab/>
        <w:t xml:space="preserve">verification of the model worked out, so we still trust our results </w:t>
      </w:r>
    </w:p>
    <w:p>
      <w:pPr>
        <w:pStyle w:val="style0"/>
        <w:spacing w:line="360" w:lineRule="auto"/>
      </w:pPr>
      <w:r>
        <w:rPr>
          <w:rFonts w:ascii="Calibri" w:hAnsi="Calibri"/>
          <w:b w:val="false"/>
          <w:bCs w:val="false"/>
          <w:sz w:val="24"/>
          <w:szCs w:val="24"/>
        </w:rPr>
        <w:t xml:space="preserve">-measuring growth in the field is difficult, but this new approach eliminates many of the problems associated with other methods (i.e. dilution experiments) and is less labor-intensive </w:t>
      </w:r>
    </w:p>
    <w:p>
      <w:pPr>
        <w:pStyle w:val="style0"/>
        <w:spacing w:line="360" w:lineRule="auto"/>
      </w:pPr>
      <w:r>
        <w:rPr/>
      </w:r>
    </w:p>
    <w:p>
      <w:pPr>
        <w:pStyle w:val="style0"/>
        <w:numPr>
          <w:ilvl w:val="0"/>
          <w:numId w:val="1"/>
        </w:numPr>
        <w:spacing w:line="360" w:lineRule="auto"/>
      </w:pPr>
      <w:r>
        <w:rPr>
          <w:rFonts w:ascii="Calibri" w:hAnsi="Calibri"/>
          <w:b w:val="false"/>
          <w:bCs w:val="false"/>
          <w:sz w:val="24"/>
          <w:szCs w:val="24"/>
        </w:rPr>
        <w:t>major abudnances compared to cryptophyte data</w:t>
      </w:r>
    </w:p>
    <w:p>
      <w:pPr>
        <w:pStyle w:val="style0"/>
        <w:spacing w:line="360" w:lineRule="auto"/>
      </w:pPr>
      <w:r>
        <w:rPr>
          <w:rFonts w:ascii="Calibri" w:hAnsi="Calibri"/>
          <w:b w:val="false"/>
          <w:bCs w:val="false"/>
          <w:sz w:val="24"/>
          <w:szCs w:val="24"/>
        </w:rPr>
        <w:t xml:space="preserve">No correlation with M. major and cryptophyte division rate, but there may be a relationship between the M. major abundances and the percent of T. amphioexa.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 amphioexa</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 major</w:t>
      </w:r>
      <w:r>
        <w:rPr>
          <w:rFonts w:ascii="Calibri" w:hAnsi="Calibri"/>
          <w:b w:val="false"/>
          <w:bCs w:val="false"/>
          <w:sz w:val="24"/>
          <w:szCs w:val="24"/>
        </w:rPr>
        <w:t xml:space="preserve"> (FISH probe picture from PZ and cite as “unpublished data”?)</w:t>
      </w:r>
    </w:p>
    <w:p>
      <w:pPr>
        <w:pStyle w:val="style0"/>
        <w:spacing w:line="360" w:lineRule="auto"/>
      </w:pPr>
      <w:r>
        <w:rPr/>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 sp.</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000"/>
      <w:numFmt w:val="upp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2015-07-28T10:37:29.00Z</dcterms:created>
  <cp:revision>0</cp:revision>
</cp:coreProperties>
</file>